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B0D"/>
  <w:body>
    <w:p>
      <w:pPr>
        <w:spacing w:after="80" w:before="480"/>
        <w:jc w:val="center"/>
      </w:pPr>
      <w:r>
        <w:rPr>
          <w:b/>
          <w:bCs/>
          <w:color w:val="C8A84B"/>
          <w:spacing w:val="60"/>
          <w:sz w:val="26"/>
          <w:szCs w:val="26"/>
        </w:rPr>
        <w:t xml:space="preserve">FERAL GLOSS EMPIRE</w:t>
      </w:r>
    </w:p>
    <w:p>
      <w:pPr>
        <w:spacing w:after="120"/>
        <w:jc w:val="center"/>
      </w:pPr>
      <w:r>
        <w:rPr>
          <w:b/>
          <w:bCs/>
          <w:color w:val="E8ECF0"/>
          <w:sz w:val="40"/>
          <w:szCs w:val="40"/>
        </w:rPr>
        <w:t xml:space="preserve">RELIC LOCK PROTOCOL &amp; ASSEMBLY RULESET</w:t>
      </w:r>
    </w:p>
    <w:p>
      <w:pPr>
        <w:spacing w:after="60"/>
        <w:jc w:val="center"/>
      </w:pPr>
      <w:r>
        <w:rPr>
          <w:i/>
          <w:iCs/>
          <w:color w:val="9AA4AE"/>
          <w:sz w:val="24"/>
          <w:szCs w:val="24"/>
        </w:rPr>
        <w:t xml:space="preserve">Constitution of Transformation — v1.0</w:t>
      </w:r>
    </w:p>
    <w:p>
      <w:pPr>
        <w:spacing w:after="60"/>
        <w:jc w:val="center"/>
      </w:pPr>
      <w:r>
        <w:rPr>
          <w:color w:val="5A646E"/>
          <w:sz w:val="20"/>
          <w:szCs w:val="20"/>
        </w:rPr>
        <w:t xml:space="preserve">Instrument ID: FGE-CONST-LOCK-001</w:t>
      </w:r>
    </w:p>
    <w:p>
      <w:pPr>
        <w:spacing w:after="60"/>
        <w:jc w:val="center"/>
      </w:pPr>
      <w:r>
        <w:rPr>
          <w:b/>
          <w:bCs/>
          <w:color w:val="C0504D"/>
          <w:sz w:val="20"/>
          <w:szCs w:val="20"/>
        </w:rPr>
        <w:t xml:space="preserve">Status: DRAFT — PENDING DIRECTOR RATIFICATION</w:t>
      </w:r>
    </w:p>
    <w:p>
      <w:pPr>
        <w:spacing w:after="320"/>
        <w:jc w:val="center"/>
      </w:pPr>
      <w:r>
        <w:rPr>
          <w:color w:val="5A646E"/>
          <w:sz w:val="20"/>
          <w:szCs w:val="20"/>
        </w:rPr>
        <w:t xml:space="preserve">Date: 2026-06-10 · Author of Record: Keith Clemente, Director · Drafting Substrate: Claude</w:t>
      </w:r>
    </w:p>
    <w:p>
      <w:pPr>
        <w:pBdr>
          <w:bottom w:val="single" w:color="8A742E" w:sz="6" w:space="1"/>
        </w:pBdr>
        <w:spacing w:after="240"/>
      </w:pPr>
    </w:p>
    <w:p>
      <w:pPr>
        <w:pStyle w:val="Heading1"/>
      </w:pPr>
      <w:r>
        <w:rPr>
          <w:color w:val="C8A84B"/>
        </w:rPr>
        <w:t xml:space="preserve">Preamble &amp; Authority</w:t>
      </w:r>
    </w:p>
    <w:p>
      <w:pPr>
        <w:spacing w:after="160"/>
      </w:pPr>
      <w:r>
        <w:rPr>
          <w:color w:val="9AA4AE"/>
        </w:rPr>
        <w:t xml:space="preserve">This instrument governs every act of transformation within the Dual-Species Card Architecture (FGE-PROP-SYSTEM-001). It contains two bound instruments: </w:t>
      </w:r>
      <w:r>
        <w:rPr>
          <w:b/>
          <w:bCs/>
          <w:color w:val="E8ECF0"/>
        </w:rPr>
        <w:t xml:space="preserve">Instrument I — the Relic Lock Protocol</w:t>
      </w:r>
      <w:r>
        <w:rPr>
          <w:color w:val="9AA4AE"/>
        </w:rPr>
        <w:t xml:space="preserve">, which defines what may never be transformed, and </w:t>
      </w:r>
      <w:r>
        <w:rPr>
          <w:b/>
          <w:bCs/>
          <w:color w:val="E8ECF0"/>
        </w:rPr>
        <w:t xml:space="preserve">Instrument II — the Assembly Ruleset</w:t>
      </w:r>
      <w:r>
        <w:rPr>
          <w:color w:val="9AA4AE"/>
        </w:rPr>
        <w:t xml:space="preserve">, which defines how legal transformation occurs. No Assembly may execute outside this instrument once ratified.</w:t>
      </w:r>
    </w:p>
    <w:p>
      <w:pPr>
        <w:spacing w:after="160"/>
      </w:pPr>
      <w:r>
        <w:rPr>
          <w:color w:val="9AA4AE"/>
        </w:rPr>
        <w:t xml:space="preserve">Governing principles inherited from ratified doctrine: invariant kernel protection, append-only lineage, canon/production line separation, and exclusive Director release authority. This instrument extends kernel protection from metadata fields to </w:t>
      </w:r>
      <w:r>
        <w:rPr>
          <w:b/>
          <w:bCs/>
          <w:color w:val="E8ECF0"/>
        </w:rPr>
        <w:t xml:space="preserve">visual relic elements</w:t>
      </w:r>
      <w:r>
        <w:rPr>
          <w:color w:val="9AA4AE"/>
        </w:rPr>
        <w:t xml:space="preserve"> — closing the gap identified during proposal validation.</w:t>
      </w:r>
    </w:p>
    <w:p>
      <w:pPr>
        <w:spacing w:after="160"/>
      </w:pPr>
      <w:r>
        <w:rPr>
          <w:i/>
          <w:iCs/>
          <w:color w:val="5A646E"/>
        </w:rPr>
        <w:t xml:space="preserve">Terminology is original to FGE. The ruleset is comparable in rigor to established collectible-game systems but cites none and borrows no proprietary mechanics.</w:t>
      </w:r>
    </w:p>
    <w:p>
      <w:pPr>
        <w:spacing w:after="160"/>
      </w:pPr>
    </w:p>
    <w:p>
      <w:pPr>
        <w:pStyle w:val="Heading1"/>
      </w:pPr>
      <w:r>
        <w:rPr>
          <w:color w:val="C8A84B"/>
        </w:rPr>
        <w:t xml:space="preserve">Instrument I — Relic Lock Protocol</w:t>
      </w:r>
    </w:p>
    <w:p>
      <w:pPr>
        <w:pStyle w:val="Heading2"/>
      </w:pPr>
      <w:r>
        <w:rPr>
          <w:color w:val="C8A84B"/>
        </w:rPr>
        <w:t xml:space="preserve">1.1 Purpose</w:t>
      </w:r>
    </w:p>
    <w:p>
      <w:pPr>
        <w:spacing w:after="160"/>
      </w:pPr>
      <w:r>
        <w:rPr>
          <w:color w:val="9AA4AE"/>
        </w:rPr>
        <w:t xml:space="preserve">The Lock Protocol is the safety system that runs </w:t>
      </w:r>
      <w:r>
        <w:rPr>
          <w:b/>
          <w:bCs/>
          <w:color w:val="E8ECF0"/>
        </w:rPr>
        <w:t xml:space="preserve">before</w:t>
      </w:r>
      <w:r>
        <w:rPr>
          <w:color w:val="9AA4AE"/>
        </w:rPr>
        <w:t xml:space="preserve"> any Assembly. It guarantees that no Artifact Card — alone or stacked — can alter a protected element of a Narrative Card. The invariant kernel protects data; the Lock Protocol protects the </w:t>
      </w:r>
      <w:r>
        <w:rPr>
          <w:color w:val="E8ECF0"/>
        </w:rPr>
        <w:t xml:space="preserve">image of canon itself</w:t>
      </w:r>
      <w:r>
        <w:rPr>
          <w:color w:val="9AA4AE"/>
        </w:rPr>
        <w:t xml:space="preserve">.</w:t>
      </w:r>
    </w:p>
    <w:p>
      <w:pPr>
        <w:pStyle w:val="Heading2"/>
      </w:pPr>
      <w:r>
        <w:rPr>
          <w:color w:val="C8A84B"/>
        </w:rPr>
        <w:t xml:space="preserve">1.2 Lock Classes</w:t>
      </w:r>
    </w:p>
    <w:p>
      <w:pPr>
        <w:spacing w:after="160"/>
      </w:pPr>
      <w:r>
        <w:rPr>
          <w:color w:val="9AA4AE"/>
        </w:rPr>
        <w:t xml:space="preserve">Every canonical element of a Narrative Card is assigned exactly one Lock Class at card creation, derived from the character or world dossier.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Ω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Omega Lock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Absolute immunity. No Artifact in any domain, at any stack depth, may alter this element. Violation = automatic Assembly rejection, logged as a lock event.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Isolde’s uniform green eyes (OMEGA relic)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Signature Lock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Protected within named domains only. Artifacts whose domain footprint intersects the locked domains are illegal against this card. Other domains may recontextualize the element.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Isolde’s black hair + center part: locked vs. Material &amp; Light; Environment may recontextualize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Drift Watch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Transformable, but every output touching this element is auto-flagged to the canon line for drift review before release. Production line never adjudicates.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Feral Gloss skin / photonic bloom intensity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A646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Free transformation within Assembly limits. No flag, no review beyond the standard quality gate.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Background, atmosphere, supporting wardrobe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C8A84B"/>
        </w:rPr>
        <w:t xml:space="preserve">1.3 The Lock Manifest</w:t>
      </w:r>
    </w:p>
    <w:p>
      <w:pPr>
        <w:spacing w:after="160"/>
      </w:pPr>
      <w:r>
        <w:rPr>
          <w:color w:val="9AA4AE"/>
        </w:rPr>
        <w:t xml:space="preserve">Every Narrative Card carries a </w:t>
      </w:r>
      <w:r>
        <w:rPr>
          <w:b/>
          <w:bCs/>
          <w:color w:val="E8ECF0"/>
        </w:rPr>
        <w:t xml:space="preserve">Lock Manifest</w:t>
      </w:r>
      <w:r>
        <w:rPr>
          <w:color w:val="9AA4AE"/>
        </w:rPr>
        <w:t xml:space="preserve"> — a machine-readable block in its schema, populated from the locked dossier at card creation. The Manifest is the single source of lock truth for that card.</w:t>
      </w:r>
    </w:p>
    <w:p>
      <w:pPr>
        <w:pStyle w:val="Heading3"/>
      </w:pPr>
      <w:r>
        <w:rPr>
          <w:color w:val="E8ECF0"/>
        </w:rPr>
        <w:t xml:space="preserve">Required Manifest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element_id</w:t>
      </w:r>
      <w:r>
        <w:rPr>
          <w:color w:val="9AA4AE"/>
        </w:rPr>
        <w:t xml:space="preserve"> — stable identifier for the protected element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element_description</w:t>
      </w:r>
      <w:r>
        <w:rPr>
          <w:color w:val="9AA4AE"/>
        </w:rPr>
        <w:t xml:space="preserve"> — human-readable definition, quoted from the locked dossier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lock_class</w:t>
      </w:r>
      <w:r>
        <w:rPr>
          <w:color w:val="9AA4AE"/>
        </w:rPr>
        <w:t xml:space="preserve"> — Ω / A / B / Open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locked_domains</w:t>
      </w:r>
      <w:r>
        <w:rPr>
          <w:color w:val="9AA4AE"/>
        </w:rPr>
        <w:t xml:space="preserve"> — for Class A only: the domains barred from acting on this element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source_dossier</w:t>
      </w:r>
      <w:r>
        <w:rPr>
          <w:color w:val="9AA4AE"/>
        </w:rPr>
        <w:t xml:space="preserve"> — dossier ID and version the lock derives from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lock_decree</w:t>
      </w:r>
      <w:r>
        <w:rPr>
          <w:color w:val="9AA4AE"/>
        </w:rPr>
        <w:t xml:space="preserve"> — Director decree reference that established or amended the lock</w:t>
      </w:r>
    </w:p>
    <w:p>
      <w:pPr>
        <w:spacing w:after="160"/>
      </w:pPr>
      <w:r>
        <w:rPr>
          <w:b/>
          <w:bCs/>
          <w:color w:val="E8ECF0"/>
        </w:rPr>
        <w:t xml:space="preserve">Manifests are append-only. </w:t>
      </w:r>
      <w:r>
        <w:rPr>
          <w:color w:val="9AA4AE"/>
        </w:rPr>
        <w:t xml:space="preserve">Locks may be added or escalated (Open → B → A → Ω) by Director decree at any time. De-escalation or removal requires a formal decree with stated rationale, recorded in lineage. Locks never silently disappear.</w:t>
      </w:r>
    </w:p>
    <w:p>
      <w:pPr>
        <w:pStyle w:val="Heading2"/>
      </w:pPr>
      <w:r>
        <w:rPr>
          <w:color w:val="C8A84B"/>
        </w:rPr>
        <w:t xml:space="preserve">1.4 The Eligibility Gate (Pre-Assembly Check)</w:t>
      </w:r>
    </w:p>
    <w:p>
      <w:pPr>
        <w:spacing w:after="160"/>
      </w:pPr>
      <w:r>
        <w:rPr>
          <w:color w:val="9AA4AE"/>
        </w:rPr>
        <w:t xml:space="preserve">The Eligibility Gate runs before any generation resource is spent. It is image-agnostic by design — a pure schema check, consistent with the Master Anchor doctrine that validation never requires image production.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Load</w:t>
      </w:r>
      <w:r>
        <w:rPr>
          <w:color w:val="9AA4AE"/>
        </w:rPr>
        <w:t xml:space="preserve"> the Lock Manifest of every Narrative Card in the Assembly.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Resolve</w:t>
      </w:r>
      <w:r>
        <w:rPr>
          <w:color w:val="9AA4AE"/>
        </w:rPr>
        <w:t xml:space="preserve"> the domain footprint of every Artifact Card in the Assembly.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Omega check:</w:t>
      </w:r>
      <w:r>
        <w:rPr>
          <w:color w:val="9AA4AE"/>
        </w:rPr>
        <w:t xml:space="preserve"> if any Artifact’s declared effect could plausibly intersect an Ω element, the Assembly is </w:t>
      </w:r>
      <w:r>
        <w:rPr>
          <w:b/>
          <w:bCs/>
          <w:color w:val="C0504D"/>
        </w:rPr>
        <w:t xml:space="preserve">rejected outright</w:t>
      </w:r>
      <w:r>
        <w:rPr>
          <w:color w:val="9AA4AE"/>
        </w:rPr>
        <w:t xml:space="preserve">. No override path exists below Director decree amending the lock itself.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Signature check:</w:t>
      </w:r>
      <w:r>
        <w:rPr>
          <w:color w:val="9AA4AE"/>
        </w:rPr>
        <w:t xml:space="preserve"> if an Artifact’s domain appears in any Class A locked_domains list, the Assembly is rejected; the operator may substitute a legal Artifact and resubmit.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Drift tag:</w:t>
      </w:r>
      <w:r>
        <w:rPr>
          <w:color w:val="9AA4AE"/>
        </w:rPr>
        <w:t xml:space="preserve"> if Class B elements are in scope, the Assembly proceeds but the output is born pre-flagged for canon-line review.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Certificate:</w:t>
      </w:r>
      <w:r>
        <w:rPr>
          <w:color w:val="9AA4AE"/>
        </w:rPr>
        <w:t xml:space="preserve"> a passing Assembly receives an Eligibility Certificate recorded in lineage. No certificate, no generation.</w:t>
      </w:r>
    </w:p>
    <w:p>
      <w:pPr>
        <w:pStyle w:val="Heading2"/>
      </w:pPr>
      <w:r>
        <w:rPr>
          <w:color w:val="C8A84B"/>
        </w:rPr>
        <w:t xml:space="preserve">1.5 Lock Authority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Only the canon line, by Director decree, creates, escalates, or amends locks.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The production line and the compiler </w:t>
      </w:r>
      <w:r>
        <w:rPr>
          <w:b/>
          <w:bCs/>
          <w:color w:val="E8ECF0"/>
        </w:rPr>
        <w:t xml:space="preserve">read</w:t>
      </w:r>
      <w:r>
        <w:rPr>
          <w:color w:val="9AA4AE"/>
        </w:rPr>
        <w:t xml:space="preserve"> manifests; they never write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A rejected Assembly is never an authority to question a lock — it is an escalation event, identical in handling to the body-signature drift event already on record.</w:t>
      </w:r>
    </w:p>
    <w:p>
      <w:r>
        <w:br w:type="page"/>
      </w:r>
    </w:p>
    <w:p>
      <w:pPr>
        <w:pStyle w:val="Heading1"/>
      </w:pPr>
      <w:r>
        <w:rPr>
          <w:color w:val="C8A84B"/>
        </w:rPr>
        <w:t xml:space="preserve">Instrument II — Assembly Ruleset</w:t>
      </w:r>
    </w:p>
    <w:p>
      <w:pPr>
        <w:pStyle w:val="Heading2"/>
      </w:pPr>
      <w:r>
        <w:rPr>
          <w:color w:val="C8A84B"/>
        </w:rPr>
        <w:t xml:space="preserve">2.1 Species Law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Narrative Cards are subjects.</w:t>
      </w:r>
      <w:r>
        <w:rPr>
          <w:color w:val="9AA4AE"/>
        </w:rPr>
        <w:t xml:space="preserve"> They are the only legal targets of transformation.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Artifact Cards are operators.</w:t>
      </w:r>
      <w:r>
        <w:rPr>
          <w:color w:val="9AA4AE"/>
        </w:rPr>
        <w:t xml:space="preserve"> They act on subjects; they never act on each other. No Artifact may target, modify, copy, or negate another Artifact.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Governance instruments, decrees, and doctrine documents are </w:t>
      </w:r>
      <w:r>
        <w:rPr>
          <w:b/>
          <w:bCs/>
          <w:color w:val="E8ECF0"/>
        </w:rPr>
        <w:t xml:space="preserve">not cards</w:t>
      </w:r>
      <w:r>
        <w:rPr>
          <w:color w:val="9AA4AE"/>
        </w:rPr>
        <w:t xml:space="preserve"> and can never enter an Assembly.</w:t>
      </w:r>
    </w:p>
    <w:p>
      <w:pPr>
        <w:pStyle w:val="Heading2"/>
      </w:pPr>
      <w:r>
        <w:rPr>
          <w:color w:val="C8A84B"/>
        </w:rPr>
        <w:t xml:space="preserve">2.2 Assembly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Limit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Stack cap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Maximum three (3) Artifact Cards per Assembly. [Director Decision D-1]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Domain exclusivity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One Artifact per domain per Assembly. Two Material Artifacts can never co-occur.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Subject count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One primary Narrative subject per Assembly in v1.0. Multi-subject Assemblies (e.g., sister constellation pieces) are deferred to v1.1 pending Calista’s dossier.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Output binding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Every Assembly declares its output class before the Eligibility Gate (Hero Poster, Lookbook shot, Card Set frame, Motion Loop). Motion-domain Artifacts are illegal in static output classes.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C8A84B"/>
        </w:rPr>
        <w:t xml:space="preserve">2.3 The Resolution Ladder</w:t>
      </w:r>
    </w:p>
    <w:p>
      <w:pPr>
        <w:spacing w:after="160"/>
      </w:pPr>
      <w:r>
        <w:rPr>
          <w:color w:val="9AA4AE"/>
        </w:rPr>
        <w:t xml:space="preserve">When multiple Artifacts pass the Eligibility Gate, they apply in a </w:t>
      </w:r>
      <w:r>
        <w:rPr>
          <w:b/>
          <w:bCs/>
          <w:color w:val="E8ECF0"/>
        </w:rPr>
        <w:t xml:space="preserve">fixed, universal order</w:t>
      </w:r>
      <w:r>
        <w:rPr>
          <w:color w:val="9AA4AE"/>
        </w:rPr>
        <w:t xml:space="preserve"> — never in the order drawn, named, or prompted. This makes every Assembly deterministic: the same cards always compile to the same instruction set. Rationale: structure resolves before surface, surface before light, light before air, air before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Rung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Domain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Resolves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Scale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Proportion and magnitude of the subject and scene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Built structure and spatial framework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Setting, terrain, world context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Material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Surfaces, substances, material signatures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Fashion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Wardrobe and adornment on the subject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Light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Illumination, tenebrism, photonic behavior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Atmosphere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Air, weather, particulate, mood medium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Motion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Movement and temporal behavior (motion outputs only)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Symbolism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Emblematic and iconographic overlays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Narrative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Story framing and event context — always resolves last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C8A84B"/>
        </w:rPr>
        <w:t xml:space="preserve">Lock Supremacy: </w:t>
      </w:r>
      <w:r>
        <w:rPr>
          <w:color w:val="9AA4AE"/>
        </w:rPr>
        <w:t xml:space="preserve">locks sit above the entire Ladder. No rung, no ordering, no combination of effects can reach a locked element. The Ladder orders legal effects; it never legalizes an illegal one.</w:t>
      </w:r>
    </w:p>
    <w:p>
      <w:pPr>
        <w:pStyle w:val="Heading2"/>
      </w:pPr>
      <w:r>
        <w:rPr>
          <w:color w:val="C8A84B"/>
        </w:rPr>
        <w:t xml:space="preserve">2.4 Derived States &amp; Lineage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Naming: </w:t>
      </w:r>
      <w:r>
        <w:rPr>
          <w:color w:val="9AA4AE"/>
        </w:rPr>
        <w:t xml:space="preserve">a completed Assembly produces a Derived State named by its operators in Ladder order, e.g., “Mirror-Fractured, Golden-Ascended Voss — DS-VOSS-0007”.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Lineage record: </w:t>
      </w:r>
      <w:r>
        <w:rPr>
          <w:color w:val="9AA4AE"/>
        </w:rPr>
        <w:t xml:space="preserve">base card ID + version, Artifact IDs in resolution order, Eligibility Certificate ID, output class, timestamp. Append-only, written to the shared registry.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No mutation: </w:t>
      </w:r>
      <w:r>
        <w:rPr>
          <w:color w:val="9AA4AE"/>
        </w:rPr>
        <w:t xml:space="preserve">Derived States never alter the base Narrative Card. The Master Anchor prompt remains the sole source of character truth.</w:t>
      </w:r>
    </w:p>
    <w:p>
      <w:pPr>
        <w:pStyle w:val="Heading2"/>
      </w:pPr>
      <w:r>
        <w:rPr>
          <w:color w:val="C8A84B"/>
        </w:rPr>
        <w:t xml:space="preserve">2.5 Release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Proposed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Default state of every Assembly output. Internal only. Not canon, not sellable, not publishable.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Flagged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Proposed State carrying a Class B drift flag or quality-gate concern. Frozen pending canon-line review.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Released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Director has ruled. The Derived State enters the catalog and may carry collector, narrative, and brand value. Release authority is exclusive and non-delegable.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C8A84B"/>
        </w:rPr>
        <w:t xml:space="preserve">Part III — Director Decision Points</w:t>
      </w:r>
    </w:p>
    <w:p>
      <w:pPr>
        <w:spacing w:after="160"/>
      </w:pPr>
      <w:r>
        <w:rPr>
          <w:color w:val="9AA4AE"/>
        </w:rPr>
        <w:t xml:space="preserve">The following parameters are drafted as defaults and require explicit Director ruling before ratification: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Stack cap of three.</w:t>
      </w:r>
      <w:r>
        <w:rPr>
          <w:color w:val="9AA4AE"/>
        </w:rPr>
        <w:t xml:space="preserve"> Lower (2) maximizes control; higher (4–5) maximizes collector combinatorics but multiplies drift surface.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Resolution Ladder order.</w:t>
      </w:r>
      <w:r>
        <w:rPr>
          <w:color w:val="9AA4AE"/>
        </w:rPr>
        <w:t xml:space="preserve"> The ten-rung sequence above is proposed, not inherited. Once ratified, reordering requires a constitutional amendment — every existing Derived State’s reproducibility depends on it.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Initial lock manifests.</w:t>
      </w:r>
      <w:r>
        <w:rPr>
          <w:color w:val="9AA4AE"/>
        </w:rPr>
        <w:t xml:space="preserve"> Isolde’s eyes as Ω, hair architecture as Class A, skin/bloom as Class B are proposed assignments. The Director assigns final classes from the v3 dossier.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Domain viability pass.</w:t>
      </w:r>
      <w:r>
        <w:rPr>
          <w:color w:val="9AA4AE"/>
        </w:rPr>
        <w:t xml:space="preserve"> Narrative and Scale are weak as future game verbs. Ruling needed: keep all ten domains, or trim to a mechanically strong eight before any deck is printed.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Multi-subject deferral.</w:t>
      </w:r>
      <w:r>
        <w:rPr>
          <w:color w:val="9AA4AE"/>
        </w:rPr>
        <w:t xml:space="preserve"> Confirm that two-subject Assemblies wait for Calista’s dossier and the constellation panel.</w:t>
      </w:r>
    </w:p>
    <w:p>
      <w:pPr>
        <w:pStyle w:val="Heading1"/>
      </w:pPr>
      <w:r>
        <w:rPr>
          <w:color w:val="C8A84B"/>
        </w:rPr>
        <w:t xml:space="preserve">Part IV — n+3 Anticipations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n+1 — Registry bridge: </w:t>
      </w:r>
      <w:r>
        <w:rPr>
          <w:color w:val="9AA4AE"/>
        </w:rPr>
        <w:t xml:space="preserve">the Lock Manifest schema is the first machine-readable object the fge-registry-bridge skill will consume. Freezing field names now means the bridge is built once. The registry-home decision (Claude vs. Notion) is a hard prerequisite to populating manifests.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n+2 — Collector-facing rules: </w:t>
      </w:r>
      <w:r>
        <w:rPr>
          <w:color w:val="9AA4AE"/>
        </w:rPr>
        <w:t xml:space="preserve">this internal ruleset will need a public-facing abridgment for the Foundation Deck rulebook. Write it as a translation of this instrument, never a fork — one ruleset, two reading levels.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n+3 — Game engine inheritance: </w:t>
      </w:r>
      <w:r>
        <w:rPr>
          <w:color w:val="9AA4AE"/>
        </w:rPr>
        <w:t xml:space="preserve">the Eligibility Gate and Resolution Ladder are, structurally, a rules engine. If ratified deterministic, the future game layer inherits them verbatim — the cost of rigor now is the entire cost of a rules engine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n+3 — Provenance as product: </w:t>
      </w:r>
      <w:r>
        <w:rPr>
          <w:color w:val="9AA4AE"/>
        </w:rPr>
        <w:t xml:space="preserve">lineage records (base + operators + certificate) become printable provenance chains on collector cards — a differentiator no informal competitor can fake.</w:t>
      </w:r>
    </w:p>
    <w:p>
      <w:pPr>
        <w:pBdr>
          <w:bottom w:val="single" w:color="8A742E" w:sz="6" w:space="1"/>
        </w:pBdr>
        <w:spacing w:after="240"/>
      </w:pPr>
    </w:p>
    <w:p>
      <w:pPr>
        <w:pStyle w:val="Heading1"/>
      </w:pPr>
      <w:r>
        <w:rPr>
          <w:color w:val="C8A84B"/>
        </w:rPr>
        <w:t xml:space="preserve">Ratification Block</w:t>
      </w:r>
    </w:p>
    <w:p>
      <w:pPr>
        <w:spacing w:after="160"/>
      </w:pPr>
      <w:r>
        <w:rPr>
          <w:color w:val="9AA4AE"/>
        </w:rPr>
        <w:t xml:space="preserve">This instrument is </w:t>
      </w:r>
      <w:r>
        <w:rPr>
          <w:b/>
          <w:bCs/>
          <w:color w:val="C0504D"/>
        </w:rPr>
        <w:t xml:space="preserve">DRAFT</w:t>
      </w:r>
      <w:r>
        <w:rPr>
          <w:color w:val="9AA4AE"/>
        </w:rPr>
        <w:t xml:space="preserve"> until the Director rules on Decision Points D-1 through D-5 and signs ratification. Upon ratification it becomes binding on both production lines, enforced at the Eligibility Gate, and recorded in the shared registry as FGE-CONST-LOCK-001 v1.0.</w:t>
      </w:r>
    </w:p>
    <w:p>
      <w:pPr>
        <w:spacing w:after="160"/>
      </w:pPr>
      <w:r>
        <w:rPr>
          <w:i/>
          <w:iCs/>
          <w:color w:val="5A646E"/>
        </w:rPr>
        <w:t xml:space="preserve">Other substrates propose; the Director disposes.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D-%1"/>
      <w:lvlJc w:val="left"/>
      <w:pPr>
        <w:ind w:left="86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AA4A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C8A8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60"/>
      <w:outlineLvl w:val="1"/>
    </w:pPr>
    <w:rPr>
      <w:rFonts w:ascii="Arial" w:cs="Arial" w:eastAsia="Arial" w:hAnsi="Arial"/>
      <w:b/>
      <w:bCs/>
      <w:color w:val="C8A84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E8ECF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2026-06-10T19:23:27.580Z</dcterms:created>
  <dcterms:modified xsi:type="dcterms:W3CDTF">2026-06-10T19:23:27.580Z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