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888888"/>
          <w:sz w:val="18"/>
          <w:szCs w:val="18"/>
        </w:rPr>
        <w:t xml:space="preserve">STRICTLY PRIVATE &amp; CONFIDENTIAL</w:t>
      </w:r>
    </w:p>
    <w:p>
      <w:pPr>
        <w:pBdr>
          <w:top w:val="single" w:color="C9A84C" w:sz="8" w:space="8"/>
          <w:bottom w:val="single" w:color="C9A84C" w:sz="8" w:space="8"/>
        </w:pBdr>
        <w:spacing w:after="80" w:before="80"/>
        <w:jc w:val="center"/>
      </w:pPr>
      <w:r>
        <w:rPr>
          <w:rFonts w:ascii="Arial" w:cs="Arial" w:eastAsia="Arial" w:hAnsi="Arial"/>
          <w:b/>
          <w:bCs/>
          <w:color w:val="1A1A1A"/>
          <w:sz w:val="48"/>
          <w:szCs w:val="48"/>
        </w:rPr>
        <w:t xml:space="preserve">TERM SHEET</w:t>
      </w:r>
    </w:p>
    <w:p>
      <w:pPr>
        <w:spacing w:after="40" w:before="80"/>
      </w:pPr>
    </w:p>
    <w:p>
      <w:pPr>
        <w:spacing w:after="40" w:before="40"/>
        <w:jc w:val="center"/>
      </w:pPr>
      <w:r>
        <w:rPr>
          <w:rFonts w:ascii="Arial" w:cs="Arial" w:eastAsia="Arial" w:hAnsi="Arial"/>
          <w:b/>
          <w:bCs/>
          <w:color w:val="1A1A1A"/>
          <w:sz w:val="28"/>
          <w:szCs w:val="28"/>
        </w:rPr>
        <w:t xml:space="preserve">Project SNS — Sovereign Intelligence Infrastructure Sub-Fund</w:t>
      </w:r>
    </w:p>
    <w:p>
      <w:pPr>
        <w:spacing w:after="40" w:before="40"/>
        <w:jc w:val="center"/>
      </w:pPr>
      <w:r>
        <w:rPr>
          <w:rFonts w:ascii="Arial" w:cs="Arial" w:eastAsia="Arial" w:hAnsi="Arial"/>
          <w:i/>
          <w:iCs/>
          <w:color w:val="555555"/>
          <w:sz w:val="22"/>
          <w:szCs w:val="22"/>
        </w:rPr>
        <w:t xml:space="preserve">Private Placement of Participating Shares</w:t>
      </w:r>
    </w:p>
    <w:p>
      <w:pPr>
        <w:spacing w:after="40" w:before="40"/>
        <w:jc w:val="center"/>
      </w:pPr>
      <w:r>
        <w:rPr>
          <w:rFonts w:ascii="Arial" w:cs="Arial" w:eastAsia="Arial" w:hAnsi="Arial"/>
          <w:color w:val="777777"/>
          <w:sz w:val="20"/>
          <w:szCs w:val="20"/>
        </w:rPr>
        <w:t xml:space="preserve">Variable Capital Company Sub-Fund | Singapore</w:t>
      </w:r>
    </w:p>
    <w:p>
      <w:pPr>
        <w:spacing w:after="40" w:before="40"/>
      </w:pPr>
    </w:p>
    <w:p>
      <w:pPr>
        <w:spacing w:after="480" w:before="40"/>
        <w:jc w:val="center"/>
      </w:pPr>
      <w:r>
        <w:rPr>
          <w:rFonts w:ascii="Arial" w:cs="Arial" w:eastAsia="Arial" w:hAnsi="Arial"/>
          <w:color w:val="999999"/>
          <w:sz w:val="18"/>
          <w:szCs w:val="18"/>
        </w:rPr>
        <w:t xml:space="preserve">Date: 15 May 2026</w:t>
      </w:r>
    </w:p>
    <w:p>
      <w:pPr>
        <w:pBdr>
          <w:bottom w:val="single" w:color="C9A84C" w:sz="6" w:space="1"/>
        </w:pBdr>
        <w:spacing w:after="160" w:before="160"/>
      </w:pPr>
    </w:p>
    <w:p>
      <w:pPr>
        <w:spacing w:after="80" w:before="120"/>
      </w:pPr>
    </w:p>
    <w:p>
      <w:pPr>
        <w:spacing w:after="80" w:before="80"/>
      </w:pPr>
      <w:r>
        <w:rPr>
          <w:rFonts w:ascii="Arial" w:cs="Arial" w:eastAsia="Arial" w:hAnsi="Arial"/>
          <w:i/>
          <w:iCs/>
          <w:color w:val="555555"/>
          <w:sz w:val="18"/>
          <w:szCs w:val="18"/>
        </w:rPr>
        <w:t xml:space="preserve">This Term Sheet summarises the principal terms for a proposed private placement of participating shares in a segregated sub-fund (the "Sub-Fund") of an umbrella Variable Capital Company (the "Company") incorporated in Singapore pursuant to the Variable Capital Companies Act 2018. This document is indicative only, non-binding, and subject to execution of definitive legal agreements and satisfaction of all regulatory requirements.</w:t>
      </w:r>
    </w:p>
    <w:p>
      <w:pPr>
        <w:pBdr>
          <w:bottom w:val="single" w:color="C9A84C" w:sz="4" w:space="4"/>
        </w:pBdr>
        <w:spacing w:after="160" w:before="320"/>
      </w:pPr>
      <w:r>
        <w:rPr>
          <w:rFonts w:ascii="Arial" w:cs="Arial" w:eastAsia="Arial" w:hAnsi="Arial"/>
          <w:b/>
          <w:bCs/>
          <w:color w:val="1A1A1A"/>
          <w:sz w:val="26"/>
          <w:szCs w:val="26"/>
        </w:rPr>
        <w:t xml:space="preserve">1.  SUMMARY OF PRINCIPAL TERMS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Term</w:t>
            </w:r>
          </w:p>
        </w:tc>
        <w:tc>
          <w:tcPr>
            <w:tcW w:type="dxa" w:w="656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Issuer</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[Umbrella VCC Name], a Variable Capital Company incorporated in Singapore under the Variable Capital Companies Act 2018 (VCC Act). Registration pending with ACRA.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Sub-Fund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[SNS] Sovereign Intelligence Sub-Fund — a legally segregated cell within the Umbrella VCC. Assets, liabilities, income and expenditure attributable to the Sub-Fund are ring-fenced from all other sub-funds pursuant to the VCC Act.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Investment Manager</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[MAS-Licensed Fund Manager Name] — a Permissible Fund Manager holding a valid Capital Markets Services licence issued by the Monetary Authority of Singapore (MAS) for fund management activities.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Closed-ended VCC sub-fund. Participating shares represent fractional economic interests in the underlying SNS cognitive infrastructure assets and associated revenue streams.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Anchor Investment</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US$32,220,000 (the "Anchor Position") — representing a first-loss tranche secured against a conservative floor valuation of US$53,700,000.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Offering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Private Placement Exemption for Institutional and Accredited Investors pursuant to the Securities and Futures Act (SFA). GIC Private Limited and Temasek Holdings qualify as Institutional Investors under Section 4A(1)(c) SFA. No MAS-lodged prospectus is required for this offering.</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Board Structure</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Minimum one Singapore-resident director (Singapore citizen, PR, or Employment Pass holder) who is also a director or Qualified Representative of the Investment Manager, as required by Section 46 of the VCC 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Denomination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United States Dollars (USD). Stablecoin equivalent: USDC (Circle), routed via MAS-compliant fiat bridge within 48 hours of receipt.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Minimum Subscription</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US$10,000,000 per Institutional Investor. Subject to Investment Manager discretion.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Target Close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[Date — within 30 days of execution of Subscription Agreement]</w:t>
            </w:r>
          </w:p>
        </w:tc>
      </w:tr>
    </w:tbl>
    <w:p>
      <w:pPr>
        <w:spacing w:after="80" w:before="160"/>
      </w:pPr>
    </w:p>
    <w:p>
      <w:pPr>
        <w:pBdr>
          <w:bottom w:val="single" w:color="C9A84C" w:sz="4" w:space="4"/>
        </w:pBdr>
        <w:spacing w:after="160" w:before="320"/>
      </w:pPr>
      <w:r>
        <w:rPr>
          <w:rFonts w:ascii="Arial" w:cs="Arial" w:eastAsia="Arial" w:hAnsi="Arial"/>
          <w:b/>
          <w:bCs/>
          <w:color w:val="1A1A1A"/>
          <w:sz w:val="26"/>
          <w:szCs w:val="26"/>
        </w:rPr>
        <w:t xml:space="preserve">2.  OPERATIONAL &amp; RISK GOVERNANCE — THE ASYMMETRIC GATE</w:t>
      </w:r>
    </w:p>
    <w:p>
      <w:pPr>
        <w:spacing w:after="60" w:before="60"/>
      </w:pPr>
    </w:p>
    <w:p>
      <w:pPr>
        <w:spacing w:after="60" w:before="60"/>
      </w:pPr>
      <w:r>
        <w:rPr>
          <w:rFonts w:ascii="Arial" w:cs="Arial" w:eastAsia="Arial" w:hAnsi="Arial"/>
          <w:color w:val="1A1A1A"/>
          <w:sz w:val="20"/>
          <w:szCs w:val="20"/>
        </w:rPr>
        <w:t xml:space="preserve">The Sub-Fund operates a dual-layer risk architecture in which off-chain telemetry processes micro-fluctuations in real time, while macroscopic capital enforcement is anchored immutably to the SNSCreditVault smart contract on an EVM-compatible ledger. The canonical predicate for all capital allocation decisions is on-chain state.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656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Canonical Risk Gate</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The SNSCreditVault.sol smart contract is the sole source of truth for Loan-to-Value (LTV) limits, borrow capacity, and circuit breaker state. Off-chain systems may propose state changes; only on-chain confirmation is binding.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Confidence Oracle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 24-hour aggregated median derived from three independent oracle feeds: Chainlink Functions, Pyth Network, and an internal ZK-proof audit log. Median calculation prevents single-feed manipulation. Oracle weights: Chainlink 40% / Pyth 35% / ZK Audit 25%. No single feed may exceed 50% weighting.</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LTV Tiers</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C ≥ 0.85 (Premium): 70% LTV against US$86.4M ceiling → US$60.5M capacity. 0.75 ≤ C &lt; 0.85 (Floor): 60% LTV against US$53.7M floor → US$32.2M capacity. C &lt; 0.75: Circuit break → US$0 capacity.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Circuit Breaker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Immutable on-chain freeze triggers automatically if the 30-day moving average Confidence Score (C) falls below 0.75. All new capital drawdowns halt within one block confirmation (~12 seconds on Ethereum mainnet / ~1 second on L2 deployment).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Recovery Rule (14-Day Grace)</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Capital facility re-opens only if: (i) C ≥ 0.80 is achieved within the 14-day grace window, AND (ii) C ≥ 0.80 is maintained for 7 consecutive oracle update cycles. Failure to recover within the grace window requires manual owner intervention — an event logged on-chain for LP audit.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CHIP Slashing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Upon circuit break, staked CHIP governance tokens held by underperforming data nodes are automatically slashed on-chain. Slashed balances are rerouted to the LP staking pool to buffer Investor principal. Slashing is authorised exclusively by on-chain vault state (vault.circuitBroken() == true). No off-chain operator can unilaterally trigger slashing.</w:t>
            </w:r>
          </w:p>
        </w:tc>
      </w:tr>
    </w:tbl>
    <w:p>
      <w:pPr>
        <w:spacing w:after="80" w:before="160"/>
      </w:pPr>
    </w:p>
    <w:p>
      <w:pPr>
        <w:pBdr>
          <w:bottom w:val="single" w:color="C9A84C" w:sz="4" w:space="4"/>
        </w:pBdr>
        <w:spacing w:after="160" w:before="320"/>
      </w:pPr>
      <w:r>
        <w:rPr>
          <w:rFonts w:ascii="Arial" w:cs="Arial" w:eastAsia="Arial" w:hAnsi="Arial"/>
          <w:b/>
          <w:bCs/>
          <w:color w:val="1A1A1A"/>
          <w:sz w:val="26"/>
          <w:szCs w:val="26"/>
        </w:rPr>
        <w:t xml:space="preserve">3.  ECONOMIC &amp; TOKENOMIC ARCHITECTURE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Term</w:t>
            </w:r>
          </w:p>
        </w:tc>
        <w:tc>
          <w:tcPr>
            <w:tcW w:type="dxa" w:w="656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Details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Yield Asset: sUSDai (ERC-4626)</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Auto-compounding synthetic stablecoin. 80% of enterprise retainer revenues (Tier 2: US$15,000/mo; Tier 3: US$50,000/mo + performance fee) are programmatically routed into the on-chain spvTreasury multisig via the sweepYield() function and distributed to LP positions.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Projected APY by C-Tier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 &lt; 0.75: 4.0% (base Aave V3 yield only — circuit active). 0.75–0.84: 6.0%. 0.85–0.91: 8.0%. ≥ 0.92: 10.5%+.</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Governance Token: CHIP (ERC-20)</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Network coordination and slashing token. Total supply cap: 5,000,000 CHIP. Deflationary burn: 20% of inbound revenue triggers automated open-market CHIP buyback and burn, increasing systemic scarcity.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Collateral Token: SNS-RWA (ERC-1155)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Fractionalized vault receipt token. Represents fractional ownership of the US$53.7M floor valuation. Issued by the SPV to Institutional LPs upon capital deployment.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Fiat Bridge</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Enterprise retainer fees received in SGD/USD are converted to USDC via Circle Programmable Wallets or BVNK within 48 hours. SPV bylaws stipulate that failure to route within 48 hours constitutes an event of default, triggering IP assignment of the SNS graph database to credit pool lenders.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Liquidation Waterfall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 grace period expiry without recovery: (1) sweepYield() halts; (2) sUSDai positions continue compounding; (3) SNS-RWA tokens enter 30-day redemption window; (4) SPV triggers IP assignment; (5) SNS-GOV stakers receive residual after senior debt is cleared in full.</w:t>
            </w:r>
          </w:p>
        </w:tc>
      </w:tr>
    </w:tbl>
    <w:p>
      <w:pPr>
        <w:spacing w:after="80" w:before="160"/>
      </w:pPr>
    </w:p>
    <w:p>
      <w:pPr>
        <w:pBdr>
          <w:bottom w:val="single" w:color="C9A84C" w:sz="4" w:space="4"/>
        </w:pBdr>
        <w:spacing w:after="160" w:before="320"/>
      </w:pPr>
      <w:r>
        <w:rPr>
          <w:rFonts w:ascii="Arial" w:cs="Arial" w:eastAsia="Arial" w:hAnsi="Arial"/>
          <w:b/>
          <w:bCs/>
          <w:color w:val="1A1A1A"/>
          <w:sz w:val="26"/>
          <w:szCs w:val="26"/>
        </w:rPr>
        <w:t xml:space="preserve">4.  PROJECTED RETURNS — DCF SUMMARY</w:t>
      </w:r>
    </w:p>
    <w:p>
      <w:pPr>
        <w:spacing w:after="60" w:before="60"/>
      </w:pPr>
    </w:p>
    <w:p>
      <w:pPr>
        <w:spacing w:after="60" w:before="60"/>
      </w:pPr>
      <w:r>
        <w:rPr>
          <w:rFonts w:ascii="Arial" w:cs="Arial" w:eastAsia="Arial" w:hAnsi="Arial"/>
          <w:color w:val="1A1A1A"/>
          <w:sz w:val="20"/>
          <w:szCs w:val="20"/>
        </w:rPr>
        <w:t xml:space="preserve">The following projections are based on a WACC of 12%, terminal growth rate of 3%, and nominal confidence trajectory of C = 0.85 → 0.93 by Month 14. All figures are indicative and subject to actual system performance.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Metric</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Year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Total Intrinsic Value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US$69,607,417</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Floor Valuation (C = 0.75)</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US$53,700,000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Sovereign Ceiling (C ≥ 0.92)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US$103,500,000</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Anchor LP Debt Capacity</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US$32,200,000 (floor) → US$48,700,000 (premium)</w:t>
            </w:r>
          </w:p>
        </w:tc>
      </w:tr>
    </w:tbl>
    <w:p>
      <w:pPr>
        <w:spacing w:after="80" w:before="160"/>
      </w:pPr>
    </w:p>
    <w:p>
      <w:pPr>
        <w:pBdr>
          <w:bottom w:val="single" w:color="C9A84C" w:sz="4" w:space="4"/>
        </w:pBdr>
        <w:spacing w:after="160" w:before="320"/>
      </w:pPr>
      <w:r>
        <w:rPr>
          <w:rFonts w:ascii="Arial" w:cs="Arial" w:eastAsia="Arial" w:hAnsi="Arial"/>
          <w:b/>
          <w:bCs/>
          <w:color w:val="1A1A1A"/>
          <w:sz w:val="26"/>
          <w:szCs w:val="26"/>
        </w:rPr>
        <w:t xml:space="preserve">5.  COMPLIANCE &amp; ADMINISTRATIVE MANDATES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Requirement</w:t>
            </w:r>
          </w:p>
        </w:tc>
        <w:tc>
          <w:tcPr>
            <w:tcW w:type="dxa" w:w="656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Status / Detail</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VCC Act 2018 — ACRA Registration</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Umbrella VCC to be incorporated under the Variable Capital Companies Act 2018. Sub-Fund registered as a segregated cell. Annual sub-fund returns filed separately with ACRA.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MAS Oversight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Investment Manager holds MAS Capital Markets Services licence. VCC subject to MAS AML/CFT supervision under the Financial Services and Markets Act 2022.</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AML/CFT — MAS Notice PSN02</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Full compliance with MAS Notice PSN02 (Prevention of Money Laundering and Countering the Financing of Terrorism — Digital Payment Token Service). Effective 2 April 2024.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Travel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DPT transfers comply with the Travel Rule as operationalised under MAS Notice PSN02 Guidelines. Enhanced monitoring applied to transactions above threshold and high-risk counterparties.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PSA 2019 (as amended 2026)</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DPT custody services conducted under Major Payment Institution (MPI) licence framework. Base capital requirement: SGD 500,000. Annual MAS audit. Initial LP tranche structured as private placement to Institutional Investors — exempt from retail DPT service licensing requirements.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Custody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Digital assets held in segregated custodian wallet structure (Gnosis Safe multisig). Compliant with PSA 2026 amendment requirements for DPT custody services to Accredited/Institutional Investors.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Tax Incentive</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Sub-Fund to seek election under Section 13O / 13U of the Singapore Income Tax Act (formerly 13R/13X) for tax exemption on designated investments at umbrella level, subject to MAS approval.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Annual Audit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Annual audit by a Singapore-registered auditor. Audited financial statements filed with ACRA within six months of each financial year-end.</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KYC / Investor Onboarding</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All Investors subject to institutional KYC: corporate registry documents, authorised signatories, source of funds declaration. GIC and Temasek onboarding follows standard sovereign wealth fund AML protocol.</w:t>
            </w:r>
          </w:p>
        </w:tc>
      </w:tr>
    </w:tbl>
    <w:p>
      <w:pPr>
        <w:spacing w:after="80" w:before="160"/>
      </w:pPr>
    </w:p>
    <w:p>
      <w:pPr>
        <w:pBdr>
          <w:bottom w:val="single" w:color="C9A84C" w:sz="4" w:space="4"/>
        </w:pBdr>
        <w:spacing w:after="160" w:before="320"/>
      </w:pPr>
      <w:r>
        <w:rPr>
          <w:rFonts w:ascii="Arial" w:cs="Arial" w:eastAsia="Arial" w:hAnsi="Arial"/>
          <w:b/>
          <w:bCs/>
          <w:color w:val="1A1A1A"/>
          <w:sz w:val="26"/>
          <w:szCs w:val="26"/>
        </w:rPr>
        <w:t xml:space="preserve">6.  REGULATORY CITATIONS FOR LEGAL COUNSEL</w:t>
      </w:r>
    </w:p>
    <w:p>
      <w:pPr>
        <w:spacing w:after="60" w:before="60"/>
      </w:pPr>
    </w:p>
    <w:p>
      <w:pPr>
        <w:spacing w:after="60" w:before="60"/>
      </w:pPr>
      <w:r>
        <w:rPr>
          <w:rFonts w:ascii="Arial" w:cs="Arial" w:eastAsia="Arial" w:hAnsi="Arial"/>
          <w:i/>
          <w:iCs/>
          <w:color w:val="1A1A1A"/>
          <w:sz w:val="20"/>
          <w:szCs w:val="20"/>
        </w:rPr>
        <w:t xml:space="preserve">The following primary legislation and notices govern this structure. Counsel should verify currency of all provisions as of the closing date.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Instrument</w:t>
            </w:r>
          </w:p>
        </w:tc>
        <w:tc>
          <w:tcPr>
            <w:tcW w:type="dxa" w:w="656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Relevance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Variable Capital Companies Act 2018</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Primary legislation for VCC incorporation, sub-fund segregation, and resident director requirements (Section 46). Administered by ACRA in conjunction with MAS.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Payment Services Act 2019 (as amended)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Governs DPT services including custody, exchange, and transfer. MPI licence required for custody of customer DPTs. 2026 amendments extended scope to NFT platforms with payment functionality.</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Securities and Futures Act (SFA)</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Private placement exemptions: Section 272B (institutional investors) and Section 302C (accredited investors). GIC and Temasek qualify as Institutional Investors under Section 4A(1)(c).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MAS Notice PSN02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AML/CFT obligations for licensed DPT service providers. Issued under Section 16 of the Financial Services and Markets Act 2022. Effective 2 April 2024.</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Singapore Income Tax Act</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Section 13O / 13U tax exemption on designated investments for qualifying fund structures managed by MAS-licensed fund managers.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Recommended Counsel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Allen &amp; Gledhill LLP; WongPartnership LLP; Rajah &amp; Tann Singapore LLP — all maintain dedicated DPT / digital assets and fund formation practices.</w:t>
            </w:r>
          </w:p>
        </w:tc>
      </w:tr>
    </w:tbl>
    <w:p>
      <w:pPr>
        <w:spacing w:after="80" w:before="160"/>
      </w:pPr>
    </w:p>
    <w:p>
      <w:pPr>
        <w:pBdr>
          <w:bottom w:val="single" w:color="C9A84C" w:sz="4" w:space="4"/>
        </w:pBdr>
        <w:spacing w:after="160" w:before="320"/>
      </w:pPr>
      <w:r>
        <w:rPr>
          <w:rFonts w:ascii="Arial" w:cs="Arial" w:eastAsia="Arial" w:hAnsi="Arial"/>
          <w:b/>
          <w:bCs/>
          <w:color w:val="1A1A1A"/>
          <w:sz w:val="26"/>
          <w:szCs w:val="26"/>
        </w:rPr>
        <w:t xml:space="preserve">7.  NEXT STEPS — 72-HOUR CRITICAL PATH</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Milestone</w:t>
            </w:r>
          </w:p>
        </w:tc>
        <w:tc>
          <w:tcPr>
            <w:tcW w:type="dxa" w:w="656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Action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Day 1 — Fund Manager Engagement</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Engage Singapore-based Permissible Fund Manager (RFMC or LFMC) to act as named manager of the VCC. Confirm resident director appointment. Initiate ACRA VCC registration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Day 1 — Legal Opinion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Instruct Singapore counsel (Allen &amp; Gledhill or equivalent) to issue one-page regulatory opinion confirming: (i) private placement exemption applies to GIC/Temasek as Institutional Investors; (ii) proposed DPT activities fall within MPI licence scope or exempt category.</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Day 2 — VCC Term Sheet Execution</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Circulate this Term Sheet to LP compliance desk. Obtain indication of interest. Confirm subscription amount and closing timeline.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Day 2 — Fiat Bridge Documentation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Document ACH-to-USDC routing procedure (Circle Programmable Wallets / BVNK). Draft SPV bylaw clause: failure to route within 48 hours = event of default → IP assignment trigger.</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1A1A1A"/>
                <w:sz w:val="18"/>
                <w:szCs w:val="18"/>
              </w:rPr>
              <w:t xml:space="preserve">Day 3 — KYC Package</w:t>
            </w:r>
          </w:p>
        </w:tc>
        <w:tc>
          <w:tcPr>
            <w:tcW w:type="dxa" w:w="6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1A1A1A"/>
                <w:sz w:val="18"/>
                <w:szCs w:val="18"/>
              </w:rPr>
              <w:t xml:space="preserve">Prepare institutional KYC package for LP onboarding: corporate registry, authorised signatories, source of funds declaration, AML certification.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Post-Close — Testnet Verification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SNSCreditVault.sol and CHIPToken.sol deployed to Sepolia testnet. Live War Room Dashboard demonstration available to LP compliance and investment committee on request.</w:t>
            </w:r>
          </w:p>
        </w:tc>
      </w:tr>
    </w:tbl>
    <w:p>
      <w:pPr>
        <w:spacing w:after="80" w:before="160"/>
      </w:pPr>
    </w:p>
    <w:p>
      <w:pPr>
        <w:pBdr>
          <w:bottom w:val="single" w:color="C9A84C" w:sz="6" w:space="1"/>
        </w:pBdr>
        <w:spacing w:after="160" w:before="160"/>
      </w:pPr>
    </w:p>
    <w:p>
      <w:pPr>
        <w:spacing w:after="80" w:before="80"/>
      </w:pPr>
    </w:p>
    <w:p>
      <w:pPr>
        <w:spacing w:after="40" w:before="80"/>
        <w:jc w:val="center"/>
      </w:pPr>
      <w:r>
        <w:rPr>
          <w:rFonts w:ascii="Arial" w:cs="Arial" w:eastAsia="Arial" w:hAnsi="Arial"/>
          <w:b/>
          <w:bCs/>
          <w:color w:val="1A1A1A"/>
          <w:sz w:val="18"/>
          <w:szCs w:val="18"/>
        </w:rPr>
        <w:t xml:space="preserve">CONFIDENTIALITY NOTICE</w:t>
      </w:r>
    </w:p>
    <w:p>
      <w:pPr>
        <w:spacing w:after="80" w:before="40"/>
        <w:jc w:val="center"/>
      </w:pPr>
      <w:r>
        <w:rPr>
          <w:rFonts w:ascii="Arial" w:cs="Arial" w:eastAsia="Arial" w:hAnsi="Arial"/>
          <w:i/>
          <w:iCs/>
          <w:color w:val="777777"/>
          <w:sz w:val="16"/>
          <w:szCs w:val="16"/>
        </w:rPr>
        <w:t xml:space="preserve">This Term Sheet is strictly private and confidential. It is intended solely for the named recipient and may not be reproduced, distributed, or disclosed to any third party without the prior written consent of the Issuer. This document does not constitute an offer to sell or a solicitation of an offer to buy any securities. Any investment decision should be made solely on the basis of the definitive Subscription Agreement and associated legal documentation.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center" w:pos="4680"/>
        <w:tab w:val="right" w:pos="9360"/>
      </w:tabs>
      <w:spacing w:before="80"/>
    </w:pPr>
    <w:r>
      <w:rPr>
        <w:rFonts w:ascii="Arial" w:cs="Arial" w:eastAsia="Arial" w:hAnsi="Arial"/>
        <w:color w:val="999999"/>
        <w:sz w:val="16"/>
        <w:szCs w:val="16"/>
      </w:rPr>
      <w:t xml:space="preserve">Project SNS — Sovereign Intelligence Sub-Fund</w:t>
    </w:r>
    <w:r>
      <w:rPr>
        <w:rFonts w:ascii="Arial" w:cs="Arial" w:eastAsia="Arial" w:hAnsi="Arial"/>
        <w:color w:val="999999"/>
        <w:sz w:val="16"/>
        <w:szCs w:val="16"/>
      </w:rPr>
      <w:t xml:space="preserve">	STRICTLY PRIVATE &amp; CONFIDENTIAL	</w:t>
    </w:r>
    <w:r>
      <w:rPr>
        <w:rFonts w:ascii="Arial" w:cs="Arial" w:eastAsia="Arial" w:hAnsi="Arial"/>
        <w:color w:val="999999"/>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2026-05-15T09:31:37.950Z</dcterms:created>
  <dcterms:modified xsi:type="dcterms:W3CDTF">2026-05-15T09:31:37.950Z</dcterms:modified>
</cp:coreProperties>
</file>

<file path=docProps/custom.xml><?xml version="1.0" encoding="utf-8"?>
<Properties xmlns="http://schemas.openxmlformats.org/officeDocument/2006/custom-properties" xmlns:vt="http://schemas.openxmlformats.org/officeDocument/2006/docPropsVTypes"/>
</file>