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B0D"/>
  <w:body>
    <w:p>
      <w:pPr>
        <w:spacing w:after="80" w:before="480"/>
        <w:jc w:val="center"/>
      </w:pPr>
      <w:r>
        <w:rPr>
          <w:b/>
          <w:bCs/>
          <w:color w:val="C8A84B"/>
          <w:spacing w:val="60"/>
          <w:sz w:val="26"/>
          <w:szCs w:val="26"/>
        </w:rPr>
        <w:t xml:space="preserve">FERAL GLOSS EMPIRE</w:t>
      </w:r>
    </w:p>
    <w:p>
      <w:pPr>
        <w:spacing w:after="120"/>
        <w:jc w:val="center"/>
      </w:pPr>
      <w:r>
        <w:rPr>
          <w:b/>
          <w:bCs/>
          <w:color w:val="E8ECF0"/>
          <w:sz w:val="40"/>
          <w:szCs w:val="40"/>
        </w:rPr>
        <w:t xml:space="preserve">RELIC LOCK PROTOCOL &amp; ASSEMBLY RULESET</w:t>
      </w:r>
    </w:p>
    <w:p>
      <w:pPr>
        <w:spacing w:after="60"/>
        <w:jc w:val="center"/>
      </w:pPr>
      <w:r>
        <w:rPr>
          <w:i/>
          <w:iCs/>
          <w:color w:val="9AA4AE"/>
          <w:sz w:val="24"/>
          <w:szCs w:val="24"/>
        </w:rPr>
        <w:t xml:space="preserve">Constitution of Transformation — v1.1 (Amended)</w:t>
      </w:r>
    </w:p>
    <w:p>
      <w:pPr>
        <w:spacing w:after="60"/>
        <w:jc w:val="center"/>
      </w:pPr>
      <w:r>
        <w:rPr>
          <w:color w:val="5A646E"/>
          <w:sz w:val="20"/>
          <w:szCs w:val="20"/>
        </w:rPr>
        <w:t xml:space="preserve">Instrument ID: FGE-CONST-LOCK-001</w:t>
      </w:r>
    </w:p>
    <w:p>
      <w:pPr>
        <w:spacing w:after="60"/>
        <w:jc w:val="center"/>
      </w:pPr>
      <w:r>
        <w:rPr>
          <w:b/>
          <w:bCs/>
          <w:color w:val="C8A84B"/>
          <w:sz w:val="20"/>
          <w:szCs w:val="20"/>
        </w:rPr>
        <w:t xml:space="preserve">Status: AMENDED DRAFT — READY FOR DIRECTOR RATIFICATION</w:t>
      </w:r>
    </w:p>
    <w:p>
      <w:pPr>
        <w:spacing w:after="320"/>
        <w:jc w:val="center"/>
      </w:pPr>
      <w:r>
        <w:rPr>
          <w:color w:val="5A646E"/>
          <w:sz w:val="20"/>
          <w:szCs w:val="20"/>
        </w:rPr>
        <w:t xml:space="preserve">Date: 2026-06-10 · Author of Record: Keith Clemente, Director · Drafting Substrate: Claude · Cross-Model Validation: Complete</w:t>
      </w:r>
    </w:p>
    <w:p>
      <w:pPr>
        <w:pBdr>
          <w:bottom w:val="single" w:color="8A742E" w:sz="6" w:space="1"/>
        </w:pBdr>
        <w:spacing w:after="240"/>
      </w:pPr>
    </w:p>
    <w:p>
      <w:pPr>
        <w:pStyle w:val="Heading1"/>
      </w:pPr>
      <w:r>
        <w:rPr>
          <w:color w:val="C8A84B"/>
        </w:rPr>
        <w:t xml:space="preserve">Amendment Log — v1.0 → v1.1</w:t>
      </w:r>
    </w:p>
    <w:p>
      <w:pPr>
        <w:spacing w:after="160"/>
      </w:pPr>
      <w:r>
        <w:rPr>
          <w:color w:val="9AA4AE"/>
        </w:rPr>
        <w:t xml:space="preserve">All amendments clarify the architecture; none alter the foundation. Per Director instruction, amendments are incorporated prior to ratification.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Ref</w:t>
            </w:r>
          </w:p>
        </w:tc>
        <w:tc>
          <w:tcPr>
            <w:tcW w:type="dxa" w:w="7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Amendment</w:t>
            </w:r>
          </w:p>
        </w:tc>
      </w:tr>
      <w:tr>
        <w:tc>
          <w:tcPr>
            <w:tcW w:type="dxa" w:w="1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A-1</w:t>
            </w:r>
          </w:p>
        </w:tc>
        <w:tc>
          <w:tcPr>
            <w:tcW w:type="dxa" w:w="7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Minting Law added: no Narrative Card exists without a populated Lock Manifest. Manifest precedes production, always.</w:t>
            </w:r>
          </w:p>
        </w:tc>
      </w:tr>
      <w:tr>
        <w:tc>
          <w:tcPr>
            <w:tcW w:type="dxa" w:w="1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A-2</w:t>
            </w:r>
          </w:p>
        </w:tc>
        <w:tc>
          <w:tcPr>
            <w:tcW w:type="dxa" w:w="7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Domain set compressed from ten to five: Material, Light, Form, Environment, Narrative. Former domains become sub-expressions. Resolution Ladder compressed accordingly.</w:t>
            </w:r>
          </w:p>
        </w:tc>
      </w:tr>
      <w:tr>
        <w:tc>
          <w:tcPr>
            <w:tcW w:type="dxa" w:w="1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A-3</w:t>
            </w:r>
          </w:p>
        </w:tc>
        <w:tc>
          <w:tcPr>
            <w:tcW w:type="dxa" w:w="7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Card Weight system added (Dominant / Supporting / Accent) as compiler render guidance, with a one-Dominant-per-Assembly cap.</w:t>
            </w:r>
          </w:p>
        </w:tc>
      </w:tr>
      <w:tr>
        <w:tc>
          <w:tcPr>
            <w:tcW w:type="dxa" w:w="1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A-4</w:t>
            </w:r>
          </w:p>
        </w:tc>
        <w:tc>
          <w:tcPr>
            <w:tcW w:type="dxa" w:w="7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Instrument III added: Card Lifecycle &amp; Canon Gravity (Candidate → Minted; Active / Archive; Major / Secondary / Experimental).</w:t>
            </w:r>
          </w:p>
        </w:tc>
      </w:tr>
      <w:tr>
        <w:tc>
          <w:tcPr>
            <w:tcW w:type="dxa" w:w="1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A-5</w:t>
            </w:r>
          </w:p>
        </w:tc>
        <w:tc>
          <w:tcPr>
            <w:tcW w:type="dxa" w:w="7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Instrument IV added: Canonical Render Pipeline — tool-agnostic minting doctrine. Cards are minted from finalized assets, never drafts.</w:t>
            </w:r>
          </w:p>
        </w:tc>
      </w:tr>
      <w:tr>
        <w:tc>
          <w:tcPr>
            <w:tcW w:type="dxa" w:w="1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A-6</w:t>
            </w:r>
          </w:p>
        </w:tc>
        <w:tc>
          <w:tcPr>
            <w:tcW w:type="dxa" w:w="7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Part V added: Foundation Set Doctrine — Minimum Viable Deck of 30 fully governed cards; remaining origin assets held as Expansion Pool candidates.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C8A84B"/>
        </w:rPr>
        <w:t xml:space="preserve">Preamble &amp; Authority</w:t>
      </w:r>
    </w:p>
    <w:p>
      <w:pPr>
        <w:spacing w:after="160"/>
      </w:pPr>
      <w:r>
        <w:rPr>
          <w:color w:val="9AA4AE"/>
        </w:rPr>
        <w:t xml:space="preserve">This instrument governs every act of transformation within the Dual-Species Card Architecture (FGE-PROP-SYSTEM-001). It binds four instruments and one doctrine: </w:t>
      </w:r>
      <w:r>
        <w:rPr>
          <w:b/>
          <w:bCs/>
          <w:color w:val="E8ECF0"/>
        </w:rPr>
        <w:t xml:space="preserve">I — the Relic Lock Protocol</w:t>
      </w:r>
      <w:r>
        <w:rPr>
          <w:color w:val="9AA4AE"/>
        </w:rPr>
        <w:t xml:space="preserve"> (what may never be transformed), </w:t>
      </w:r>
      <w:r>
        <w:rPr>
          <w:b/>
          <w:bCs/>
          <w:color w:val="E8ECF0"/>
        </w:rPr>
        <w:t xml:space="preserve">II — the Assembly Ruleset</w:t>
      </w:r>
      <w:r>
        <w:rPr>
          <w:color w:val="9AA4AE"/>
        </w:rPr>
        <w:t xml:space="preserve"> (how legal transformation occurs), </w:t>
      </w:r>
      <w:r>
        <w:rPr>
          <w:b/>
          <w:bCs/>
          <w:color w:val="E8ECF0"/>
        </w:rPr>
        <w:t xml:space="preserve">III — Card Lifecycle &amp; Canon Gravity</w:t>
      </w:r>
      <w:r>
        <w:rPr>
          <w:color w:val="9AA4AE"/>
        </w:rPr>
        <w:t xml:space="preserve"> (how attention and status are allocated at scale), </w:t>
      </w:r>
      <w:r>
        <w:rPr>
          <w:b/>
          <w:bCs/>
          <w:color w:val="E8ECF0"/>
        </w:rPr>
        <w:t xml:space="preserve">IV — the Canonical Render Pipeline</w:t>
      </w:r>
      <w:r>
        <w:rPr>
          <w:color w:val="9AA4AE"/>
        </w:rPr>
        <w:t xml:space="preserve"> (how assets become cards), and </w:t>
      </w:r>
      <w:r>
        <w:rPr>
          <w:b/>
          <w:bCs/>
          <w:color w:val="E8ECF0"/>
        </w:rPr>
        <w:t xml:space="preserve">V — the Foundation Set Doctrine</w:t>
      </w:r>
      <w:r>
        <w:rPr>
          <w:color w:val="9AA4AE"/>
        </w:rPr>
        <w:t xml:space="preserve"> (the minimum viable ecosystem).</w:t>
      </w:r>
    </w:p>
    <w:p>
      <w:pPr>
        <w:spacing w:after="160"/>
      </w:pPr>
      <w:r>
        <w:rPr>
          <w:color w:val="9AA4AE"/>
        </w:rPr>
        <w:t xml:space="preserve">This instrument establishes </w:t>
      </w:r>
      <w:r>
        <w:rPr>
          <w:b/>
          <w:bCs/>
          <w:color w:val="E8ECF0"/>
        </w:rPr>
        <w:t xml:space="preserve">two kernels of protection</w:t>
      </w:r>
      <w:r>
        <w:rPr>
          <w:color w:val="9AA4AE"/>
        </w:rPr>
        <w:t xml:space="preserve">: the Data Kernel (sbid, lineage, core conflict, frequency cluster — protected metadata) and the </w:t>
      </w:r>
      <w:r>
        <w:rPr>
          <w:b/>
          <w:bCs/>
          <w:color w:val="E8ECF0"/>
        </w:rPr>
        <w:t xml:space="preserve">Visual Kernel</w:t>
      </w:r>
      <w:r>
        <w:rPr>
          <w:color w:val="9AA4AE"/>
        </w:rPr>
        <w:t xml:space="preserve"> (protected appearance — eyes, facial geometry, signature markings, signature materials, relic signatures). A field can remain unchanged while the audience perceives a different character; the audience adjudicates identity. Visual continuity is the actual asset.</w:t>
      </w:r>
    </w:p>
    <w:p>
      <w:pPr>
        <w:spacing w:after="160"/>
      </w:pPr>
      <w:r>
        <w:rPr>
          <w:i/>
          <w:iCs/>
          <w:color w:val="5A646E"/>
        </w:rPr>
        <w:t xml:space="preserve">Terminology is original to FGE. The ruleset is comparable in rigor to established collectible-game systems but cites none and borrows no proprietary mechanics.</w:t>
      </w:r>
    </w:p>
    <w:p>
      <w:pPr>
        <w:spacing w:after="160"/>
      </w:pPr>
    </w:p>
    <w:p>
      <w:pPr>
        <w:pStyle w:val="Heading1"/>
      </w:pPr>
      <w:r>
        <w:rPr>
          <w:color w:val="C8A84B"/>
        </w:rPr>
        <w:t xml:space="preserve">Instrument I — Relic Lock Protocol</w:t>
      </w:r>
    </w:p>
    <w:p>
      <w:pPr>
        <w:pStyle w:val="Heading2"/>
      </w:pPr>
      <w:r>
        <w:rPr>
          <w:color w:val="C8A84B"/>
        </w:rPr>
        <w:t xml:space="preserve">1.1 Purpose</w:t>
      </w:r>
    </w:p>
    <w:p>
      <w:pPr>
        <w:spacing w:after="160"/>
      </w:pPr>
      <w:r>
        <w:rPr>
          <w:color w:val="9AA4AE"/>
        </w:rPr>
        <w:t xml:space="preserve">The Lock Protocol is the safety system that runs </w:t>
      </w:r>
      <w:r>
        <w:rPr>
          <w:b/>
          <w:bCs/>
          <w:color w:val="E8ECF0"/>
        </w:rPr>
        <w:t xml:space="preserve">before</w:t>
      </w:r>
      <w:r>
        <w:rPr>
          <w:color w:val="9AA4AE"/>
        </w:rPr>
        <w:t xml:space="preserve"> any Assembly. It guarantees that no Artifact Card — alone or stacked — can alter a protected element of a Narrative Card. The Data Kernel protects metadata; the Lock Protocol protects the Visual Kernel — the </w:t>
      </w:r>
      <w:r>
        <w:rPr>
          <w:color w:val="E8ECF0"/>
        </w:rPr>
        <w:t xml:space="preserve">image of canon itself</w:t>
      </w:r>
      <w:r>
        <w:rPr>
          <w:color w:val="9AA4AE"/>
        </w:rPr>
        <w:t xml:space="preserve">.</w:t>
      </w:r>
    </w:p>
    <w:p>
      <w:pPr>
        <w:pStyle w:val="Heading2"/>
      </w:pPr>
      <w:r>
        <w:rPr>
          <w:color w:val="C8A84B"/>
        </w:rPr>
        <w:t xml:space="preserve">1.2 Lock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4"/>
                <w:szCs w:val="24"/>
              </w:rPr>
              <w:t xml:space="preserve">Ω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Omega Lock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Absolute immunity. No Artifact in any domain, at any stack depth, may alter this element. Violation = automatic Assembly rejection, logged as a lock event.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Isolde’s uniform green eyes (OMEGA relic)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Signature Lock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Protected within named domains only. Artifacts whose domain footprint intersects the locked domains are illegal against this card. Other domains may recontextualize the element.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Isolde’s black hair + center part: locked vs. Material &amp; Light; Environment may recontextualize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Drift Watch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Transformable, but every output touching this element is auto-flagged to the canon line for drift review before release. Production line never adjudicates.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Feral Gloss skin / photonic bloom intensity</w:t>
            </w:r>
          </w:p>
        </w:tc>
      </w:tr>
      <w:tr>
        <w:tc>
          <w:tcPr>
            <w:tcW w:type="dxa" w:w="15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A646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Open</w:t>
            </w:r>
          </w:p>
        </w:tc>
        <w:tc>
          <w:tcPr>
            <w:tcW w:type="dxa" w:w="36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Free transformation within Assembly limits. No flag, no review beyond the standard quality gate.</w:t>
            </w:r>
          </w:p>
        </w:tc>
        <w:tc>
          <w:tcPr>
            <w:tcW w:type="dxa" w:w="2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Background, atmosphere, supporting wardrobe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C8A84B"/>
        </w:rPr>
        <w:t xml:space="preserve">1.3 The Lock Manifest &amp; the Minting Law</w:t>
      </w:r>
    </w:p>
    <w:p>
      <w:pPr>
        <w:spacing w:after="160"/>
      </w:pPr>
      <w:r>
        <w:rPr>
          <w:b/>
          <w:bCs/>
          <w:color w:val="C8A84B"/>
        </w:rPr>
        <w:t xml:space="preserve">Minting Law (A-1): no Narrative Card may be minted, produced, or replicated without a populated Lock Manifest. </w:t>
      </w:r>
      <w:r>
        <w:rPr>
          <w:color w:val="9AA4AE"/>
        </w:rPr>
        <w:t xml:space="preserve">The manifest precedes production. A character without a manifest is a temporary sketch; a character with a manifest is a protected asset. The anchor must exist before replication begins — locks added after popularity invite disputes about what the original ever was.</w:t>
      </w:r>
    </w:p>
    <w:p>
      <w:pPr>
        <w:pStyle w:val="Heading3"/>
      </w:pPr>
      <w:r>
        <w:rPr>
          <w:color w:val="E8ECF0"/>
        </w:rPr>
        <w:t xml:space="preserve">Required Manifest Fields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element_id</w:t>
      </w:r>
      <w:r>
        <w:rPr>
          <w:color w:val="9AA4AE"/>
        </w:rPr>
        <w:t xml:space="preserve"> — stable identifier for the protected element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element_description</w:t>
      </w:r>
      <w:r>
        <w:rPr>
          <w:color w:val="9AA4AE"/>
        </w:rPr>
        <w:t xml:space="preserve"> — human-readable definition, quoted from the locked dossier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lock_class</w:t>
      </w:r>
      <w:r>
        <w:rPr>
          <w:color w:val="9AA4AE"/>
        </w:rPr>
        <w:t xml:space="preserve"> — Ω / A / B / Open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locked_domains</w:t>
      </w:r>
      <w:r>
        <w:rPr>
          <w:color w:val="9AA4AE"/>
        </w:rPr>
        <w:t xml:space="preserve"> — for Class A only: the domains barred from acting on this element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source_dossier</w:t>
      </w:r>
      <w:r>
        <w:rPr>
          <w:color w:val="9AA4AE"/>
        </w:rPr>
        <w:t xml:space="preserve"> — dossier ID and version the lock derives from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lock_decree</w:t>
      </w:r>
      <w:r>
        <w:rPr>
          <w:color w:val="9AA4AE"/>
        </w:rPr>
        <w:t xml:space="preserve"> — Director decree reference that established or amended the lock</w:t>
      </w:r>
    </w:p>
    <w:p>
      <w:pPr>
        <w:spacing w:after="160"/>
      </w:pPr>
      <w:r>
        <w:rPr>
          <w:b/>
          <w:bCs/>
          <w:color w:val="E8ECF0"/>
        </w:rPr>
        <w:t xml:space="preserve">Manifests are append-only. </w:t>
      </w:r>
      <w:r>
        <w:rPr>
          <w:color w:val="9AA4AE"/>
        </w:rPr>
        <w:t xml:space="preserve">Locks may be added or escalated (Open → B → A → Ω) by Director decree at any time. De-escalation or removal requires a formal decree with stated rationale, recorded in lineage. Locks never silently disappear.</w:t>
      </w:r>
    </w:p>
    <w:p>
      <w:pPr>
        <w:pStyle w:val="Heading2"/>
      </w:pPr>
      <w:r>
        <w:rPr>
          <w:color w:val="C8A84B"/>
        </w:rPr>
        <w:t xml:space="preserve">1.4 The Eligibility Gate (Pre-Assembly Check)</w:t>
      </w:r>
    </w:p>
    <w:p>
      <w:pPr>
        <w:spacing w:after="160"/>
      </w:pPr>
      <w:r>
        <w:rPr>
          <w:color w:val="9AA4AE"/>
        </w:rPr>
        <w:t xml:space="preserve">Runs before any generation resource is spent. A pure schema check, image-agnostic, consistent with Master Anchor doctrine: validation never requires image production.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Load</w:t>
      </w:r>
      <w:r>
        <w:rPr>
          <w:color w:val="9AA4AE"/>
        </w:rPr>
        <w:t xml:space="preserve"> the Lock Manifest of every Narrative Card in the Assembly.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Resolve</w:t>
      </w:r>
      <w:r>
        <w:rPr>
          <w:color w:val="9AA4AE"/>
        </w:rPr>
        <w:t xml:space="preserve"> the domain footprint and Card Weight of every Artifact Card in the Assembly.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Omega check:</w:t>
      </w:r>
      <w:r>
        <w:rPr>
          <w:color w:val="9AA4AE"/>
        </w:rPr>
        <w:t xml:space="preserve"> if any Artifact’s declared effect could plausibly intersect an Ω element, the Assembly is </w:t>
      </w:r>
      <w:r>
        <w:rPr>
          <w:b/>
          <w:bCs/>
          <w:color w:val="C0504D"/>
        </w:rPr>
        <w:t xml:space="preserve">rejected outright</w:t>
      </w:r>
      <w:r>
        <w:rPr>
          <w:color w:val="9AA4AE"/>
        </w:rPr>
        <w:t xml:space="preserve">. No override path exists below Director decree amending the lock itself.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Signature check:</w:t>
      </w:r>
      <w:r>
        <w:rPr>
          <w:color w:val="9AA4AE"/>
        </w:rPr>
        <w:t xml:space="preserve"> if an Artifact’s domain appears in any Class A locked_domains list, the Assembly is rejected; substitute a legal Artifact and resubmit.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Weight check:</w:t>
      </w:r>
      <w:r>
        <w:rPr>
          <w:color w:val="9AA4AE"/>
        </w:rPr>
        <w:t xml:space="preserve"> more than one Dominant-weight Artifact = rejection (§2.4).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Drift tag:</w:t>
      </w:r>
      <w:r>
        <w:rPr>
          <w:color w:val="9AA4AE"/>
        </w:rPr>
        <w:t xml:space="preserve"> if Class B elements are in scope, the Assembly proceeds but the output is born pre-flagged for canon-line review.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E8ECF0"/>
        </w:rPr>
        <w:t xml:space="preserve">Certificate:</w:t>
      </w:r>
      <w:r>
        <w:rPr>
          <w:color w:val="9AA4AE"/>
        </w:rPr>
        <w:t xml:space="preserve"> a passing Assembly receives an Eligibility Certificate recorded in lineage. No certificate, no generation.</w:t>
      </w:r>
    </w:p>
    <w:p>
      <w:pPr>
        <w:pStyle w:val="Heading2"/>
      </w:pPr>
      <w:r>
        <w:rPr>
          <w:color w:val="C8A84B"/>
        </w:rPr>
        <w:t xml:space="preserve">1.5 Lock Authority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Only the canon line, by Director decree, creates, escalates, or amends locks.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The production line and the compiler </w:t>
      </w:r>
      <w:r>
        <w:rPr>
          <w:b/>
          <w:bCs/>
          <w:color w:val="E8ECF0"/>
        </w:rPr>
        <w:t xml:space="preserve">read</w:t>
      </w:r>
      <w:r>
        <w:rPr>
          <w:color w:val="9AA4AE"/>
        </w:rPr>
        <w:t xml:space="preserve"> manifests; they never write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A rejected Assembly is never an authority to question a lock — it is an escalation event, identical in handling to the body-signature drift event already on record.</w:t>
      </w:r>
    </w:p>
    <w:p>
      <w:r>
        <w:br w:type="page"/>
      </w:r>
    </w:p>
    <w:p>
      <w:pPr>
        <w:pStyle w:val="Heading1"/>
      </w:pPr>
      <w:r>
        <w:rPr>
          <w:color w:val="C8A84B"/>
        </w:rPr>
        <w:t xml:space="preserve">Instrument II — Assembly Ruleset</w:t>
      </w:r>
    </w:p>
    <w:p>
      <w:pPr>
        <w:pStyle w:val="Heading2"/>
      </w:pPr>
      <w:r>
        <w:rPr>
          <w:color w:val="C8A84B"/>
        </w:rPr>
        <w:t xml:space="preserve">2.1 Species Law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Narrative Cards are subjects.</w:t>
      </w:r>
      <w:r>
        <w:rPr>
          <w:color w:val="9AA4AE"/>
        </w:rPr>
        <w:t xml:space="preserve"> They are the only legal targets of transformation.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Artifact Cards are operators.</w:t>
      </w:r>
      <w:r>
        <w:rPr>
          <w:color w:val="9AA4AE"/>
        </w:rPr>
        <w:t xml:space="preserve"> They act on subjects; they never act on each other. No Artifact may target, modify, copy, or negate another Artifact.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9AA4AE"/>
        </w:rPr>
        <w:t xml:space="preserve">Governance instruments, decrees, and doctrine documents are </w:t>
      </w:r>
      <w:r>
        <w:rPr>
          <w:b/>
          <w:bCs/>
          <w:color w:val="E8ECF0"/>
        </w:rPr>
        <w:t xml:space="preserve">not cards</w:t>
      </w:r>
      <w:r>
        <w:rPr>
          <w:color w:val="9AA4AE"/>
        </w:rPr>
        <w:t xml:space="preserve"> and can never enter an Assembly.</w:t>
      </w:r>
    </w:p>
    <w:p>
      <w:pPr>
        <w:pStyle w:val="Heading2"/>
      </w:pPr>
      <w:r>
        <w:rPr>
          <w:color w:val="C8A84B"/>
        </w:rPr>
        <w:t xml:space="preserve">2.2 The Five Domains (A-2)</w:t>
      </w:r>
    </w:p>
    <w:p>
      <w:pPr>
        <w:spacing w:after="160"/>
      </w:pPr>
      <w:r>
        <w:rPr>
          <w:color w:val="9AA4AE"/>
        </w:rPr>
        <w:t xml:space="preserve">Every Artifact Card is assigned exactly one domain. Former domains persist as </w:t>
      </w:r>
      <w:r>
        <w:rPr>
          <w:b/>
          <w:bCs/>
          <w:color w:val="E8ECF0"/>
        </w:rPr>
        <w:t xml:space="preserve">sub-expressions</w:t>
      </w:r>
      <w:r>
        <w:rPr>
          <w:color w:val="9AA4AE"/>
        </w:rPr>
        <w:t xml:space="preserve"> — vocabulary within a domain, not governance objects. Five strong domains are easier to govern than ten weak ones; every additional domain is governance, documentation, QA, and future game burden.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Domain</w:t>
            </w:r>
          </w:p>
        </w:tc>
        <w:tc>
          <w:tcPr>
            <w:tcW w:type="dxa" w:w="4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Governs</w:t>
            </w:r>
          </w:p>
        </w:tc>
        <w:tc>
          <w:tcPr>
            <w:tcW w:type="dxa" w:w="28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Absorbed Sub-Expressions</w:t>
            </w:r>
          </w:p>
        </w:tc>
      </w:tr>
      <w:tr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Material</w:t>
            </w:r>
          </w:p>
        </w:tc>
        <w:tc>
          <w:tcPr>
            <w:tcW w:type="dxa" w:w="4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Surfaces, substances, material signatures (Obsidian, Kintsugi, Pearl, Fracture)</w:t>
            </w:r>
          </w:p>
        </w:tc>
        <w:tc>
          <w:tcPr>
            <w:tcW w:type="dxa" w:w="28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Light</w:t>
            </w:r>
          </w:p>
        </w:tc>
        <w:tc>
          <w:tcPr>
            <w:tcW w:type="dxa" w:w="4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Illumination, tenebrism, photonic behavior, iridescence</w:t>
            </w:r>
          </w:p>
        </w:tc>
        <w:tc>
          <w:tcPr>
            <w:tcW w:type="dxa" w:w="28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Form</w:t>
            </w:r>
          </w:p>
        </w:tc>
        <w:tc>
          <w:tcPr>
            <w:tcW w:type="dxa" w:w="4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Shape, structure, and adornment of subject and scene</w:t>
            </w:r>
          </w:p>
        </w:tc>
        <w:tc>
          <w:tcPr>
            <w:tcW w:type="dxa" w:w="28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Fashion, Architecture, Scale</w:t>
            </w:r>
          </w:p>
        </w:tc>
      </w:tr>
      <w:tr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Setting, terrain, world context, air and weather</w:t>
            </w:r>
          </w:p>
        </w:tc>
        <w:tc>
          <w:tcPr>
            <w:tcW w:type="dxa" w:w="28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Atmosphere</w:t>
            </w:r>
          </w:p>
        </w:tc>
      </w:tr>
      <w:tr>
        <w:tc>
          <w:tcPr>
            <w:tcW w:type="dxa" w:w="2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Narrative</w:t>
            </w:r>
          </w:p>
        </w:tc>
        <w:tc>
          <w:tcPr>
            <w:tcW w:type="dxa" w:w="4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Story framing, event context, emblematic overlays</w:t>
            </w:r>
          </w:p>
        </w:tc>
        <w:tc>
          <w:tcPr>
            <w:tcW w:type="dxa" w:w="28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Symbolism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color w:val="E8ECF0"/>
        </w:rPr>
        <w:t xml:space="preserve">Motion is reclassified (A-2): </w:t>
      </w:r>
      <w:r>
        <w:rPr>
          <w:color w:val="9AA4AE"/>
        </w:rPr>
        <w:t xml:space="preserve">motion is a property of the output class (Motion Loop, trailer frame), not a transformation domain. Motion parameters are declared at output binding, outside the Artifact system. New domains, or promotion of a sub-expression to domain, require formal decree.</w:t>
      </w:r>
    </w:p>
    <w:p>
      <w:pPr>
        <w:pStyle w:val="Heading2"/>
      </w:pPr>
      <w:r>
        <w:rPr>
          <w:color w:val="C8A84B"/>
        </w:rPr>
        <w:t xml:space="preserve">2.3 Assembly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Limit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Stack cap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Maximum three (3) Artifact Cards per Assembly. Endorsed by two independent validators.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Domain exclusivity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One Artifact per domain per Assembly. Two Material Artifacts can never co-occur.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Weight cap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Maximum one Dominant-weight Artifact per Assembly (§2.4).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Subject count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One primary Narrative subject per Assembly in v1.x. Multi-subject Assemblies deferred pending Calista’s dossier and the constellation panel.</w:t>
            </w:r>
          </w:p>
        </w:tc>
      </w:tr>
      <w:tr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Output binding</w:t>
            </w:r>
          </w:p>
        </w:tc>
        <w:tc>
          <w:tcPr>
            <w:tcW w:type="dxa" w:w="6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Every Assembly declares its output class before the Eligibility Gate (Hero Poster, Lookbook shot, Card Set frame, Motion Loop). Motion parameters exist only in motion output classes.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C8A84B"/>
        </w:rPr>
        <w:t xml:space="preserve">2.4 Card Weight (A-3)</w:t>
      </w:r>
    </w:p>
    <w:p>
      <w:pPr>
        <w:spacing w:after="160"/>
      </w:pPr>
      <w:r>
        <w:rPr>
          <w:color w:val="9AA4AE"/>
        </w:rPr>
        <w:t xml:space="preserve">Operators are not equivalent. Some transformations accent an image; some dominate it. Weight is </w:t>
      </w:r>
      <w:r>
        <w:rPr>
          <w:b/>
          <w:bCs/>
          <w:color w:val="E8ECF0"/>
        </w:rPr>
        <w:t xml:space="preserve">render guidance to the compiler</w:t>
      </w:r>
      <w:r>
        <w:rPr>
          <w:color w:val="9AA4AE"/>
        </w:rPr>
        <w:t xml:space="preserve">, not a game mechanic: it tells the compiler how much of the visual budget an Artifact commands, and prevents combinations that are legal on paper but visually annihilate one another.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Dominant</w:t>
            </w:r>
          </w:p>
        </w:tc>
        <w:tc>
          <w:tcPr>
            <w:tcW w:type="dxa" w:w="5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Commands the image. Defines the read of the output. Maximum one per Assembly. Example: a total-ascension or full-fracture operator.</w:t>
            </w:r>
          </w:p>
        </w:tc>
      </w:tr>
      <w:tr>
        <w:tc>
          <w:tcPr>
            <w:tcW w:type="dxa" w:w="1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Supporting</w:t>
            </w:r>
          </w:p>
        </w:tc>
        <w:tc>
          <w:tcPr>
            <w:tcW w:type="dxa" w:w="5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Substantial, visible transformation that coexists with a Dominant. Example: a wardrobe system, an environmental shift.</w:t>
            </w:r>
          </w:p>
        </w:tc>
      </w:tr>
      <w:tr>
        <w:tc>
          <w:tcPr>
            <w:tcW w:type="dxa" w:w="1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Accent</w:t>
            </w:r>
          </w:p>
        </w:tc>
        <w:tc>
          <w:tcPr>
            <w:tcW w:type="dxa" w:w="53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Detail-level effect. Seasons the image without restructuring it. Example: an emblem overlay, a particulate pass.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9AA4AE"/>
        </w:rPr>
        <w:t xml:space="preserve">Weight is assigned at Artifact minting, recorded in the Artifact’s schema, and amendable only by decree.</w:t>
      </w:r>
    </w:p>
    <w:p>
      <w:pPr>
        <w:pStyle w:val="Heading2"/>
      </w:pPr>
      <w:r>
        <w:rPr>
          <w:color w:val="C8A84B"/>
        </w:rPr>
        <w:t xml:space="preserve">2.5 The Resolution Ladder (Compressed)</w:t>
      </w:r>
    </w:p>
    <w:p>
      <w:pPr>
        <w:spacing w:after="160"/>
      </w:pPr>
      <w:r>
        <w:rPr>
          <w:color w:val="9AA4AE"/>
        </w:rPr>
        <w:t xml:space="preserve">Artifacts that pass the Eligibility Gate apply in a </w:t>
      </w:r>
      <w:r>
        <w:rPr>
          <w:b/>
          <w:bCs/>
          <w:color w:val="E8ECF0"/>
        </w:rPr>
        <w:t xml:space="preserve">fixed, universal order</w:t>
      </w:r>
      <w:r>
        <w:rPr>
          <w:color w:val="9AA4AE"/>
        </w:rPr>
        <w:t xml:space="preserve"> — never the order drawn, named, or prompted. Same cards, same compile, every time. Sub-expressions inherit the rung of their parent domain. Rationale: structure resolves before surface, surface before light, light before air, air before meaning.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Rung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Domain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Resolves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Form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Proportion, structure, wardrobe, built space (incl. Fashion, Architecture, Scale)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Setting, terrain, world context, air and weather (incl. Atmosphere)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Material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Surfaces, substances, material signatures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Light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Illumination, tenebrism, photonic behavior</w:t>
            </w:r>
          </w:p>
        </w:tc>
      </w:tr>
      <w:tr>
        <w:tc>
          <w:tcPr>
            <w:tcW w:type="dxa" w:w="1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Narrative</w:t>
            </w:r>
          </w:p>
        </w:tc>
        <w:tc>
          <w:tcPr>
            <w:tcW w:type="dxa" w:w="55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Story framing, emblematic overlays (incl. Symbolism) — always resolves last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color w:val="C8A84B"/>
        </w:rPr>
        <w:t xml:space="preserve">Lock Supremacy: </w:t>
      </w:r>
      <w:r>
        <w:rPr>
          <w:color w:val="9AA4AE"/>
        </w:rPr>
        <w:t xml:space="preserve">locks sit above the entire Ladder. No rung, no ordering, no weight, no combination of effects can reach a locked element. The Ladder orders legal effects; it never legalizes an illegal one.</w:t>
      </w:r>
    </w:p>
    <w:p>
      <w:pPr>
        <w:pStyle w:val="Heading2"/>
      </w:pPr>
      <w:r>
        <w:rPr>
          <w:color w:val="C8A84B"/>
        </w:rPr>
        <w:t xml:space="preserve">2.6 Derived States &amp; Lineage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Naming: </w:t>
      </w:r>
      <w:r>
        <w:rPr>
          <w:color w:val="9AA4AE"/>
        </w:rPr>
        <w:t xml:space="preserve">a completed Assembly produces a Derived State named by its operators in Ladder order, e.g., “Mirror-Fractured, Golden-Ascended Voss — DS-VOSS-0007”.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Lineage record: </w:t>
      </w:r>
      <w:r>
        <w:rPr>
          <w:color w:val="9AA4AE"/>
        </w:rPr>
        <w:t xml:space="preserve">base card ID + version, Artifact IDs in resolution order with weights, Eligibility Certificate ID, output class, timestamp. Append-only, written to the shared registry.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No mutation: </w:t>
      </w:r>
      <w:r>
        <w:rPr>
          <w:color w:val="9AA4AE"/>
        </w:rPr>
        <w:t xml:space="preserve">Derived States never alter the base Narrative Card. The Master Anchor prompt remains the sole source of character truth.</w:t>
      </w:r>
    </w:p>
    <w:p>
      <w:pPr>
        <w:pStyle w:val="Heading2"/>
      </w:pPr>
      <w:r>
        <w:rPr>
          <w:color w:val="C8A84B"/>
        </w:rPr>
        <w:t xml:space="preserve">2.7 Release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Proposed 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Default state of every Assembly output. Internal only. Not canon, not sellable, not publishable.</w:t>
            </w:r>
          </w:p>
        </w:tc>
      </w:tr>
      <w:t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Flagged 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Proposed State carrying a Class B drift flag or quality-gate concern. Frozen pending canon-line review.</w:t>
            </w:r>
          </w:p>
        </w:tc>
      </w:tr>
      <w:tr>
        <w:tc>
          <w:tcPr>
            <w:tcW w:type="dxa" w:w="26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Released State</w:t>
            </w:r>
          </w:p>
        </w:tc>
        <w:tc>
          <w:tcPr>
            <w:tcW w:type="dxa" w:w="67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Director has ruled. The Derived State enters the catalog and may carry collector, narrative, and brand value. Release authority is exclusive and non-delegable.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8A84B"/>
        </w:rPr>
        <w:t xml:space="preserve">Instrument III — Card Lifecycle &amp; Canon Gravity (A-4)</w:t>
      </w:r>
    </w:p>
    <w:p>
      <w:pPr>
        <w:spacing w:after="160"/>
      </w:pPr>
      <w:r>
        <w:rPr>
          <w:color w:val="9AA4AE"/>
        </w:rPr>
        <w:t xml:space="preserve">Success creates noise. Without explicit status and gravity, every new card makes every existing card less likely to be used. This instrument solves scale before scale arrives: the library may be vast; the minted, governed, actively-generating set stays navigable.</w:t>
      </w:r>
    </w:p>
    <w:p>
      <w:pPr>
        <w:pStyle w:val="Heading2"/>
      </w:pPr>
      <w:r>
        <w:rPr>
          <w:color w:val="C8A84B"/>
        </w:rPr>
        <w:t xml:space="preserve">3.1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Candidate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A known, stored asset in the Expansion Pool. Not minted: no manifest obligation yet, no Assembly eligibility, no catalog presence. Candidates may be promoted to minting by decree.</w:t>
            </w:r>
          </w:p>
        </w:tc>
      </w:tr>
      <w:t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Minted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A fully governed card: Lock Manifest (Narrative) or domain + weight assignment (Artifact), registry entry, provenance record, gravity tier, and status. Only Minted cards may enter Assemblies.</w:t>
            </w:r>
          </w:p>
        </w:tc>
      </w:tr>
      <w:t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Minted and currently generating: current season, current dynasty, current story. The default working set of the compiler.</w:t>
            </w:r>
          </w:p>
        </w:tc>
      </w:tr>
      <w:t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Archive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Minted, permanently valid, not actively promoted or generating. Nothing disappears; not everything competes for attention. Archive → Active by decree at any time.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C8A84B"/>
        </w:rPr>
        <w:t xml:space="preserve">3.2 Canon Gravity</w:t>
      </w:r>
    </w:p>
    <w:p>
      <w:pPr>
        <w:spacing w:after="160"/>
      </w:pPr>
      <w:r>
        <w:rPr>
          <w:color w:val="9AA4AE"/>
        </w:rPr>
        <w:t xml:space="preserve">Gravity describes </w:t>
      </w:r>
      <w:r>
        <w:rPr>
          <w:b/>
          <w:bCs/>
          <w:color w:val="E8ECF0"/>
        </w:rPr>
        <w:t xml:space="preserve">attention allocation, not quality</w:t>
      </w:r>
      <w:r>
        <w:rPr>
          <w:color w:val="9AA4AE"/>
        </w:rPr>
        <w:t xml:space="preserve">. An Experimental card may ascend to Major; a Major card may settle to Secondary. Movement in both directions is by decree, recorded in lineage.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Major Canon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Foundational objects. Permanent, always visible, anchor the universe. Origin-layer characters default here — origins naturally acquire gravity.</w:t>
            </w:r>
          </w:p>
        </w:tc>
      </w:tr>
      <w:t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Secondary Canon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Important objects that rotate with seasons, dynasties, and story arcs.</w:t>
            </w:r>
          </w:p>
        </w:tc>
      </w:tr>
      <w:tr>
        <w:tc>
          <w:tcPr>
            <w:tcW w:type="dxa" w:w="24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Experimental Canon</w:t>
            </w:r>
          </w:p>
        </w:tc>
        <w:tc>
          <w:tcPr>
            <w:tcW w:type="dxa" w:w="69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Testing ground. May ascend, may be archived. Low-risk space for new operators and subjects.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color w:val="C8A84B"/>
        </w:rPr>
        <w:t xml:space="preserve">Auto-override (inherited doctrine): </w:t>
      </w:r>
      <w:r>
        <w:rPr>
          <w:color w:val="9AA4AE"/>
        </w:rPr>
        <w:t xml:space="preserve">objects carrying canon doctrine or OMEGA relics default to Major, regardless of age or popularity — the same override logic that defaults doctrine infographics to Primary tier.</w:t>
      </w:r>
    </w:p>
    <w:p>
      <w:r>
        <w:br w:type="page"/>
      </w:r>
    </w:p>
    <w:p>
      <w:pPr>
        <w:pStyle w:val="Heading1"/>
      </w:pPr>
      <w:r>
        <w:rPr>
          <w:color w:val="C8A84B"/>
        </w:rPr>
        <w:t xml:space="preserve">Instrument IV — Canonical Render Pipeline (A-5)</w:t>
      </w:r>
    </w:p>
    <w:p>
      <w:pPr>
        <w:spacing w:after="160"/>
      </w:pPr>
      <w:r>
        <w:rPr>
          <w:color w:val="9AA4AE"/>
        </w:rPr>
        <w:t xml:space="preserve">Cards are minted from </w:t>
      </w:r>
      <w:r>
        <w:rPr>
          <w:b/>
          <w:bCs/>
          <w:color w:val="C8A84B"/>
        </w:rPr>
        <w:t xml:space="preserve">finalized assets, never draft assets</w:t>
      </w:r>
      <w:r>
        <w:rPr>
          <w:color w:val="9AA4AE"/>
        </w:rPr>
        <w:t xml:space="preserve">. That is the durable rule. The pipeline is defined by stages, not tools — Grok today, another renderer tomorrow, future tools later, all fit the same doctrine.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Source Generation</w:t>
      </w:r>
      <w:r>
        <w:rPr>
          <w:color w:val="9AA4AE"/>
        </w:rPr>
        <w:t xml:space="preserve"> — raw asset produced on the production line, within rolling-window budgets, against Master Anchor prompts.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Enhancement Pass</w:t>
      </w:r>
      <w:r>
        <w:rPr>
          <w:color w:val="9AA4AE"/>
        </w:rPr>
        <w:t xml:space="preserve"> — upscaling, repair, finishing. Tool-agnostic; current candidates include Real-ESRGAN. Output must meet wallworthiness and resolution floors.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Canon Review</w:t>
      </w:r>
      <w:r>
        <w:rPr>
          <w:color w:val="9AA4AE"/>
        </w:rPr>
        <w:t xml:space="preserve"> — canon-line check against the Lock Manifest and dossier. Drift here is an escalation event, never a production-line judgment call.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8ECF0"/>
        </w:rPr>
        <w:t xml:space="preserve">Card Assembly</w:t>
      </w:r>
      <w:r>
        <w:rPr>
          <w:color w:val="9AA4AE"/>
        </w:rPr>
        <w:t xml:space="preserve"> — the reviewed asset is bound to its schema (manifest, domain, weight, gravity, status) and minted. Artwork first, metadata second: the card exists because the image deserves preservation; the schema exists because the image deserves governance.</w:t>
      </w:r>
    </w:p>
    <w:p>
      <w:pPr>
        <w:spacing w:after="160"/>
      </w:pPr>
    </w:p>
    <w:p>
      <w:pPr>
        <w:pStyle w:val="Heading1"/>
      </w:pPr>
      <w:r>
        <w:rPr>
          <w:color w:val="C8A84B"/>
        </w:rPr>
        <w:t xml:space="preserve">Part V — Foundation Set Doctrine (A-6)</w:t>
      </w:r>
    </w:p>
    <w:p>
      <w:pPr>
        <w:pStyle w:val="Heading2"/>
      </w:pPr>
      <w:r>
        <w:rPr>
          <w:color w:val="C8A84B"/>
        </w:rPr>
        <w:t xml:space="preserve">5.1 The Minimum Viable Deck</w:t>
      </w:r>
    </w:p>
    <w:p>
      <w:pPr>
        <w:spacing w:after="160"/>
      </w:pPr>
      <w:r>
        <w:rPr>
          <w:color w:val="9AA4AE"/>
        </w:rPr>
        <w:t xml:space="preserve">The smallest complete ecosystem that demonstrates the future of the whole universe. The quality of a card system is determined by whether the first cards already prove the system — not by its hundredth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Foundation Set</w:t>
            </w:r>
          </w:p>
        </w:tc>
        <w:tc>
          <w:tcPr>
            <w:tcW w:type="dxa" w:w="31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E1A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Expansion Pool</w:t>
            </w:r>
          </w:p>
        </w:tc>
      </w:tr>
      <w:tr>
        <w:tc>
          <w:tcPr>
            <w:tcW w:type="dxa" w:w="3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Characters (Narrative)</w:t>
            </w:r>
          </w:p>
        </w:tc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10 — fully minted</w:t>
            </w:r>
          </w:p>
        </w:tc>
        <w:tc>
          <w:tcPr>
            <w:tcW w:type="dxa" w:w="31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~20 — Candidates</w:t>
            </w:r>
          </w:p>
        </w:tc>
      </w:tr>
      <w:tr>
        <w:tc>
          <w:tcPr>
            <w:tcW w:type="dxa" w:w="3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Artifacts (Operators)</w:t>
            </w:r>
          </w:p>
        </w:tc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10 — fully minted</w:t>
            </w:r>
          </w:p>
        </w:tc>
        <w:tc>
          <w:tcPr>
            <w:tcW w:type="dxa" w:w="31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~20 — Candidates</w:t>
            </w:r>
          </w:p>
        </w:tc>
      </w:tr>
      <w:tr>
        <w:tc>
          <w:tcPr>
            <w:tcW w:type="dxa" w:w="3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8ECF0"/>
                <w:sz w:val="20"/>
                <w:szCs w:val="20"/>
              </w:rPr>
              <w:t xml:space="preserve">Scenes / Worlds</w:t>
            </w:r>
          </w:p>
        </w:tc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10 — fully minted</w:t>
            </w:r>
          </w:p>
        </w:tc>
        <w:tc>
          <w:tcPr>
            <w:tcW w:type="dxa" w:w="31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~20 — Candidates</w:t>
            </w:r>
          </w:p>
        </w:tc>
      </w:tr>
      <w:tr>
        <w:tc>
          <w:tcPr>
            <w:tcW w:type="dxa" w:w="32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A84B"/>
                <w:sz w:val="20"/>
                <w:szCs w:val="20"/>
              </w:rPr>
              <w:t xml:space="preserve">30 cards, fully governed</w:t>
            </w:r>
          </w:p>
        </w:tc>
        <w:tc>
          <w:tcPr>
            <w:tcW w:type="dxa" w:w="3160"/>
            <w:tcBorders>
              <w:top w:val="single" w:color="8A742E" w:sz="1"/>
              <w:left w:val="single" w:color="8A742E" w:sz="1"/>
              <w:bottom w:val="single" w:color="8A742E" w:sz="1"/>
              <w:right w:val="single" w:color="8A742E" w:sz="1"/>
            </w:tcBorders>
            <w:shd w:fill="1416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9AA4AE"/>
                <w:sz w:val="20"/>
                <w:szCs w:val="20"/>
              </w:rPr>
              <w:t xml:space="preserve">~60 known, stored, unminted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9AA4AE"/>
        </w:rPr>
        <w:t xml:space="preserve">The real cost of a card is not its image; it is its governance: manifest + registry entry + QA pass + provenance record. Thirty fully governed cards launch a universe; ninety simultaneously governed cards launch months of catalog work. </w:t>
      </w:r>
      <w:r>
        <w:rPr>
          <w:b/>
          <w:bCs/>
          <w:color w:val="E8ECF0"/>
        </w:rPr>
        <w:t xml:space="preserve">The library can be 90 on day one. The minted set should be 30.</w:t>
      </w:r>
    </w:p>
    <w:p>
      <w:pPr>
        <w:pStyle w:val="Heading2"/>
      </w:pPr>
      <w:r>
        <w:rPr>
          <w:color w:val="C8A84B"/>
        </w:rPr>
        <w:t xml:space="preserve">5.2 Growth in Chapters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Foundation Set</w:t>
      </w:r>
      <w:r>
        <w:rPr>
          <w:color w:val="9AA4AE"/>
        </w:rPr>
        <w:t xml:space="preserve"> — the 30 pillars. Scarcity of attention: collectors learn what anchors the universe.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Origin Expansion</w:t>
      </w:r>
      <w:r>
        <w:rPr>
          <w:color w:val="9AA4AE"/>
        </w:rPr>
        <w:t xml:space="preserve"> — remaining launch-era characters, promoted from the Expansion Pool. Origin layer carries natural gravity.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Artifact Expansion</w:t>
      </w:r>
      <w:r>
        <w:rPr>
          <w:color w:val="9AA4AE"/>
        </w:rPr>
        <w:t xml:space="preserve"> — additional relics and operators.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World Expansion</w:t>
      </w:r>
      <w:r>
        <w:rPr>
          <w:color w:val="9AA4AE"/>
        </w:rPr>
        <w:t xml:space="preserve"> — regions, dynasties, events.</w:t>
      </w:r>
    </w:p>
    <w:p>
      <w:pPr>
        <w:spacing w:after="160"/>
      </w:pPr>
      <w:r>
        <w:rPr>
          <w:color w:val="9AA4AE"/>
        </w:rPr>
        <w:t xml:space="preserve">The universe grows in chapters, never arrives as an encyclopedia.</w:t>
      </w:r>
    </w:p>
    <w:p>
      <w:r>
        <w:br w:type="page"/>
      </w:r>
    </w:p>
    <w:p>
      <w:pPr>
        <w:pStyle w:val="Heading1"/>
      </w:pPr>
      <w:r>
        <w:rPr>
          <w:color w:val="C8A84B"/>
        </w:rPr>
        <w:t xml:space="preserve">Part VI — Director Decision Points</w:t>
      </w:r>
    </w:p>
    <w:p>
      <w:pPr>
        <w:spacing w:after="160"/>
      </w:pPr>
      <w:r>
        <w:rPr>
          <w:color w:val="9AA4AE"/>
        </w:rPr>
        <w:t xml:space="preserve">Required rulings before ratification. Items marked </w:t>
      </w:r>
      <w:r>
        <w:rPr>
          <w:b/>
          <w:bCs/>
          <w:color w:val="6FA86F"/>
        </w:rPr>
        <w:t xml:space="preserve">CONVERGED</w:t>
      </w:r>
      <w:r>
        <w:rPr>
          <w:color w:val="9AA4AE"/>
        </w:rPr>
        <w:t xml:space="preserve"> carry endorsement from two independent validators; defaults stand unless overruled.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E8ECF0"/>
        </w:rPr>
        <w:t xml:space="preserve">Stack cap of three, one per domain. </w:t>
      </w:r>
      <w:r>
        <w:rPr>
          <w:b/>
          <w:bCs/>
          <w:color w:val="6FA86F"/>
        </w:rPr>
        <w:t xml:space="preserve">CONVERGED. </w:t>
      </w:r>
      <w:r>
        <w:rPr>
          <w:color w:val="9AA4AE"/>
        </w:rPr>
        <w:t xml:space="preserve">Crude by design; survivable for years.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E8ECF0"/>
        </w:rPr>
        <w:t xml:space="preserve">Five-domain model with sub-expressions; Motion reclassified to output class. </w:t>
      </w:r>
      <w:r>
        <w:rPr>
          <w:b/>
          <w:bCs/>
          <w:color w:val="6FA86F"/>
        </w:rPr>
        <w:t xml:space="preserve">CONVERGED. </w:t>
      </w:r>
      <w:r>
        <w:rPr>
          <w:color w:val="9AA4AE"/>
        </w:rPr>
        <w:t xml:space="preserve">Ratifying five now avoids reprinting manifests and card faces later.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E8ECF0"/>
        </w:rPr>
        <w:t xml:space="preserve">Compressed Resolution Ladder order (Form → Environment → Material → Light → Narrative). </w:t>
      </w:r>
      <w:r>
        <w:rPr>
          <w:color w:val="9AA4AE"/>
        </w:rPr>
        <w:t xml:space="preserve">Constitutional once ratified — every Derived State’s reproducibility depends on it.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E8ECF0"/>
        </w:rPr>
        <w:t xml:space="preserve">Isolde’s initial lock classes. </w:t>
      </w:r>
      <w:r>
        <w:rPr>
          <w:color w:val="9AA4AE"/>
        </w:rPr>
        <w:t xml:space="preserve">Eyes Ω; facial geometry Ω; hair signature Class A; skin/bloom Class B — proposed; Director assigns final classes from the v3 dossier.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E8ECF0"/>
        </w:rPr>
        <w:t xml:space="preserve">Weight cap of one Dominant per Assembly. </w:t>
      </w:r>
      <w:r>
        <w:rPr>
          <w:color w:val="9AA4AE"/>
        </w:rPr>
        <w:t xml:space="preserve">Render-budget rule, amendable by decree without constitutional weight.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E8ECF0"/>
        </w:rPr>
        <w:t xml:space="preserve">Foundation Set composition. </w:t>
      </w:r>
      <w:r>
        <w:rPr>
          <w:color w:val="9AA4AE"/>
        </w:rPr>
        <w:t xml:space="preserve">Which 10 characters, 10 artifacts, 10 scenes from the origin layer are minted first. This selection is itself a canon gravity statement.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color w:val="E8ECF0"/>
        </w:rPr>
        <w:t xml:space="preserve">Registry home. </w:t>
      </w:r>
      <w:r>
        <w:rPr>
          <w:color w:val="9AA4AE"/>
        </w:rPr>
        <w:t xml:space="preserve">Claude project vs. Notion. Hard prerequisite: manifests, lifecycle states, and provenance records all write to the registry. Nothing mints before this is decided.</w:t>
      </w:r>
    </w:p>
    <w:p>
      <w:pPr>
        <w:pStyle w:val="Heading1"/>
      </w:pPr>
      <w:r>
        <w:rPr>
          <w:color w:val="C8A84B"/>
        </w:rPr>
        <w:t xml:space="preserve">Part VII — Forward Anticipations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Registry bridge: </w:t>
      </w:r>
      <w:r>
        <w:rPr>
          <w:color w:val="9AA4AE"/>
        </w:rPr>
        <w:t xml:space="preserve">the Lock Manifest and lifecycle fields are the first machine-readable objects the fge-registry-bridge skill consumes. Freeze field names at ratification; build the bridge once.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Collector-facing rules: </w:t>
      </w:r>
      <w:r>
        <w:rPr>
          <w:color w:val="9AA4AE"/>
        </w:rPr>
        <w:t xml:space="preserve">the Foundation Deck rulebook is a translation of this instrument, never a fork — one ruleset, two reading levels.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Seasonal meta: </w:t>
      </w:r>
      <w:r>
        <w:rPr>
          <w:color w:val="9AA4AE"/>
        </w:rPr>
        <w:t xml:space="preserve">Active/Archive rotation plus gravity movement creates natural creative-meta — the value of old cards changes because new cards exist — without artificial scarcity.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Game engine inheritance: </w:t>
      </w:r>
      <w:r>
        <w:rPr>
          <w:color w:val="9AA4AE"/>
        </w:rPr>
        <w:t xml:space="preserve">the Eligibility Gate, Weight system, and Resolution Ladder are, structurally, a rules engine. The future game layer inherits them verbatim.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Provenance as product: </w:t>
      </w:r>
      <w:r>
        <w:rPr>
          <w:color w:val="9AA4AE"/>
        </w:rPr>
        <w:t xml:space="preserve">lineage records become printable provenance chains on collector cards — structurally difficult for competitors to replicate because their systems were not append-only from birth.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E8ECF0"/>
        </w:rPr>
        <w:t xml:space="preserve">The endgame: </w:t>
      </w:r>
      <w:r>
        <w:rPr>
          <w:color w:val="9AA4AE"/>
        </w:rPr>
        <w:t xml:space="preserve">cards mature into the command language of the empire — the interface to a visual combinatorics engine. The governing challenge becomes managing meaning at scale: every new card must make the universe feel larger, not noisier. Instruments III and V exist for exactly this.</w:t>
      </w:r>
    </w:p>
    <w:p>
      <w:pPr>
        <w:pBdr>
          <w:bottom w:val="single" w:color="8A742E" w:sz="6" w:space="1"/>
        </w:pBdr>
        <w:spacing w:after="240"/>
      </w:pPr>
    </w:p>
    <w:p>
      <w:pPr>
        <w:pStyle w:val="Heading1"/>
      </w:pPr>
      <w:r>
        <w:rPr>
          <w:color w:val="C8A84B"/>
        </w:rPr>
        <w:t xml:space="preserve">Ratification Block</w:t>
      </w:r>
    </w:p>
    <w:p>
      <w:pPr>
        <w:spacing w:after="160"/>
      </w:pPr>
      <w:r>
        <w:rPr>
          <w:color w:val="9AA4AE"/>
        </w:rPr>
        <w:t xml:space="preserve">This instrument is an </w:t>
      </w:r>
      <w:r>
        <w:rPr>
          <w:b/>
          <w:bCs/>
          <w:color w:val="C8A84B"/>
        </w:rPr>
        <w:t xml:space="preserve">AMENDED DRAFT</w:t>
      </w:r>
      <w:r>
        <w:rPr>
          <w:color w:val="9AA4AE"/>
        </w:rPr>
        <w:t xml:space="preserve">, incorporating amendments A-1 through A-6 from completed cross-model validation. It is ready for Director ruling on Decision Points D-1 through D-7. Upon ratification it becomes binding on both production lines, enforced at the Eligibility Gate, and recorded in the shared registry as FGE-CONST-LOCK-001 v1.1.</w:t>
      </w:r>
    </w:p>
    <w:p>
      <w:pPr>
        <w:spacing w:after="160"/>
      </w:pPr>
      <w:r>
        <w:rPr>
          <w:i/>
          <w:iCs/>
          <w:color w:val="5A646E"/>
        </w:rPr>
        <w:t xml:space="preserve">Other substrates propose; the Director disposes.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D-%1"/>
      <w:lvlJc w:val="left"/>
      <w:pPr>
        <w:ind w:left="860" w:hanging="5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9AA4A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C8A8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260"/>
      <w:outlineLvl w:val="1"/>
    </w:pPr>
    <w:rPr>
      <w:rFonts w:ascii="Arial" w:cs="Arial" w:eastAsia="Arial" w:hAnsi="Arial"/>
      <w:b/>
      <w:bCs/>
      <w:color w:val="C8A84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E8ECF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2026-06-10T19:38:46.333Z</dcterms:created>
  <dcterms:modified xsi:type="dcterms:W3CDTF">2026-06-10T19:38:46.334Z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