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111111" w:sz="0"/>
          <w:left w:val="none" w:color="111111" w:sz="0"/>
          <w:bottom w:val="none" w:color="111111" w:sz="0"/>
          <w:right w:val="none" w:color="111111" w:sz="0"/>
          <w:insideH w:val="single" w:color="auto" w:sz="4"/>
          <w:insideV w:val="single" w:color="auto" w:sz="4"/>
        </w:tblBorders>
      </w:tblPr>
      <w:tblGrid>
        <w:gridCol w:w="9360"/>
      </w:tblGrid>
      <w:tr>
        <w:tc>
          <w:tcPr>
            <w:tcW w:type="dxa" w:w="9360"/>
            <w:tcBorders>
              <w:top w:val="none" w:color="111111" w:sz="0"/>
              <w:left w:val="none" w:color="111111" w:sz="0"/>
              <w:bottom w:val="none" w:color="111111" w:sz="0"/>
              <w:right w:val="none" w:color="111111" w:sz="0"/>
            </w:tcBorders>
            <w:shd w:fill="111111" w:val="clear"/>
            <w:tcMar>
              <w:top w:type="dxa" w:w="200"/>
              <w:left w:type="dxa" w:w="400"/>
              <w:bottom w:type="dxa" w:w="200"/>
              <w:right w:type="dxa" w:w="400"/>
            </w:tcMar>
          </w:tcPr>
          <w:p>
            <w:pPr>
              <w:spacing w:after="80" w:before="0"/>
              <w:jc w:val="right"/>
            </w:pPr>
            <w:r>
              <w:rPr>
                <w:rFonts w:ascii="Arial" w:cs="Arial" w:eastAsia="Arial" w:hAnsi="Arial"/>
                <w:b/>
                <w:bCs/>
                <w:color w:val="444444"/>
                <w:sz w:val="16"/>
                <w:szCs w:val="16"/>
              </w:rPr>
              <w:t xml:space="preserve">FERAL GLOSS EMPIRE  ·  OPERATIONAL DOCTRINE  ·  v1.0</w:t>
            </w:r>
          </w:p>
          <w:p>
            <w:pPr>
              <w:spacing w:after="20" w:before="0"/>
            </w:pPr>
            <w:r>
              <w:rPr>
                <w:rFonts w:ascii="Arial" w:cs="Arial" w:eastAsia="Arial" w:hAnsi="Arial"/>
                <w:b/>
                <w:bCs/>
                <w:color w:val="FFFFFF"/>
                <w:sz w:val="52"/>
                <w:szCs w:val="52"/>
              </w:rPr>
              <w:t xml:space="preserve">FGE PRODUCTION</w:t>
            </w:r>
          </w:p>
          <w:p>
            <w:pPr>
              <w:spacing w:after="60" w:before="0"/>
            </w:pPr>
            <w:r>
              <w:rPr>
                <w:rFonts w:ascii="Arial" w:cs="Arial" w:eastAsia="Arial" w:hAnsi="Arial"/>
                <w:b/>
                <w:bCs/>
                <w:color w:val="C8A84B"/>
                <w:sz w:val="36"/>
                <w:szCs w:val="36"/>
              </w:rPr>
              <w:t xml:space="preserve">LIMIT STANDARD</w:t>
            </w:r>
          </w:p>
          <w:p>
            <w:pPr>
              <w:spacing w:after="60" w:before="0"/>
            </w:pPr>
            <w:r>
              <w:rPr>
                <w:rFonts w:ascii="Arial" w:cs="Arial" w:eastAsia="Arial" w:hAnsi="Arial"/>
                <w:i/>
                <w:iCs/>
                <w:color w:val="AAAAAA"/>
                <w:sz w:val="20"/>
                <w:szCs w:val="20"/>
              </w:rPr>
              <w:t xml:space="preserve">SuperGrok Rolling Window Protocol — Effective immediately for all canon work.</w:t>
            </w:r>
          </w:p>
          <w:p>
            <w:pPr>
              <w:spacing w:after="40" w:before="40"/>
            </w:pPr>
            <w:r>
              <w:rPr>
                <w:rFonts w:ascii="Arial" w:cs="Arial" w:eastAsia="Arial" w:hAnsi="Arial"/>
                <w:b/>
                <w:bCs/>
                <w:color w:val="555555"/>
                <w:sz w:val="18"/>
                <w:szCs w:val="18"/>
              </w:rPr>
              <w:t xml:space="preserve">Version:  </w:t>
            </w:r>
            <w:r>
              <w:rPr>
                <w:rFonts w:ascii="Arial" w:cs="Arial" w:eastAsia="Arial" w:hAnsi="Arial"/>
                <w:b/>
                <w:bCs/>
                <w:color w:val="C8A84B"/>
                <w:sz w:val="18"/>
                <w:szCs w:val="18"/>
              </w:rPr>
              <w:t xml:space="preserve">1.0</w:t>
            </w:r>
          </w:p>
          <w:p>
            <w:pPr>
              <w:spacing w:after="40" w:before="40"/>
            </w:pPr>
            <w:r>
              <w:rPr>
                <w:rFonts w:ascii="Arial" w:cs="Arial" w:eastAsia="Arial" w:hAnsi="Arial"/>
                <w:b/>
                <w:bCs/>
                <w:color w:val="555555"/>
                <w:sz w:val="18"/>
                <w:szCs w:val="18"/>
              </w:rPr>
              <w:t xml:space="preserve">Effective:  </w:t>
            </w:r>
            <w:r>
              <w:rPr>
                <w:rFonts w:ascii="Arial" w:cs="Arial" w:eastAsia="Arial" w:hAnsi="Arial"/>
                <w:b/>
                <w:bCs/>
                <w:color w:val="C8A84B"/>
                <w:sz w:val="18"/>
                <w:szCs w:val="18"/>
              </w:rPr>
              <w:t xml:space="preserve">08 June 2026 — immediately</w:t>
            </w:r>
          </w:p>
          <w:p>
            <w:pPr>
              <w:spacing w:after="40" w:before="40"/>
            </w:pPr>
            <w:r>
              <w:rPr>
                <w:rFonts w:ascii="Arial" w:cs="Arial" w:eastAsia="Arial" w:hAnsi="Arial"/>
                <w:b/>
                <w:bCs/>
                <w:color w:val="555555"/>
                <w:sz w:val="18"/>
                <w:szCs w:val="18"/>
              </w:rPr>
              <w:t xml:space="preserve">Authority:  </w:t>
            </w:r>
            <w:r>
              <w:rPr>
                <w:rFonts w:ascii="Arial" w:cs="Arial" w:eastAsia="Arial" w:hAnsi="Arial"/>
                <w:b/>
                <w:bCs/>
                <w:color w:val="666666"/>
                <w:sz w:val="18"/>
                <w:szCs w:val="18"/>
              </w:rPr>
              <w:t xml:space="preserve">FGE Publishing Studio Constitution</w:t>
            </w:r>
          </w:p>
          <w:p>
            <w:pPr>
              <w:spacing w:after="40" w:before="40"/>
            </w:pPr>
            <w:r>
              <w:rPr>
                <w:rFonts w:ascii="Arial" w:cs="Arial" w:eastAsia="Arial" w:hAnsi="Arial"/>
                <w:b/>
                <w:bCs/>
                <w:color w:val="555555"/>
                <w:sz w:val="18"/>
                <w:szCs w:val="18"/>
              </w:rPr>
              <w:t xml:space="preserve">Status:  </w:t>
            </w:r>
            <w:r>
              <w:rPr>
                <w:rFonts w:ascii="Arial" w:cs="Arial" w:eastAsia="Arial" w:hAnsi="Arial"/>
                <w:b/>
                <w:bCs/>
                <w:color w:val="44AA66"/>
                <w:sz w:val="18"/>
                <w:szCs w:val="18"/>
              </w:rPr>
              <w:t xml:space="preserve">LOCKED — operational constraint, non-negotiable</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CORE RULE  (NON-NEGOTIABLE)</w:t>
            </w:r>
          </w:p>
          <w:p>
            <w:pPr>
              <w:pBdr>
                <w:left w:val="single" w:color="C8A84B" w:sz="12" w:space="4"/>
              </w:pBdr>
              <w:spacing w:after="160" w:before="160"/>
              <w:ind w:left="360"/>
            </w:pPr>
            <w:r>
              <w:rPr>
                <w:rFonts w:ascii="Arial" w:cs="Arial" w:eastAsia="Arial" w:hAnsi="Arial"/>
                <w:b/>
                <w:bCs/>
                <w:color w:val="FFFFFF"/>
                <w:sz w:val="22"/>
                <w:szCs w:val="22"/>
              </w:rPr>
              <w:t xml:space="preserve">One major, wallworthy, canon-connected asset per 2-hour rolling window.</w:t>
            </w:r>
          </w:p>
          <w:p>
            <w:pPr>
              <w:spacing w:after="60" w:before="60"/>
            </w:pPr>
            <w:r>
              <w:rPr>
                <w:rFonts w:ascii="Arial" w:cs="Arial" w:eastAsia="Arial" w:hAnsi="Arial"/>
                <w:color w:val="AAAAAA"/>
                <w:sz w:val="20"/>
                <w:szCs w:val="20"/>
              </w:rPr>
              <w:t xml:space="preserve"> </w:t>
            </w:r>
          </w:p>
          <w:p>
            <w:pPr>
              <w:spacing w:after="60" w:before="60"/>
            </w:pPr>
            <w:r>
              <w:rPr>
                <w:rFonts w:ascii="Arial" w:cs="Arial" w:eastAsia="Arial" w:hAnsi="Arial"/>
                <w:color w:val="AAAAAA"/>
                <w:sz w:val="20"/>
                <w:szCs w:val="20"/>
              </w:rPr>
              <w:t xml:space="preserve">This is the only sustainable way to operate under current Grok Imagine limits. Attempting two significant outputs in the same window burns quota, increases failure rate, and violates the Publishing Studio Constitution.</w:t>
            </w:r>
          </w:p>
          <w:p>
            <w:pPr>
              <w:spacing w:after="60" w:before="60"/>
            </w:pPr>
            <w:r>
              <w:rPr>
                <w:rFonts w:ascii="Arial" w:cs="Arial" w:eastAsia="Arial" w:hAnsi="Arial"/>
                <w:color w:val="AAAAAA"/>
                <w:sz w:val="20"/>
                <w:szCs w:val="20"/>
              </w:rPr>
              <w:t xml:space="preserve"> </w:t>
            </w:r>
          </w:p>
          <w:p>
            <w:pPr>
              <w:pBdr>
                <w:left w:val="single" w:color="C8A84B" w:sz="12" w:space="4"/>
              </w:pBdr>
              <w:spacing w:after="160" w:before="160"/>
              <w:ind w:left="360"/>
            </w:pPr>
            <w:r>
              <w:rPr>
                <w:rFonts w:ascii="Arial" w:cs="Arial" w:eastAsia="Arial" w:hAnsi="Arial"/>
                <w:b/>
                <w:bCs/>
                <w:color w:val="FFFFFF"/>
                <w:sz w:val="22"/>
                <w:szCs w:val="22"/>
              </w:rPr>
              <w:t xml:space="preserve">Quality exceeds quantity. When production capacity is constrained, quality effort must increase.</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HOW THE ROLLING WINDOW WORKS</w:t>
            </w:r>
          </w:p>
          <w:p>
            <w:pPr>
              <w:spacing w:after="80" w:before="80"/>
            </w:pPr>
            <w:r>
              <w:rPr>
                <w:rFonts w:ascii="Arial" w:cs="Arial" w:eastAsia="Arial" w:hAnsi="Arial"/>
                <w:b/>
                <w:bCs/>
                <w:color w:val="C8A84B"/>
                <w:sz w:val="20"/>
                <w:szCs w:val="20"/>
              </w:rPr>
              <w:t xml:space="preserve">Primary Reset:  </w:t>
            </w:r>
            <w:r>
              <w:rPr>
                <w:rFonts w:ascii="Arial" w:cs="Arial" w:eastAsia="Arial" w:hAnsi="Arial"/>
                <w:color w:val="DDDDDD"/>
                <w:sz w:val="20"/>
                <w:szCs w:val="20"/>
              </w:rPr>
              <w:t xml:space="preserve">Rolling 2-hour window for burst capacity — slots reopen as oldest generations age out</w:t>
            </w:r>
          </w:p>
          <w:p>
            <w:pPr>
              <w:spacing w:after="80" w:before="80"/>
            </w:pPr>
            <w:r>
              <w:rPr>
                <w:rFonts w:ascii="Arial" w:cs="Arial" w:eastAsia="Arial" w:hAnsi="Arial"/>
                <w:b/>
                <w:bCs/>
                <w:color w:val="C8A84B"/>
                <w:sz w:val="20"/>
                <w:szCs w:val="20"/>
              </w:rPr>
              <w:t xml:space="preserve">Broader Quota:  </w:t>
            </w:r>
            <w:r>
              <w:rPr>
                <w:rFonts w:ascii="Arial" w:cs="Arial" w:eastAsia="Arial" w:hAnsi="Arial"/>
                <w:color w:val="DDDDDD"/>
                <w:sz w:val="20"/>
                <w:szCs w:val="20"/>
              </w:rPr>
              <w:t xml:space="preserve">Rolling 24-hour window governs overall daily allowance — anchored to your usage history, not a universal reset</w:t>
            </w:r>
          </w:p>
          <w:p>
            <w:pPr>
              <w:spacing w:after="80" w:before="80"/>
            </w:pPr>
            <w:r>
              <w:rPr>
                <w:rFonts w:ascii="Arial" w:cs="Arial" w:eastAsia="Arial" w:hAnsi="Arial"/>
                <w:b/>
                <w:bCs/>
                <w:color w:val="C8A84B"/>
                <w:sz w:val="20"/>
                <w:szCs w:val="20"/>
              </w:rPr>
              <w:t xml:space="preserve">Timer:  </w:t>
            </w:r>
            <w:r>
              <w:rPr>
                <w:rFonts w:ascii="Arial" w:cs="Arial" w:eastAsia="Arial" w:hAnsi="Arial"/>
                <w:color w:val="DDDDDD"/>
                <w:sz w:val="20"/>
                <w:szCs w:val="20"/>
              </w:rPr>
              <w:t xml:space="preserve">The app shows your personal countdown when capacity is low — this is the only authoritative source</w:t>
            </w:r>
          </w:p>
          <w:p>
            <w:pPr>
              <w:spacing w:after="80" w:before="80"/>
            </w:pPr>
            <w:r>
              <w:rPr>
                <w:rFonts w:ascii="Arial" w:cs="Arial" w:eastAsia="Arial" w:hAnsi="Arial"/>
                <w:b/>
                <w:bCs/>
                <w:color w:val="C8A84B"/>
                <w:sz w:val="20"/>
                <w:szCs w:val="20"/>
              </w:rPr>
              <w:t xml:space="preserve">Video Cost:  </w:t>
            </w:r>
            <w:r>
              <w:rPr>
                <w:rFonts w:ascii="Arial" w:cs="Arial" w:eastAsia="Arial" w:hAnsi="Arial"/>
                <w:color w:val="DDDDDD"/>
                <w:sz w:val="20"/>
                <w:szCs w:val="20"/>
              </w:rPr>
              <w:t xml:space="preserve">Video generations have longer effective cooldowns — prioritize image assets unless the loop is the hero piece</w:t>
            </w:r>
          </w:p>
          <w:p>
            <w:pPr>
              <w:spacing w:after="60" w:before="60"/>
            </w:pPr>
            <w:r>
              <w:rPr>
                <w:rFonts w:ascii="Arial" w:cs="Arial" w:eastAsia="Arial" w:hAnsi="Arial"/>
                <w:color w:val="AAAAAA"/>
                <w:sz w:val="20"/>
                <w:szCs w:val="20"/>
              </w:rPr>
              <w:t xml:space="preserve"> </w:t>
            </w:r>
          </w:p>
          <w:p>
            <w:pPr>
              <w:pBdr>
                <w:left w:val="single" w:color="AA4444" w:sz="8" w:space="4"/>
              </w:pBdr>
              <w:spacing w:after="120" w:before="120"/>
              <w:ind w:left="360"/>
            </w:pPr>
            <w:r>
              <w:rPr>
                <w:rFonts w:ascii="Arial" w:cs="Arial" w:eastAsia="Arial" w:hAnsi="Arial"/>
                <w:b/>
                <w:bCs/>
                <w:color w:val="AA4444"/>
                <w:sz w:val="20"/>
                <w:szCs w:val="20"/>
              </w:rPr>
              <w:t xml:space="preserve">⚠  Do not guess at reset times. Check your personal timer in the app. Failed or low-quality generations still count against quota.</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WHAT FITS IN ONE 2-HOUR WINDOW</w:t>
            </w:r>
          </w:p>
          <w:p>
            <w:pPr>
              <w:spacing w:after="60" w:before="60"/>
            </w:pPr>
            <w:r>
              <w:rPr>
                <w:rFonts w:ascii="Arial" w:cs="Arial" w:eastAsia="Arial" w:hAnsi="Arial"/>
                <w:color w:val="AAAAAA"/>
                <w:sz w:val="20"/>
                <w:szCs w:val="20"/>
              </w:rPr>
              <w:t xml:space="preserve">Maximum recommended per window — conservative and reliable:</w:t>
            </w:r>
          </w:p>
          <w:p>
            <w:pPr>
              <w:spacing w:after="60" w:before="60"/>
            </w:pPr>
            <w:r>
              <w:rPr>
                <w:rFonts w:ascii="Arial" w:cs="Arial" w:eastAsia="Arial" w:hAnsi="Arial"/>
                <w:color w:val="AAAAA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000"/>
              <w:gridCol w:w="2688"/>
              <w:gridCol w:w="2000"/>
              <w:gridCol w:w="1800"/>
            </w:tblGrid>
            <w:tr>
              <w:tc>
                <w:tcPr>
                  <w:tcW w:type="dxa" w:w="1872"/>
                  <w:tcBorders>
                    <w:top w:val="single" w:color="C8A84B" w:sz="1"/>
                    <w:left w:val="single" w:color="C8A84B" w:sz="1"/>
                    <w:bottom w:val="single" w:color="C8A84B" w:sz="1"/>
                    <w:right w:val="single" w:color="C8A84B" w:sz="1"/>
                  </w:tcBorders>
                  <w:shd w:fill="1A1400" w:val="clear"/>
                  <w:tcMar>
                    <w:top w:type="dxa" w:w="80"/>
                    <w:left w:type="dxa" w:w="120"/>
                    <w:bottom w:type="dxa" w:w="80"/>
                    <w:right w:type="dxa" w:w="120"/>
                  </w:tcMar>
                </w:tcPr>
                <w:p>
                  <w:r>
                    <w:rPr>
                      <w:rFonts w:ascii="Arial" w:cs="Arial" w:eastAsia="Arial" w:hAnsi="Arial"/>
                      <w:b/>
                      <w:bCs/>
                      <w:color w:val="C8A84B"/>
                      <w:sz w:val="18"/>
                      <w:szCs w:val="18"/>
                    </w:rPr>
                    <w:t xml:space="preserve">Asset Type</w:t>
                  </w:r>
                </w:p>
              </w:tc>
              <w:tc>
                <w:tcPr>
                  <w:tcW w:type="dxa" w:w="1872"/>
                  <w:tcBorders>
                    <w:top w:val="single" w:color="C8A84B" w:sz="1"/>
                    <w:left w:val="single" w:color="C8A84B" w:sz="1"/>
                    <w:bottom w:val="single" w:color="C8A84B" w:sz="1"/>
                    <w:right w:val="single" w:color="C8A84B" w:sz="1"/>
                  </w:tcBorders>
                  <w:shd w:fill="1A1400" w:val="clear"/>
                  <w:tcMar>
                    <w:top w:type="dxa" w:w="80"/>
                    <w:left w:type="dxa" w:w="120"/>
                    <w:bottom w:type="dxa" w:w="80"/>
                    <w:right w:type="dxa" w:w="120"/>
                  </w:tcMar>
                </w:tcPr>
                <w:p>
                  <w:r>
                    <w:rPr>
                      <w:rFonts w:ascii="Arial" w:cs="Arial" w:eastAsia="Arial" w:hAnsi="Arial"/>
                      <w:b/>
                      <w:bCs/>
                      <w:color w:val="C8A84B"/>
                      <w:sz w:val="18"/>
                      <w:szCs w:val="18"/>
                    </w:rPr>
                    <w:t xml:space="preserve">Max Images</w:t>
                  </w:r>
                </w:p>
              </w:tc>
              <w:tc>
                <w:tcPr>
                  <w:tcW w:type="dxa" w:w="1872"/>
                  <w:tcBorders>
                    <w:top w:val="single" w:color="C8A84B" w:sz="1"/>
                    <w:left w:val="single" w:color="C8A84B" w:sz="1"/>
                    <w:bottom w:val="single" w:color="C8A84B" w:sz="1"/>
                    <w:right w:val="single" w:color="C8A84B" w:sz="1"/>
                  </w:tcBorders>
                  <w:shd w:fill="1A1400" w:val="clear"/>
                  <w:tcMar>
                    <w:top w:type="dxa" w:w="80"/>
                    <w:left w:type="dxa" w:w="120"/>
                    <w:bottom w:type="dxa" w:w="80"/>
                    <w:right w:type="dxa" w:w="120"/>
                  </w:tcMar>
                </w:tcPr>
                <w:p>
                  <w:r>
                    <w:rPr>
                      <w:rFonts w:ascii="Arial" w:cs="Arial" w:eastAsia="Arial" w:hAnsi="Arial"/>
                      <w:b/>
                      <w:bCs/>
                      <w:color w:val="C8A84B"/>
                      <w:sz w:val="18"/>
                      <w:szCs w:val="18"/>
                    </w:rPr>
                    <w:t xml:space="preserve">Notes</w:t>
                  </w:r>
                </w:p>
              </w:tc>
              <w:tc>
                <w:tcPr>
                  <w:tcW w:type="dxa" w:w="1872"/>
                  <w:tcBorders>
                    <w:top w:val="single" w:color="C8A84B" w:sz="1"/>
                    <w:left w:val="single" w:color="C8A84B" w:sz="1"/>
                    <w:bottom w:val="single" w:color="C8A84B" w:sz="1"/>
                    <w:right w:val="single" w:color="C8A84B" w:sz="1"/>
                  </w:tcBorders>
                  <w:shd w:fill="1A1400" w:val="clear"/>
                  <w:tcMar>
                    <w:top w:type="dxa" w:w="80"/>
                    <w:left w:type="dxa" w:w="120"/>
                    <w:bottom w:type="dxa" w:w="80"/>
                    <w:right w:type="dxa" w:w="120"/>
                  </w:tcMar>
                </w:tcPr>
                <w:p>
                  <w:r>
                    <w:rPr>
                      <w:rFonts w:ascii="Arial" w:cs="Arial" w:eastAsia="Arial" w:hAnsi="Arial"/>
                      <w:b/>
                      <w:bCs/>
                      <w:color w:val="C8A84B"/>
                      <w:sz w:val="18"/>
                      <w:szCs w:val="18"/>
                    </w:rPr>
                    <w:t xml:space="preserve">Wallworthiness</w:t>
                  </w:r>
                </w:p>
              </w:tc>
              <w:tc>
                <w:tcPr>
                  <w:tcW w:type="dxa" w:w="1872"/>
                  <w:tcBorders>
                    <w:top w:val="single" w:color="C8A84B" w:sz="1"/>
                    <w:left w:val="single" w:color="C8A84B" w:sz="1"/>
                    <w:bottom w:val="single" w:color="C8A84B" w:sz="1"/>
                    <w:right w:val="single" w:color="C8A84B" w:sz="1"/>
                  </w:tcBorders>
                  <w:shd w:fill="1A1400" w:val="clear"/>
                  <w:tcMar>
                    <w:top w:type="dxa" w:w="80"/>
                    <w:left w:type="dxa" w:w="120"/>
                    <w:bottom w:type="dxa" w:w="80"/>
                    <w:right w:type="dxa" w:w="120"/>
                  </w:tcMar>
                </w:tcPr>
                <w:p>
                  <w:r>
                    <w:rPr>
                      <w:rFonts w:ascii="Arial" w:cs="Arial" w:eastAsia="Arial" w:hAnsi="Arial"/>
                      <w:b/>
                      <w:bCs/>
                      <w:color w:val="C8A84B"/>
                      <w:sz w:val="18"/>
                      <w:szCs w:val="18"/>
                    </w:rPr>
                    <w:t xml:space="preserve">Fits in Window?</w:t>
                  </w:r>
                </w:p>
              </w:tc>
            </w:tr>
            <w:tr>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Hero Poster</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AA66"/>
                      <w:sz w:val="17"/>
                      <w:szCs w:val="17"/>
                    </w:rPr>
                    <w:t xml:space="preserve">1</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Full production: character + environment + material signature</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Print-ready required</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AA66"/>
                      <w:sz w:val="17"/>
                      <w:szCs w:val="17"/>
                    </w:rPr>
                    <w:t xml:space="preserve">YES</w:t>
                  </w:r>
                </w:p>
              </w:tc>
            </w:tr>
            <w:tr>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Lookbook</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AA66"/>
                      <w:sz w:val="17"/>
                      <w:szCs w:val="17"/>
                    </w:rPr>
                    <w:t xml:space="preserve">4–6</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One tight theme only. Coordinated lighting + emotion</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Collectible editorial set</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AA66"/>
                      <w:sz w:val="17"/>
                      <w:szCs w:val="17"/>
                    </w:rPr>
                    <w:t xml:space="preserve">YES</w:t>
                  </w:r>
                </w:p>
              </w:tc>
            </w:tr>
            <w:tr>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Four-Card Set</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AA66"/>
                      <w:sz w:val="17"/>
                      <w:szCs w:val="17"/>
                    </w:rPr>
                    <w:t xml:space="preserve">4</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Clear narrative progression. All cards connect to canon</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Each card standalone + compound</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AA66"/>
                      <w:sz w:val="17"/>
                      <w:szCs w:val="17"/>
                    </w:rPr>
                    <w:t xml:space="preserve">YES</w:t>
                  </w:r>
                </w:p>
              </w:tc>
            </w:tr>
            <w:tr>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Six-Second Loop</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BBAA"/>
                      <w:sz w:val="17"/>
                      <w:szCs w:val="17"/>
                    </w:rPr>
                    <w:t xml:space="preserve">1</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Video costs more quota. Motion must add collector value</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Motion justified</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BBAA"/>
                      <w:sz w:val="17"/>
                      <w:szCs w:val="17"/>
                    </w:rPr>
                    <w:t xml:space="preserve">YES — carefully</w:t>
                  </w:r>
                </w:p>
              </w:tc>
            </w:tr>
            <w:tr>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Identity Lock</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AA66"/>
                      <w:sz w:val="17"/>
                      <w:szCs w:val="17"/>
                    </w:rPr>
                    <w:t xml:space="preserve">2–3</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Core portraits + 1 material test. Gospel measurements locked</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Canon anchor established</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AA66"/>
                      <w:sz w:val="17"/>
                      <w:szCs w:val="17"/>
                    </w:rPr>
                    <w:t xml:space="preserve">YES</w:t>
                  </w:r>
                </w:p>
              </w:tc>
            </w:tr>
            <w:tr>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Support / Test</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666666"/>
                      <w:sz w:val="17"/>
                      <w:szCs w:val="17"/>
                    </w:rPr>
                    <w:t xml:space="preserve">1–2</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Low-complexity tests only. Must serve upcoming major asset</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7"/>
                      <w:szCs w:val="17"/>
                    </w:rPr>
                    <w:t xml:space="preserve">Secondary only</w:t>
                  </w:r>
                </w:p>
              </w:tc>
              <w:tc>
                <w:tcPr>
                  <w:tcW w:type="dxa" w:w="1872"/>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666666"/>
                      <w:sz w:val="17"/>
                      <w:szCs w:val="17"/>
                    </w:rPr>
                    <w:t xml:space="preserve">SPARINGLY</w:t>
                  </w:r>
                </w:p>
              </w:tc>
            </w:tr>
          </w:tbl>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DO NOT ATTEMPT IN ONE WINDOW</w:t>
            </w:r>
          </w:p>
          <w:p>
            <w:pPr>
              <w:spacing w:after="60" w:before="60"/>
            </w:pPr>
            <w:r>
              <w:rPr>
                <w:rFonts w:ascii="Arial" w:cs="Arial" w:eastAsia="Arial" w:hAnsi="Arial"/>
                <w:color w:val="AAAAA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4444" w:sz="1"/>
                    <w:left w:val="single" w:color="AA4444" w:sz="1"/>
                    <w:bottom w:val="single" w:color="AA4444" w:sz="1"/>
                    <w:right w:val="single" w:color="AA4444" w:sz="1"/>
                  </w:tcBorders>
                  <w:shd w:fill="1A0000" w:val="clear"/>
                  <w:tcMar>
                    <w:top w:type="dxa" w:w="80"/>
                    <w:left w:type="dxa" w:w="120"/>
                    <w:bottom w:type="dxa" w:w="80"/>
                    <w:right w:type="dxa" w:w="120"/>
                  </w:tcMar>
                </w:tcPr>
                <w:p>
                  <w:r>
                    <w:rPr>
                      <w:rFonts w:ascii="Arial" w:cs="Arial" w:eastAsia="Arial" w:hAnsi="Arial"/>
                      <w:color w:val="AA4444"/>
                      <w:sz w:val="19"/>
                      <w:szCs w:val="19"/>
                    </w:rPr>
                    <w:t xml:space="preserve">✕  Full new character + complete lookbook</w:t>
                  </w:r>
                </w:p>
              </w:tc>
              <w:tc>
                <w:tcPr>
                  <w:tcW w:type="dxa" w:w="4680"/>
                  <w:tcBorders>
                    <w:top w:val="single" w:color="AA4444" w:sz="1"/>
                    <w:left w:val="single" w:color="AA4444" w:sz="1"/>
                    <w:bottom w:val="single" w:color="AA4444" w:sz="1"/>
                    <w:right w:val="single" w:color="AA4444" w:sz="1"/>
                  </w:tcBorders>
                  <w:shd w:fill="1A0000" w:val="clear"/>
                  <w:tcMar>
                    <w:top w:type="dxa" w:w="80"/>
                    <w:left w:type="dxa" w:w="120"/>
                    <w:bottom w:type="dxa" w:w="80"/>
                    <w:right w:type="dxa" w:w="120"/>
                  </w:tcMar>
                </w:tcPr>
                <w:p>
                  <w:r>
                    <w:rPr>
                      <w:rFonts w:ascii="Arial" w:cs="Arial" w:eastAsia="Arial" w:hAnsi="Arial"/>
                      <w:color w:val="AA4444"/>
                      <w:sz w:val="19"/>
                      <w:szCs w:val="19"/>
                    </w:rPr>
                    <w:t xml:space="preserve">✕  Hero Poster + Lookbook</w:t>
                  </w:r>
                </w:p>
              </w:tc>
            </w:tr>
            <w:tr>
              <w:tc>
                <w:tcPr>
                  <w:tcW w:type="dxa" w:w="4680"/>
                  <w:tcBorders>
                    <w:top w:val="single" w:color="AA4444" w:sz="1"/>
                    <w:left w:val="single" w:color="AA4444" w:sz="1"/>
                    <w:bottom w:val="single" w:color="AA4444" w:sz="1"/>
                    <w:right w:val="single" w:color="AA4444" w:sz="1"/>
                  </w:tcBorders>
                  <w:shd w:fill="1A0000" w:val="clear"/>
                  <w:tcMar>
                    <w:top w:type="dxa" w:w="80"/>
                    <w:left w:type="dxa" w:w="120"/>
                    <w:bottom w:type="dxa" w:w="80"/>
                    <w:right w:type="dxa" w:w="120"/>
                  </w:tcMar>
                </w:tcPr>
                <w:p>
                  <w:r>
                    <w:rPr>
                      <w:rFonts w:ascii="Arial" w:cs="Arial" w:eastAsia="Arial" w:hAnsi="Arial"/>
                      <w:color w:val="AA4444"/>
                      <w:sz w:val="19"/>
                      <w:szCs w:val="19"/>
                    </w:rPr>
                    <w:t xml:space="preserve">✕  Lookbook + Four-Card Set</w:t>
                  </w:r>
                </w:p>
              </w:tc>
              <w:tc>
                <w:tcPr>
                  <w:tcW w:type="dxa" w:w="4680"/>
                  <w:tcBorders>
                    <w:top w:val="single" w:color="AA4444" w:sz="1"/>
                    <w:left w:val="single" w:color="AA4444" w:sz="1"/>
                    <w:bottom w:val="single" w:color="AA4444" w:sz="1"/>
                    <w:right w:val="single" w:color="AA4444" w:sz="1"/>
                  </w:tcBorders>
                  <w:shd w:fill="1A0000" w:val="clear"/>
                  <w:tcMar>
                    <w:top w:type="dxa" w:w="80"/>
                    <w:left w:type="dxa" w:w="120"/>
                    <w:bottom w:type="dxa" w:w="80"/>
                    <w:right w:type="dxa" w:w="120"/>
                  </w:tcMar>
                </w:tcPr>
                <w:p>
                  <w:r>
                    <w:rPr>
                      <w:rFonts w:ascii="Arial" w:cs="Arial" w:eastAsia="Arial" w:hAnsi="Arial"/>
                      <w:color w:val="AA4444"/>
                      <w:sz w:val="19"/>
                      <w:szCs w:val="19"/>
                    </w:rPr>
                    <w:t xml:space="preserve">✕  Any video + heavy image set</w:t>
                  </w:r>
                </w:p>
              </w:tc>
            </w:tr>
            <w:tr>
              <w:tc>
                <w:tcPr>
                  <w:tcW w:type="dxa" w:w="4680"/>
                  <w:tcBorders>
                    <w:top w:val="single" w:color="AA4444" w:sz="1"/>
                    <w:left w:val="single" w:color="AA4444" w:sz="1"/>
                    <w:bottom w:val="single" w:color="AA4444" w:sz="1"/>
                    <w:right w:val="single" w:color="AA4444" w:sz="1"/>
                  </w:tcBorders>
                  <w:shd w:fill="1A0000" w:val="clear"/>
                  <w:tcMar>
                    <w:top w:type="dxa" w:w="80"/>
                    <w:left w:type="dxa" w:w="120"/>
                    <w:bottom w:type="dxa" w:w="80"/>
                    <w:right w:type="dxa" w:w="120"/>
                  </w:tcMar>
                </w:tcPr>
                <w:p>
                  <w:r>
                    <w:rPr>
                      <w:rFonts w:ascii="Arial" w:cs="Arial" w:eastAsia="Arial" w:hAnsi="Arial"/>
                      <w:color w:val="AA4444"/>
                      <w:sz w:val="19"/>
                      <w:szCs w:val="19"/>
                    </w:rPr>
                    <w:t xml:space="preserve">✕  Multiple unrelated characters/scenes</w:t>
                  </w:r>
                </w:p>
              </w:tc>
              <w:tc>
                <w:tcPr>
                  <w:tcW w:type="dxa" w:w="4680"/>
                  <w:tcBorders>
                    <w:top w:val="single" w:color="AA4444" w:sz="1"/>
                    <w:left w:val="single" w:color="AA4444" w:sz="1"/>
                    <w:bottom w:val="single" w:color="AA4444" w:sz="1"/>
                    <w:right w:val="single" w:color="AA4444" w:sz="1"/>
                  </w:tcBorders>
                  <w:shd w:fill="1A0000" w:val="clear"/>
                  <w:tcMar>
                    <w:top w:type="dxa" w:w="80"/>
                    <w:left w:type="dxa" w:w="120"/>
                    <w:bottom w:type="dxa" w:w="80"/>
                    <w:right w:type="dxa" w:w="120"/>
                  </w:tcMar>
                </w:tcPr>
                <w:p>
                  <w:r>
                    <w:rPr>
                      <w:rFonts w:ascii="Arial" w:cs="Arial" w:eastAsia="Arial" w:hAnsi="Arial"/>
                      <w:color w:val="AA4444"/>
                      <w:sz w:val="19"/>
                      <w:szCs w:val="19"/>
                    </w:rPr>
                    <w:t xml:space="preserve">✕  Rushing sequence without phase separation</w:t>
                  </w:r>
                </w:p>
              </w:tc>
            </w:tr>
          </w:tbl>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HOW TO BUILD A FULL CHARACTER TO LOOKBOOK STANDARD</w:t>
            </w:r>
          </w:p>
          <w:p>
            <w:pPr>
              <w:spacing w:after="60" w:before="60"/>
            </w:pPr>
            <w:r>
              <w:rPr>
                <w:rFonts w:ascii="Arial" w:cs="Arial" w:eastAsia="Arial" w:hAnsi="Arial"/>
                <w:color w:val="AAAAAA"/>
                <w:sz w:val="20"/>
                <w:szCs w:val="20"/>
              </w:rPr>
              <w:t xml:space="preserve">You cannot complete a full character to lookbook standard in one window. Break it into dedicated sequential windows across the rolling day:</w:t>
            </w:r>
          </w:p>
          <w:p>
            <w:pPr>
              <w:spacing w:after="60" w:before="60"/>
            </w:pPr>
            <w:r>
              <w:rPr>
                <w:rFonts w:ascii="Arial" w:cs="Arial" w:eastAsia="Arial" w:hAnsi="Arial"/>
                <w:color w:val="AAAAA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60"/>
              <w:gridCol w:w="2600"/>
            </w:tblGrid>
            <w:tr>
              <w:tc>
                <w:tcPr>
                  <w:tcW w:type="dxa" w:w="1200"/>
                  <w:tcBorders>
                    <w:top w:val="single" w:color="C8A84B" w:sz="1"/>
                    <w:left w:val="single" w:color="C8A84B" w:sz="1"/>
                    <w:bottom w:val="single" w:color="C8A84B" w:sz="1"/>
                    <w:right w:val="single" w:color="C8A84B" w:sz="1"/>
                  </w:tcBorders>
                  <w:shd w:fill="1A1400" w:val="clear"/>
                  <w:tcMar>
                    <w:top w:type="dxa" w:w="80"/>
                    <w:left w:type="dxa" w:w="120"/>
                    <w:bottom w:type="dxa" w:w="80"/>
                    <w:right w:type="dxa" w:w="120"/>
                  </w:tcMar>
                </w:tcPr>
                <w:p>
                  <w:r>
                    <w:rPr>
                      <w:rFonts w:ascii="Arial" w:cs="Arial" w:eastAsia="Arial" w:hAnsi="Arial"/>
                      <w:b/>
                      <w:bCs/>
                      <w:color w:val="C8A84B"/>
                      <w:sz w:val="18"/>
                      <w:szCs w:val="18"/>
                    </w:rPr>
                    <w:t xml:space="preserve">Phase</w:t>
                  </w:r>
                </w:p>
              </w:tc>
              <w:tc>
                <w:tcPr>
                  <w:tcW w:type="dxa" w:w="2000"/>
                  <w:tcBorders>
                    <w:top w:val="single" w:color="C8A84B" w:sz="1"/>
                    <w:left w:val="single" w:color="C8A84B" w:sz="1"/>
                    <w:bottom w:val="single" w:color="C8A84B" w:sz="1"/>
                    <w:right w:val="single" w:color="C8A84B" w:sz="1"/>
                  </w:tcBorders>
                  <w:shd w:fill="1A1400" w:val="clear"/>
                  <w:tcMar>
                    <w:top w:type="dxa" w:w="80"/>
                    <w:left w:type="dxa" w:w="120"/>
                    <w:bottom w:type="dxa" w:w="80"/>
                    <w:right w:type="dxa" w:w="120"/>
                  </w:tcMar>
                </w:tcPr>
                <w:p>
                  <w:r>
                    <w:rPr>
                      <w:rFonts w:ascii="Arial" w:cs="Arial" w:eastAsia="Arial" w:hAnsi="Arial"/>
                      <w:b/>
                      <w:bCs/>
                      <w:color w:val="C8A84B"/>
                      <w:sz w:val="18"/>
                      <w:szCs w:val="18"/>
                    </w:rPr>
                    <w:t xml:space="preserve">Window</w:t>
                  </w:r>
                </w:p>
              </w:tc>
              <w:tc>
                <w:tcPr>
                  <w:tcW w:type="dxa" w:w="3560"/>
                  <w:tcBorders>
                    <w:top w:val="single" w:color="C8A84B" w:sz="1"/>
                    <w:left w:val="single" w:color="C8A84B" w:sz="1"/>
                    <w:bottom w:val="single" w:color="C8A84B" w:sz="1"/>
                    <w:right w:val="single" w:color="C8A84B" w:sz="1"/>
                  </w:tcBorders>
                  <w:shd w:fill="1A1400" w:val="clear"/>
                  <w:tcMar>
                    <w:top w:type="dxa" w:w="80"/>
                    <w:left w:type="dxa" w:w="120"/>
                    <w:bottom w:type="dxa" w:w="80"/>
                    <w:right w:type="dxa" w:w="120"/>
                  </w:tcMar>
                </w:tcPr>
                <w:p>
                  <w:r>
                    <w:rPr>
                      <w:rFonts w:ascii="Arial" w:cs="Arial" w:eastAsia="Arial" w:hAnsi="Arial"/>
                      <w:b/>
                      <w:bCs/>
                      <w:color w:val="C8A84B"/>
                      <w:sz w:val="18"/>
                      <w:szCs w:val="18"/>
                    </w:rPr>
                    <w:t xml:space="preserve">Output</w:t>
                  </w:r>
                </w:p>
              </w:tc>
              <w:tc>
                <w:tcPr>
                  <w:tcW w:type="dxa" w:w="2600"/>
                  <w:tcBorders>
                    <w:top w:val="single" w:color="C8A84B" w:sz="1"/>
                    <w:left w:val="single" w:color="C8A84B" w:sz="1"/>
                    <w:bottom w:val="single" w:color="C8A84B" w:sz="1"/>
                    <w:right w:val="single" w:color="C8A84B" w:sz="1"/>
                  </w:tcBorders>
                  <w:shd w:fill="1A1400" w:val="clear"/>
                  <w:tcMar>
                    <w:top w:type="dxa" w:w="80"/>
                    <w:left w:type="dxa" w:w="120"/>
                    <w:bottom w:type="dxa" w:w="80"/>
                    <w:right w:type="dxa" w:w="120"/>
                  </w:tcMar>
                </w:tcPr>
                <w:p>
                  <w:r>
                    <w:rPr>
                      <w:rFonts w:ascii="Arial" w:cs="Arial" w:eastAsia="Arial" w:hAnsi="Arial"/>
                      <w:b/>
                      <w:bCs/>
                      <w:color w:val="C8A84B"/>
                      <w:sz w:val="18"/>
                      <w:szCs w:val="18"/>
                    </w:rPr>
                    <w:t xml:space="preserve">Canon Result</w:t>
                  </w:r>
                </w:p>
              </w:tc>
            </w:tr>
            <w:tr>
              <w:tc>
                <w:tcPr>
                  <w:tcW w:type="dxa" w:w="1200"/>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C8A84B"/>
                      <w:sz w:val="18"/>
                      <w:szCs w:val="18"/>
                    </w:rPr>
                    <w:t xml:space="preserve">1</w:t>
                  </w:r>
                </w:p>
              </w:tc>
              <w:tc>
                <w:tcPr>
                  <w:tcW w:type="dxa" w:w="2000"/>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AA66"/>
                      <w:sz w:val="18"/>
                      <w:szCs w:val="18"/>
                    </w:rPr>
                    <w:t xml:space="preserve">Identity Lock</w:t>
                  </w:r>
                </w:p>
              </w:tc>
              <w:tc>
                <w:tcPr>
                  <w:tcW w:type="dxa" w:w="3560"/>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8"/>
                      <w:szCs w:val="18"/>
                    </w:rPr>
                    <w:t xml:space="preserve">Core face + body + gospel measurements + one portrait</w:t>
                  </w:r>
                </w:p>
              </w:tc>
              <w:tc>
                <w:tcPr>
                  <w:tcW w:type="dxa" w:w="2600"/>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AA66"/>
                      <w:sz w:val="18"/>
                      <w:szCs w:val="18"/>
                    </w:rPr>
                    <w:t xml:space="preserve">Canon anchor locked</w:t>
                  </w:r>
                </w:p>
              </w:tc>
            </w:tr>
            <w:tr>
              <w:tc>
                <w:tcPr>
                  <w:tcW w:type="dxa" w:w="1200"/>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C8A84B"/>
                      <w:sz w:val="18"/>
                      <w:szCs w:val="18"/>
                    </w:rPr>
                    <w:t xml:space="preserve">2</w:t>
                  </w:r>
                </w:p>
              </w:tc>
              <w:tc>
                <w:tcPr>
                  <w:tcW w:type="dxa" w:w="2000"/>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AA66"/>
                      <w:sz w:val="18"/>
                      <w:szCs w:val="18"/>
                    </w:rPr>
                    <w:t xml:space="preserve">Signature Context</w:t>
                  </w:r>
                </w:p>
              </w:tc>
              <w:tc>
                <w:tcPr>
                  <w:tcW w:type="dxa" w:w="3560"/>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8"/>
                      <w:szCs w:val="18"/>
                    </w:rPr>
                    <w:t xml:space="preserve">Character in primary environment. Key materials + lighting tested</w:t>
                  </w:r>
                </w:p>
              </w:tc>
              <w:tc>
                <w:tcPr>
                  <w:tcW w:type="dxa" w:w="2600"/>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AA66"/>
                      <w:sz w:val="18"/>
                      <w:szCs w:val="18"/>
                    </w:rPr>
                    <w:t xml:space="preserve">World placement locked</w:t>
                  </w:r>
                </w:p>
              </w:tc>
            </w:tr>
            <w:tr>
              <w:tc>
                <w:tcPr>
                  <w:tcW w:type="dxa" w:w="1200"/>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C8A84B"/>
                      <w:sz w:val="18"/>
                      <w:szCs w:val="18"/>
                    </w:rPr>
                    <w:t xml:space="preserve">3</w:t>
                  </w:r>
                </w:p>
              </w:tc>
              <w:tc>
                <w:tcPr>
                  <w:tcW w:type="dxa" w:w="2000"/>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AA66"/>
                      <w:sz w:val="18"/>
                      <w:szCs w:val="18"/>
                    </w:rPr>
                    <w:t xml:space="preserve">Lookbook</w:t>
                  </w:r>
                </w:p>
              </w:tc>
              <w:tc>
                <w:tcPr>
                  <w:tcW w:type="dxa" w:w="3560"/>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8"/>
                      <w:szCs w:val="18"/>
                    </w:rPr>
                    <w:t xml:space="preserve">4–6 image themed lookbook. One location, one emotional through-line</w:t>
                  </w:r>
                </w:p>
              </w:tc>
              <w:tc>
                <w:tcPr>
                  <w:tcW w:type="dxa" w:w="2600"/>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AA66"/>
                      <w:sz w:val="18"/>
                      <w:szCs w:val="18"/>
                    </w:rPr>
                    <w:t xml:space="preserve">Collectible chapter complete</w:t>
                  </w:r>
                </w:p>
              </w:tc>
            </w:tr>
            <w:tr>
              <w:tc>
                <w:tcPr>
                  <w:tcW w:type="dxa" w:w="1200"/>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C8A84B"/>
                      <w:sz w:val="18"/>
                      <w:szCs w:val="18"/>
                    </w:rPr>
                    <w:t xml:space="preserve">4</w:t>
                  </w:r>
                </w:p>
              </w:tc>
              <w:tc>
                <w:tcPr>
                  <w:tcW w:type="dxa" w:w="2000"/>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AA66"/>
                      <w:sz w:val="18"/>
                      <w:szCs w:val="18"/>
                    </w:rPr>
                    <w:t xml:space="preserve">Integration</w:t>
                  </w:r>
                </w:p>
              </w:tc>
              <w:tc>
                <w:tcPr>
                  <w:tcW w:type="dxa" w:w="3560"/>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AAAAAA"/>
                      <w:sz w:val="18"/>
                      <w:szCs w:val="18"/>
                    </w:rPr>
                    <w:t xml:space="preserve">Four-Card Set connecting character to companions, locations, events</w:t>
                  </w:r>
                </w:p>
              </w:tc>
              <w:tc>
                <w:tcPr>
                  <w:tcW w:type="dxa" w:w="2600"/>
                  <w:tcBorders>
                    <w:top w:val="single" w:color="C8A84B" w:sz="1"/>
                    <w:left w:val="single" w:color="C8A84B" w:sz="1"/>
                    <w:bottom w:val="single" w:color="C8A84B" w:sz="1"/>
                    <w:right w:val="single" w:color="C8A84B" w:sz="1"/>
                  </w:tcBorders>
                  <w:shd w:fill="0A0A0A" w:val="clear"/>
                  <w:tcMar>
                    <w:top w:type="dxa" w:w="80"/>
                    <w:left w:type="dxa" w:w="120"/>
                    <w:bottom w:type="dxa" w:w="80"/>
                    <w:right w:type="dxa" w:w="120"/>
                  </w:tcMar>
                </w:tcPr>
                <w:p>
                  <w:r>
                    <w:rPr>
                      <w:rFonts w:ascii="Arial" w:cs="Arial" w:eastAsia="Arial" w:hAnsi="Arial"/>
                      <w:color w:val="44AA66"/>
                      <w:sz w:val="18"/>
                      <w:szCs w:val="18"/>
                    </w:rPr>
                    <w:t xml:space="preserve">Canon network expanded</w:t>
                  </w:r>
                </w:p>
              </w:tc>
            </w:tr>
          </w:tbl>
          <w:p>
            <w:pPr>
              <w:spacing w:after="60" w:before="60"/>
            </w:pPr>
            <w:r>
              <w:rPr>
                <w:rFonts w:ascii="Arial" w:cs="Arial" w:eastAsia="Arial" w:hAnsi="Arial"/>
                <w:color w:val="AAAAAA"/>
                <w:sz w:val="20"/>
                <w:szCs w:val="20"/>
              </w:rPr>
              <w:t xml:space="preserve"> </w:t>
            </w:r>
          </w:p>
          <w:p>
            <w:pPr>
              <w:spacing w:after="60" w:before="60"/>
            </w:pPr>
            <w:r>
              <w:rPr>
                <w:rFonts w:ascii="Arial" w:cs="Arial" w:eastAsia="Arial" w:hAnsi="Arial"/>
                <w:color w:val="666666"/>
                <w:sz w:val="20"/>
                <w:szCs w:val="20"/>
              </w:rPr>
              <w:t xml:space="preserve">Each phase produces something that can immediately enter the canon catalog as a standalone collectible piece. Nothing is wasted.</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DAILY PRODUCTION TARGET</w:t>
            </w:r>
          </w:p>
          <w:p>
            <w:pPr>
              <w:spacing w:after="60" w:before="60"/>
            </w:pPr>
            <w:r>
              <w:rPr>
                <w:rFonts w:ascii="Arial" w:cs="Arial" w:eastAsia="Arial" w:hAnsi="Arial"/>
                <w:color w:val="AAAAAA"/>
                <w:sz w:val="20"/>
                <w:szCs w:val="20"/>
              </w:rPr>
              <w:t xml:space="preserve">Aligned with the Publishing Studio Constitution. Spread across available windows:</w:t>
            </w:r>
          </w:p>
          <w:p>
            <w:pPr>
              <w:spacing w:after="60" w:before="60"/>
            </w:pPr>
            <w:r>
              <w:rPr>
                <w:rFonts w:ascii="Arial" w:cs="Arial" w:eastAsia="Arial" w:hAnsi="Arial"/>
                <w:color w:val="AAAAAA"/>
                <w:sz w:val="20"/>
                <w:szCs w:val="20"/>
              </w:rPr>
              <w:t xml:space="preserve"> </w:t>
            </w:r>
          </w:p>
          <w:p>
            <w:pPr>
              <w:pStyle w:val="ListParagraph"/>
              <w:numPr>
                <w:ilvl w:val="0"/>
                <w:numId w:val="2"/>
              </w:numPr>
              <w:spacing w:after="60" w:before="60"/>
            </w:pPr>
            <w:r>
              <w:rPr>
                <w:rFonts w:ascii="Arial" w:cs="Arial" w:eastAsia="Arial" w:hAnsi="Arial"/>
                <w:color w:val="44AA66"/>
                <w:sz w:val="20"/>
                <w:szCs w:val="20"/>
              </w:rPr>
              <w:t xml:space="preserve">1 Hero Poster</w:t>
            </w:r>
          </w:p>
          <w:p>
            <w:pPr>
              <w:pStyle w:val="ListParagraph"/>
              <w:numPr>
                <w:ilvl w:val="0"/>
                <w:numId w:val="2"/>
              </w:numPr>
              <w:spacing w:after="60" w:before="60"/>
            </w:pPr>
            <w:r>
              <w:rPr>
                <w:rFonts w:ascii="Arial" w:cs="Arial" w:eastAsia="Arial" w:hAnsi="Arial"/>
                <w:color w:val="44AA66"/>
                <w:sz w:val="20"/>
                <w:szCs w:val="20"/>
              </w:rPr>
              <w:t xml:space="preserve">1 Lookbook</w:t>
            </w:r>
          </w:p>
          <w:p>
            <w:pPr>
              <w:pStyle w:val="ListParagraph"/>
              <w:numPr>
                <w:ilvl w:val="0"/>
                <w:numId w:val="2"/>
              </w:numPr>
              <w:spacing w:after="60" w:before="60"/>
            </w:pPr>
            <w:r>
              <w:rPr>
                <w:rFonts w:ascii="Arial" w:cs="Arial" w:eastAsia="Arial" w:hAnsi="Arial"/>
                <w:color w:val="44AA66"/>
                <w:sz w:val="20"/>
                <w:szCs w:val="20"/>
              </w:rPr>
              <w:t xml:space="preserve">1 Four-Card Set</w:t>
            </w:r>
          </w:p>
          <w:p>
            <w:pPr>
              <w:pStyle w:val="ListParagraph"/>
              <w:numPr>
                <w:ilvl w:val="0"/>
                <w:numId w:val="2"/>
              </w:numPr>
              <w:spacing w:after="60" w:before="60"/>
            </w:pPr>
            <w:r>
              <w:rPr>
                <w:rFonts w:ascii="Arial" w:cs="Arial" w:eastAsia="Arial" w:hAnsi="Arial"/>
                <w:color w:val="44BBAA"/>
                <w:sz w:val="20"/>
                <w:szCs w:val="20"/>
              </w:rPr>
              <w:t xml:space="preserve">1 Six-Second Loop — only when motion adds real collector value</w:t>
            </w:r>
          </w:p>
          <w:p>
            <w:pPr>
              <w:spacing w:after="60" w:before="60"/>
            </w:pPr>
            <w:r>
              <w:rPr>
                <w:rFonts w:ascii="Arial" w:cs="Arial" w:eastAsia="Arial" w:hAnsi="Arial"/>
                <w:color w:val="AAAAAA"/>
                <w:sz w:val="20"/>
                <w:szCs w:val="20"/>
              </w:rPr>
              <w:t xml:space="preserve"> </w:t>
            </w:r>
          </w:p>
          <w:p>
            <w:pPr>
              <w:spacing w:after="60" w:before="60"/>
            </w:pPr>
            <w:r>
              <w:rPr>
                <w:rFonts w:ascii="Arial" w:cs="Arial" w:eastAsia="Arial" w:hAnsi="Arial"/>
                <w:color w:val="666666"/>
                <w:sz w:val="20"/>
                <w:szCs w:val="20"/>
              </w:rPr>
              <w:t xml:space="preserve">Use remaining capacity in later windows for refinement, material tests, or deepening existing canon connections. Never force volume.</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OPERATIONAL RULES</w:t>
            </w:r>
          </w:p>
          <w:p>
            <w:pPr>
              <w:pStyle w:val="ListParagraph"/>
              <w:numPr>
                <w:ilvl w:val="0"/>
                <w:numId w:val="3"/>
              </w:numPr>
              <w:spacing w:after="80" w:before="80"/>
            </w:pPr>
            <w:r>
              <w:rPr>
                <w:rFonts w:ascii="Arial" w:cs="Arial" w:eastAsia="Arial" w:hAnsi="Arial"/>
                <w:color w:val="AAAAAA"/>
                <w:sz w:val="20"/>
                <w:szCs w:val="20"/>
              </w:rPr>
              <w:t xml:space="preserve">Check the timer first. When you approach a limit the interface shows your personal reset. Do not guess.</w:t>
            </w:r>
          </w:p>
          <w:p>
            <w:pPr>
              <w:pStyle w:val="ListParagraph"/>
              <w:numPr>
                <w:ilvl w:val="0"/>
                <w:numId w:val="3"/>
              </w:numPr>
              <w:spacing w:after="80" w:before="80"/>
            </w:pPr>
            <w:r>
              <w:rPr>
                <w:rFonts w:ascii="Arial" w:cs="Arial" w:eastAsia="Arial" w:hAnsi="Arial"/>
                <w:color w:val="AAAAAA"/>
                <w:sz w:val="20"/>
                <w:szCs w:val="20"/>
              </w:rPr>
              <w:t xml:space="preserve">One window = one major asset. Protect quality and quota.</w:t>
            </w:r>
          </w:p>
          <w:p>
            <w:pPr>
              <w:pStyle w:val="ListParagraph"/>
              <w:numPr>
                <w:ilvl w:val="0"/>
                <w:numId w:val="3"/>
              </w:numPr>
              <w:spacing w:after="80" w:before="80"/>
            </w:pPr>
            <w:r>
              <w:rPr>
                <w:rFonts w:ascii="Arial" w:cs="Arial" w:eastAsia="Arial" w:hAnsi="Arial"/>
                <w:color w:val="AAAAAA"/>
                <w:sz w:val="20"/>
                <w:szCs w:val="20"/>
              </w:rPr>
              <w:t xml:space="preserve">Failed or low-quality generations still count. Refine prompts between windows instead of spamming.</w:t>
            </w:r>
          </w:p>
          <w:p>
            <w:pPr>
              <w:pStyle w:val="ListParagraph"/>
              <w:numPr>
                <w:ilvl w:val="0"/>
                <w:numId w:val="3"/>
              </w:numPr>
              <w:spacing w:after="80" w:before="80"/>
            </w:pPr>
            <w:r>
              <w:rPr>
                <w:rFonts w:ascii="Arial" w:cs="Arial" w:eastAsia="Arial" w:hAnsi="Arial"/>
                <w:color w:val="AAAAAA"/>
                <w:sz w:val="20"/>
                <w:szCs w:val="20"/>
              </w:rPr>
              <w:t xml:space="preserve">Video has longer effective cooldowns. Prioritize image assets unless the loop itself is the hero piece.</w:t>
            </w:r>
          </w:p>
          <w:p>
            <w:pPr>
              <w:pStyle w:val="ListParagraph"/>
              <w:numPr>
                <w:ilvl w:val="0"/>
                <w:numId w:val="3"/>
              </w:numPr>
              <w:spacing w:after="80" w:before="80"/>
            </w:pPr>
            <w:r>
              <w:rPr>
                <w:rFonts w:ascii="Arial" w:cs="Arial" w:eastAsia="Arial" w:hAnsi="Arial"/>
                <w:color w:val="AAAAAA"/>
                <w:sz w:val="20"/>
                <w:szCs w:val="20"/>
              </w:rPr>
              <w:t xml:space="preserve">Cooldown time is productive time — use it for canon updates, prompt library work, narrative spine development, or auditing existing assets.</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COOLDOWN WINDOW PROTOCOL</w:t>
            </w:r>
          </w:p>
          <w:p>
            <w:pPr>
              <w:spacing w:after="60" w:before="60"/>
            </w:pPr>
            <w:r>
              <w:rPr>
                <w:rFonts w:ascii="Arial" w:cs="Arial" w:eastAsia="Arial" w:hAnsi="Arial"/>
                <w:color w:val="AAAAAA"/>
                <w:sz w:val="20"/>
                <w:szCs w:val="20"/>
              </w:rPr>
              <w:t xml:space="preserve">Cooldown is not downtime. Every window between generations should advance the system:</w:t>
            </w:r>
          </w:p>
          <w:p>
            <w:pPr>
              <w:spacing w:after="60" w:before="60"/>
            </w:pPr>
            <w:r>
              <w:rPr>
                <w:rFonts w:ascii="Arial" w:cs="Arial" w:eastAsia="Arial" w:hAnsi="Arial"/>
                <w:color w:val="AAAAAA"/>
                <w:sz w:val="20"/>
                <w:szCs w:val="20"/>
              </w:rPr>
              <w:t xml:space="preserve"> </w:t>
            </w:r>
          </w:p>
          <w:p>
            <w:pPr>
              <w:spacing w:after="80" w:before="80"/>
            </w:pPr>
            <w:r>
              <w:rPr>
                <w:rFonts w:ascii="Arial" w:cs="Arial" w:eastAsia="Arial" w:hAnsi="Arial"/>
                <w:b/>
                <w:bCs/>
                <w:color w:val="C8A84B"/>
                <w:sz w:val="20"/>
                <w:szCs w:val="20"/>
              </w:rPr>
              <w:t xml:space="preserve">Canon Line:  </w:t>
            </w:r>
            <w:r>
              <w:rPr>
                <w:rFonts w:ascii="Arial" w:cs="Arial" w:eastAsia="Arial" w:hAnsi="Arial"/>
                <w:color w:val="DDDDDD"/>
                <w:sz w:val="20"/>
                <w:szCs w:val="20"/>
              </w:rPr>
              <w:t xml:space="preserve">Update dossiers, resolve open narrative threads, build Calista canon</w:t>
            </w:r>
          </w:p>
          <w:p>
            <w:pPr>
              <w:spacing w:after="80" w:before="80"/>
            </w:pPr>
            <w:r>
              <w:rPr>
                <w:rFonts w:ascii="Arial" w:cs="Arial" w:eastAsia="Arial" w:hAnsi="Arial"/>
                <w:b/>
                <w:bCs/>
                <w:color w:val="C8A84B"/>
                <w:sz w:val="20"/>
                <w:szCs w:val="20"/>
              </w:rPr>
              <w:t xml:space="preserve">Registry:  </w:t>
            </w:r>
            <w:r>
              <w:rPr>
                <w:rFonts w:ascii="Arial" w:cs="Arial" w:eastAsia="Arial" w:hAnsi="Arial"/>
                <w:color w:val="DDDDDD"/>
                <w:sz w:val="20"/>
                <w:szCs w:val="20"/>
              </w:rPr>
              <w:t xml:space="preserve">Sync completed assets, version control, folder structure maintenance</w:t>
            </w:r>
          </w:p>
          <w:p>
            <w:pPr>
              <w:spacing w:after="80" w:before="80"/>
            </w:pPr>
            <w:r>
              <w:rPr>
                <w:rFonts w:ascii="Arial" w:cs="Arial" w:eastAsia="Arial" w:hAnsi="Arial"/>
                <w:b/>
                <w:bCs/>
                <w:color w:val="C8A84B"/>
                <w:sz w:val="20"/>
                <w:szCs w:val="20"/>
              </w:rPr>
              <w:t xml:space="preserve">Prompt Library:  </w:t>
            </w:r>
            <w:r>
              <w:rPr>
                <w:rFonts w:ascii="Arial" w:cs="Arial" w:eastAsia="Arial" w:hAnsi="Arial"/>
                <w:color w:val="DDDDDD"/>
                <w:sz w:val="20"/>
                <w:szCs w:val="20"/>
              </w:rPr>
              <w:t xml:space="preserve">Refine prompts from last generation, prepare next window brief</w:t>
            </w:r>
          </w:p>
          <w:p>
            <w:pPr>
              <w:spacing w:after="80" w:before="80"/>
            </w:pPr>
            <w:r>
              <w:rPr>
                <w:rFonts w:ascii="Arial" w:cs="Arial" w:eastAsia="Arial" w:hAnsi="Arial"/>
                <w:b/>
                <w:bCs/>
                <w:color w:val="C8A84B"/>
                <w:sz w:val="20"/>
                <w:szCs w:val="20"/>
              </w:rPr>
              <w:t xml:space="preserve">Narrative Spine:  </w:t>
            </w:r>
            <w:r>
              <w:rPr>
                <w:rFonts w:ascii="Arial" w:cs="Arial" w:eastAsia="Arial" w:hAnsi="Arial"/>
                <w:color w:val="DDDDDD"/>
                <w:sz w:val="20"/>
                <w:szCs w:val="20"/>
              </w:rPr>
              <w:t xml:space="preserve">Develop character relationships, event codex, location plates</w:t>
            </w:r>
          </w:p>
          <w:p>
            <w:pPr>
              <w:spacing w:after="80" w:before="80"/>
            </w:pPr>
            <w:r>
              <w:rPr>
                <w:rFonts w:ascii="Arial" w:cs="Arial" w:eastAsia="Arial" w:hAnsi="Arial"/>
                <w:b/>
                <w:bCs/>
                <w:color w:val="C8A84B"/>
                <w:sz w:val="20"/>
                <w:szCs w:val="20"/>
              </w:rPr>
              <w:t xml:space="preserve">Audit:  </w:t>
            </w:r>
            <w:r>
              <w:rPr>
                <w:rFonts w:ascii="Arial" w:cs="Arial" w:eastAsia="Arial" w:hAnsi="Arial"/>
                <w:color w:val="DDDDDD"/>
                <w:sz w:val="20"/>
                <w:szCs w:val="20"/>
              </w:rPr>
              <w:t xml:space="preserve">Review existing catalog for collector value, drift flags, quality gate status</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THE COMPOUNDING PRINCIPLE</w:t>
            </w:r>
          </w:p>
          <w:p>
            <w:pPr>
              <w:pBdr>
                <w:left w:val="single" w:color="C8A84B" w:sz="12" w:space="4"/>
              </w:pBdr>
              <w:spacing w:after="160" w:before="160"/>
              <w:ind w:left="360"/>
            </w:pPr>
            <w:r>
              <w:rPr>
                <w:rFonts w:ascii="Arial" w:cs="Arial" w:eastAsia="Arial" w:hAnsi="Arial"/>
                <w:b/>
                <w:bCs/>
                <w:color w:val="FFFFFF"/>
                <w:sz w:val="22"/>
                <w:szCs w:val="22"/>
              </w:rPr>
              <w:t xml:space="preserve">Every asset must connect Character → Companion → Location → Event → Relationship → Collection.</w:t>
            </w:r>
          </w:p>
          <w:p>
            <w:pPr>
              <w:spacing w:after="60" w:before="60"/>
            </w:pPr>
            <w:r>
              <w:rPr>
                <w:rFonts w:ascii="Arial" w:cs="Arial" w:eastAsia="Arial" w:hAnsi="Arial"/>
                <w:color w:val="AAAAAA"/>
                <w:sz w:val="20"/>
                <w:szCs w:val="20"/>
              </w:rPr>
              <w:t xml:space="preserve"> </w:t>
            </w:r>
          </w:p>
          <w:p>
            <w:pPr>
              <w:spacing w:after="60" w:before="60"/>
            </w:pPr>
            <w:r>
              <w:rPr>
                <w:rFonts w:ascii="Arial" w:cs="Arial" w:eastAsia="Arial" w:hAnsi="Arial"/>
                <w:color w:val="666666"/>
                <w:sz w:val="20"/>
                <w:szCs w:val="20"/>
              </w:rPr>
              <w:t xml:space="preserve">Follow this standard and FGE output remains disciplined, high-quality, and compounding — even when rolling windows are tight. The assets that survive the discipline become the ones worth collecting.</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REGISTRY PLACEMENT</w:t>
            </w:r>
          </w:p>
          <w:p>
            <w:pPr>
              <w:spacing w:after="60" w:before="60"/>
            </w:pPr>
            <w:r>
              <w:rPr>
                <w:rFonts w:ascii="Arial" w:cs="Arial" w:eastAsia="Arial" w:hAnsi="Arial"/>
                <w:color w:val="AAAAAA"/>
                <w:sz w:val="20"/>
                <w:szCs w:val="20"/>
              </w:rPr>
              <w:t xml:space="preserve"> </w:t>
            </w:r>
          </w:p>
          <w:p>
            <w:pPr>
              <w:spacing w:after="60" w:before="60"/>
            </w:pPr>
            <w:r>
              <w:rPr>
                <w:rFonts w:ascii="Arial" w:cs="Arial" w:eastAsia="Arial" w:hAnsi="Arial"/>
                <w:color w:val="C8A84B"/>
                <w:sz w:val="20"/>
                <w:szCs w:val="20"/>
              </w:rPr>
              <w:t xml:space="preserve">FGE LOCKED REGISTRY PROJECT</w:t>
            </w:r>
          </w:p>
          <w:p>
            <w:pPr>
              <w:spacing w:after="60" w:before="60"/>
            </w:pPr>
            <w:r>
              <w:rPr>
                <w:rFonts w:ascii="Arial" w:cs="Arial" w:eastAsia="Arial" w:hAnsi="Arial"/>
                <w:color w:val="AAAAAA"/>
                <w:sz w:val="20"/>
                <w:szCs w:val="20"/>
              </w:rPr>
              <w:t xml:space="preserve">├── /production-doctrine</w:t>
            </w:r>
          </w:p>
          <w:p>
            <w:pPr>
              <w:spacing w:after="60" w:before="60"/>
            </w:pPr>
            <w:r>
              <w:rPr>
                <w:rFonts w:ascii="Arial" w:cs="Arial" w:eastAsia="Arial" w:hAnsi="Arial"/>
                <w:color w:val="AAAAAA"/>
                <w:sz w:val="20"/>
                <w:szCs w:val="20"/>
              </w:rPr>
              <w:t xml:space="preserve">│   ├── fge-production-standards-v1.docx</w:t>
            </w:r>
          </w:p>
          <w:p>
            <w:pPr>
              <w:spacing w:after="60" w:before="60"/>
            </w:pPr>
            <w:r>
              <w:rPr>
                <w:rFonts w:ascii="Arial" w:cs="Arial" w:eastAsia="Arial" w:hAnsi="Arial"/>
                <w:color w:val="AAAAAA"/>
                <w:sz w:val="20"/>
                <w:szCs w:val="20"/>
              </w:rPr>
              <w:t xml:space="preserve">│   ├── fge-production-system-v1.docx</w:t>
            </w:r>
          </w:p>
          <w:p>
            <w:pPr>
              <w:spacing w:after="60" w:before="60"/>
            </w:pPr>
            <w:r>
              <w:rPr>
                <w:rFonts w:ascii="Arial" w:cs="Arial" w:eastAsia="Arial" w:hAnsi="Arial"/>
                <w:color w:val="AAAAAA"/>
                <w:sz w:val="20"/>
                <w:szCs w:val="20"/>
              </w:rPr>
              <w:t xml:space="preserve">│   └── fge-production-limit-standard-v1.docx   ← this file</w:t>
            </w:r>
          </w:p>
          <w:p>
            <w:pPr>
              <w:pBdr>
                <w:bottom w:val="single" w:color="2A2A2A" w:sz="1" w:space="1"/>
              </w:pBdr>
              <w:spacing w:after="220" w:before="220"/>
            </w:pPr>
            <w:r>
              <w:t xml:space="preserve"> </w:t>
            </w:r>
          </w:p>
          <w:p>
            <w:pPr>
              <w:spacing w:before="300"/>
              <w:jc w:val="center"/>
            </w:pPr>
            <w:r>
              <w:rPr>
                <w:rFonts w:ascii="Arial" w:cs="Arial" w:eastAsia="Arial" w:hAnsi="Arial"/>
                <w:color w:val="333333"/>
                <w:sz w:val="14"/>
                <w:szCs w:val="14"/>
              </w:rPr>
              <w:t xml:space="preserve">FGE PRODUCTION LIMIT STANDARD v1.0  ·  ROLLING WINDOW PROTOCOL  ·  QUALITY EXCEEDS QUANTITY  ·  08 JUNE 2026</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b/>
        <w:bCs/>
        <w:color w:val="C8A84B"/>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color w:val="C8A84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AAAAA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2026-06-09T06:59:12.847Z</dcterms:created>
  <dcterms:modified xsi:type="dcterms:W3CDTF">2026-06-09T06:59:12.865Z</dcterms:modified>
</cp:coreProperties>
</file>

<file path=docProps/custom.xml><?xml version="1.0" encoding="utf-8"?>
<Properties xmlns="http://schemas.openxmlformats.org/officeDocument/2006/custom-properties" xmlns:vt="http://schemas.openxmlformats.org/officeDocument/2006/docPropsVTypes"/>
</file>