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a58fccfdc69d87129629ecac6fe515b7fcbbfa"/>
      <w:r>
        <w:t xml:space="preserve">FGE-PROD-ENCODER-001: Runtime Encoder™ Product Architecture</w:t>
      </w:r>
      <w:bookmarkEnd w:id="20"/>
    </w:p>
    <w:p>
      <w:pPr>
        <w:pStyle w:val="FirstParagraph"/>
      </w:pPr>
      <w:r>
        <w:rPr>
          <w:b/>
        </w:rPr>
        <w:t xml:space="preserve">Directorate Executive Intelligence System — Canon-Locked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66ab30e3c35bb5f9c5d7e61c67b2686c11228d2"/>
      <w:r>
        <w:t xml:space="preserve">1. Executive Summary: The Creative Operating Paradigm</w:t>
      </w:r>
      <w:bookmarkEnd w:id="21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Runtime Encoder™</w:t>
      </w:r>
      <w:r>
        <w:t xml:space="preserve"> </w:t>
      </w:r>
      <w:r>
        <w:t xml:space="preserve">is not a mere template pack; it is a profound shift in creative asset management. It transforms static</w:t>
      </w:r>
      <w:r>
        <w:t xml:space="preserve"> </w:t>
      </w:r>
      <w:r>
        <w:t xml:space="preserve">“</w:t>
      </w:r>
      <w:r>
        <w:t xml:space="preserve">graphics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machine-readable intelligence nodes.</w:t>
      </w:r>
      <w:r>
        <w:t xml:space="preserve">”</w:t>
      </w:r>
      <w:r>
        <w:t xml:space="preserve"> </w:t>
      </w:r>
      <w:r>
        <w:t xml:space="preserve">By embedding semantic analysis, commercial intelligence, and persistent asset identity into the metadata layer, it creates a</w:t>
      </w:r>
      <w:r>
        <w:t xml:space="preserve"> </w:t>
      </w:r>
      <w:r>
        <w:t xml:space="preserve">“</w:t>
      </w:r>
      <w:r>
        <w:t xml:space="preserve">Creative Operating System</w:t>
      </w:r>
      <w:r>
        <w:t xml:space="preserve">”</w:t>
      </w:r>
      <w:r>
        <w:t xml:space="preserve"> </w:t>
      </w:r>
      <w:r>
        <w:t xml:space="preserve">where every asset is self-describing and computable.</w:t>
      </w:r>
    </w:p>
    <w:p>
      <w:pPr>
        <w:pStyle w:val="Heading2"/>
      </w:pPr>
      <w:bookmarkStart w:id="22" w:name="the-official-product-ladder"/>
      <w:r>
        <w:t xml:space="preserve">2. The Official Product Ladder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Positioning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1</w:t>
            </w:r>
          </w:p>
        </w:tc>
        <w:tc>
          <w:p>
            <w:pPr>
              <w:pStyle w:val="Compact"/>
              <w:jc w:val="left"/>
            </w:pPr>
            <w:r>
              <w:t xml:space="preserve">Runtime Overlay Pack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Drag, drop, encode. Turn any render into a production asset.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$19–$39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2</w:t>
            </w:r>
          </w:p>
        </w:tc>
        <w:tc>
          <w:p>
            <w:pPr>
              <w:pStyle w:val="Compact"/>
              <w:jc w:val="left"/>
            </w:pPr>
            <w:r>
              <w:t xml:space="preserve">Runtime Encoder Toolkit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Photoshop for intellectual structure.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$79–$149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3</w:t>
            </w:r>
          </w:p>
        </w:tc>
        <w:tc>
          <w:p>
            <w:pPr>
              <w:pStyle w:val="Compact"/>
              <w:jc w:val="left"/>
            </w:pPr>
            <w:r>
              <w:t xml:space="preserve">Asset 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 asset in your library becomes searchable and versioned.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$199–$399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4</w:t>
            </w:r>
          </w:p>
        </w:tc>
        <w:tc>
          <w:p>
            <w:pPr>
              <w:pStyle w:val="Compact"/>
              <w:jc w:val="left"/>
            </w:pPr>
            <w:r>
              <w:t xml:space="preserve">Commercial License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studio now runs on FGE production intelligence.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$499+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Tier 5</w:t>
            </w:r>
          </w:p>
        </w:tc>
        <w:tc>
          <w:p>
            <w:pPr>
              <w:pStyle w:val="Compact"/>
              <w:jc w:val="left"/>
            </w:pPr>
            <w:r>
              <w:t xml:space="preserve">Asset Intelligence Platform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operating system for entire creative civilizations.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p>
      <w:pPr>
        <w:pStyle w:val="Heading2"/>
      </w:pPr>
      <w:bookmarkStart w:id="23" w:name="persistent-memory-the-metadata-schema"/>
      <w:r>
        <w:t xml:space="preserve">3. Persistent Memory: The Metadata Schema</w:t>
      </w:r>
      <w:bookmarkEnd w:id="23"/>
    </w:p>
    <w:p>
      <w:pPr>
        <w:pStyle w:val="FirstParagraph"/>
      </w:pPr>
      <w:r>
        <w:t xml:space="preserve">The core value of the Encoder is the accumulation of history across generations. Every encoded object contains: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Provenance</w:t>
      </w:r>
      <w:r>
        <w:t xml:space="preserve">: Traceable origin and chain of custody.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Canon ID</w:t>
      </w:r>
      <w:r>
        <w:t xml:space="preserve">: Persistent identity within the FGE Universe.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Semantic Analysis</w:t>
      </w:r>
      <w:r>
        <w:t xml:space="preserve">: Machine-readable description of visual and narrative elements.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Commercial Intelligence</w:t>
      </w:r>
      <w:r>
        <w:t xml:space="preserve">: Market value scoring and pipeline status.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Evolution Tree</w:t>
      </w:r>
      <w:r>
        <w:t xml:space="preserve">: Records of parents, children, and version history.</w:t>
      </w:r>
    </w:p>
    <w:p>
      <w:pPr>
        <w:pStyle w:val="Heading2"/>
      </w:pPr>
      <w:bookmarkStart w:id="24" w:name="visual-identity-marketing-blueprint"/>
      <w:r>
        <w:t xml:space="preserve">4. Visual Identity &amp; Marketing Blueprint</w:t>
      </w:r>
      <w:bookmarkEnd w:id="24"/>
    </w:p>
    <w:p>
      <w:pPr>
        <w:pStyle w:val="Heading3"/>
      </w:pPr>
      <w:bookmarkStart w:id="25" w:name="Xe076a6d650f5029b4760c8e31d48f39b8dbdd60"/>
      <w:r>
        <w:t xml:space="preserve">Hero Poster:</w:t>
      </w:r>
      <w:r>
        <w:t xml:space="preserve"> </w:t>
      </w:r>
      <w:r>
        <w:t xml:space="preserve">“</w:t>
      </w:r>
      <w:r>
        <w:t xml:space="preserve">The Encoder That Sees Futures</w:t>
      </w:r>
      <w:r>
        <w:t xml:space="preserve">”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Visual Description</w:t>
      </w:r>
      <w:r>
        <w:t xml:space="preserve">: A dark cyber-futuristic hexagonal control board hovering above a hyper-real character render. Golden threads (representing metadata streams) connect panels for Lock Manifest, Value Scoring, and Provenance.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Central Image</w:t>
      </w:r>
      <w:r>
        <w:t xml:space="preserve">: A fractured mirror reflecting the FGE Material Universe.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Typography</w:t>
      </w:r>
      <w:r>
        <w:t xml:space="preserve">: Golden Cinzel font.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Core Message</w:t>
      </w:r>
      <w:r>
        <w:t xml:space="preserve">:</w:t>
      </w:r>
      <w:r>
        <w:t xml:space="preserve"> </w:t>
      </w:r>
      <w:r>
        <w:t xml:space="preserve">“</w:t>
      </w:r>
      <w:r>
        <w:t xml:space="preserve">Turn any asset into an empire.</w:t>
      </w:r>
      <w:r>
        <w:t xml:space="preserve">”</w:t>
      </w:r>
    </w:p>
    <w:p>
      <w:pPr>
        <w:pStyle w:val="Heading3"/>
      </w:pPr>
      <w:bookmarkStart w:id="26" w:name="the-four-card-set-marketing-pillars"/>
      <w:r>
        <w:t xml:space="preserve">The Four-Card Set (Marketing Pillars)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Input Node</w:t>
      </w:r>
      <w:r>
        <w:t xml:space="preserve">: The raw creative asset (The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Encoder Core</w:t>
      </w:r>
      <w:r>
        <w:t xml:space="preserve">: The runtime intelligence layer (The</w:t>
      </w:r>
      <w:r>
        <w:t xml:space="preserve"> </w:t>
      </w:r>
      <w:r>
        <w:t xml:space="preserve">“</w:t>
      </w:r>
      <w:r>
        <w:t xml:space="preserve">Process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Output Node</w:t>
      </w:r>
      <w:r>
        <w:t xml:space="preserve">: The structured commercial asset (The</w:t>
      </w:r>
      <w:r>
        <w:t xml:space="preserve"> </w:t>
      </w:r>
      <w:r>
        <w:t xml:space="preserve">“</w:t>
      </w:r>
      <w:r>
        <w:t xml:space="preserve">Result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Collector Value</w:t>
      </w:r>
      <w:r>
        <w:t xml:space="preserve">:</w:t>
      </w:r>
      <w:r>
        <w:t xml:space="preserve"> </w:t>
      </w:r>
      <w:r>
        <w:t xml:space="preserve">“</w:t>
      </w:r>
      <w:r>
        <w:t xml:space="preserve">Every encoded image compounds forever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Moat</w:t>
      </w:r>
      <w:r>
        <w:t xml:space="preserve">”</w:t>
      </w:r>
      <w:r>
        <w:t xml:space="preserve">).</w:t>
      </w:r>
    </w:p>
    <w:p>
      <w:pPr>
        <w:pStyle w:val="Heading2"/>
      </w:pPr>
      <w:bookmarkStart w:id="27" w:name="submission-deployment-guide"/>
      <w:r>
        <w:t xml:space="preserve">5. Submission &amp; Deployment Guide</w:t>
      </w:r>
      <w:bookmarkEnd w:id="27"/>
    </w:p>
    <w:p>
      <w:pPr>
        <w:pStyle w:val="FirstParagraph"/>
      </w:pPr>
      <w:r>
        <w:t xml:space="preserve">To submit this as a template, register the</w:t>
      </w:r>
      <w:r>
        <w:t xml:space="preserve"> </w:t>
      </w:r>
      <w:r>
        <w:rPr>
          <w:b/>
        </w:rPr>
        <w:t xml:space="preserve">Schema</w:t>
      </w:r>
      <w:r>
        <w:t xml:space="preserve"> </w:t>
      </w:r>
      <w:r>
        <w:t xml:space="preserve">as the primary intellectual property. The visual overlays are the presentation layer; the structured data model is the repeatable encoding protocol.</w:t>
      </w:r>
    </w:p>
    <w:p>
      <w:pPr>
        <w:pStyle w:val="BodyText"/>
      </w:pPr>
      <w:r>
        <w:rPr>
          <w:b/>
        </w:rPr>
        <w:t xml:space="preserve">Moat Strategy</w:t>
      </w:r>
      <w:r>
        <w:t xml:space="preserve">: The schema is the moat. Once embedded in workflows, switching costs rise dramatically. Every output advertises the system, creating a self-referential flywheel.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FGE-PROD-ENCODER-001 | Authorized by Director | Evolution Vault Registered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2026-07-20T06:25:35Z</dcterms:created>
  <dcterms:modified xsi:type="dcterms:W3CDTF">2026-07-20T06:25:35Z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