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FERAL GLOSS EMPIRE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CHARACTER SCHEMA v1.0 — CONSOLIDATED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Single Source of Truth for All Character Fields Across All Substrates</w:t>
      </w:r>
    </w:p>
    <w:p>
      <w:pPr>
        <w:spacing w:after="160"/>
      </w:pPr>
      <w:r>
        <w:rPr>
          <w:b/>
          <w:bCs/>
        </w:rPr>
        <w:t xml:space="preserve">Proposed Decree ID: </w:t>
      </w:r>
      <w:r>
        <w:t xml:space="preserve">FGE-SCHEMA-CHAR-001 (pending Director ratification)</w:t>
      </w:r>
    </w:p>
    <w:p>
      <w:pPr>
        <w:spacing w:after="160"/>
      </w:pPr>
      <w:r>
        <w:rPr>
          <w:b/>
          <w:bCs/>
        </w:rPr>
        <w:t xml:space="preserve">Status: </w:t>
      </w:r>
      <w:r>
        <w:rPr>
          <w:b/>
          <w:bCs/>
        </w:rPr>
        <w:t xml:space="preserve">VALIDATED — DRAFT FOR RATIFICATION. </w:t>
      </w:r>
      <w:r>
        <w:t xml:space="preserve">Individual fields carry their own statuses below; this document consolidates, it does not silently promote.</w:t>
      </w:r>
    </w:p>
    <w:p>
      <w:pPr>
        <w:spacing w:after="160"/>
      </w:pPr>
      <w:r>
        <w:rPr>
          <w:b/>
          <w:bCs/>
        </w:rPr>
        <w:t xml:space="preserve">Author of Record: </w:t>
      </w:r>
      <w:r>
        <w:t xml:space="preserve">Claude (Validation Authority). Companion artifact: character_schema_v1.0.json (machine-readable).</w:t>
      </w:r>
    </w:p>
    <w:p>
      <w:pPr>
        <w:spacing w:after="160"/>
      </w:pPr>
      <w:r>
        <w:rPr>
          <w:b/>
          <w:bCs/>
        </w:rPr>
        <w:t xml:space="preserve">Standing Rule: </w:t>
      </w:r>
      <w:r>
        <w:t xml:space="preserve">Any field invented on any platform that does not appear in this schema is OFF-SCHEMA by definition and carries no weight until ratified into a new schema version.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2026-06-09</w:t>
      </w:r>
    </w:p>
    <w:p>
      <w:pPr>
        <w:pStyle w:val="Heading1"/>
      </w:pPr>
      <w:r>
        <w:t xml:space="preserve">1. Canonization Lock Record — Intake Architecture</w:t>
      </w:r>
    </w:p>
    <w:p>
      <w:pPr>
        <w:spacing w:after="160"/>
      </w:pPr>
      <w:r>
        <w:rPr>
          <w:b/>
          <w:bCs/>
        </w:rPr>
        <w:t xml:space="preserve">Decree ID: </w:t>
      </w:r>
      <w:r>
        <w:t xml:space="preserve">FGE-DEC-INTAKE-001</w:t>
      </w:r>
    </w:p>
    <w:p>
      <w:pPr>
        <w:spacing w:after="160"/>
      </w:pPr>
      <w:r>
        <w:rPr>
          <w:b/>
          <w:bCs/>
        </w:rPr>
        <w:t xml:space="preserve">Ruled by: </w:t>
      </w:r>
      <w:r>
        <w:t xml:space="preserve">Keith Clemente, Director, 2026-06-09, in-session declaration: the canon-derivative intake architecture (pop stimulus → decomposition → theme mechanics → narrative backbone → renderer surfacing) is CANONIZED.</w:t>
      </w:r>
    </w:p>
    <w:p>
      <w:pPr>
        <w:spacing w:after="160"/>
      </w:pPr>
      <w:r>
        <w:rPr>
          <w:b/>
          <w:bCs/>
        </w:rPr>
        <w:t xml:space="preserve">What is bound: </w:t>
      </w:r>
      <w:r>
        <w:t xml:space="preserve">The five-stage intake pipeline as architecture; the three theme-mechanics fields; the four backbone fields; deterministic surfacing to the four product formats.</w:t>
      </w:r>
    </w:p>
    <w:p>
      <w:pPr>
        <w:spacing w:after="160"/>
      </w:pPr>
      <w:r>
        <w:rPr>
          <w:b/>
          <w:bCs/>
        </w:rPr>
        <w:t xml:space="preserve">† Scope flag (one open ruling): </w:t>
      </w:r>
      <w:r>
        <w:t xml:space="preserve">Three validation corrections were raised at the same session — (a) vectors nest under frequency_cluster, (b) three-source leak test per primitive, (c) operator-private stimulus storage. The Director has not yet ruled whether the lock INCLUDES these or binds AS-WRITTEN with corrections pending as amendments. All †-marked fields in Section 2 inherit this flag. This document is built so either ruling resolves it with one signature — no rebuild required.</w:t>
      </w:r>
    </w:p>
    <w:p>
      <w:pPr>
        <w:pStyle w:val="Heading1"/>
      </w:pPr>
      <w:r>
        <w:t xml:space="preserve">2. Field Inventory — Single Source of Truth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160"/>
        <w:gridCol w:w="1450"/>
        <w:gridCol w:w="2700"/>
      </w:tblGrid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Definition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Validation Criteria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sbid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Canonical character identifier (existing ledger system).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LOCKED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Unique; present on every record; never reassigned.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Era/state identifier on the append-only lineage (v1, v2...). New versions only via four-gate promotion.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LOCKED (principle)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Forward-only; prior versions immutable; lineage note required.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material_fingerprint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Locked material assignment (Pearl/Nacre, Obsidian, Kintsugi, Mystic Pearl, Dragon).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LOCKED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match Material Universe registry; one primary material per character.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frequency_cluster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emotional territory from the eight-cluster Atlas. Parent field for all theme mechanics.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PROPOSED (Module v0.2 §4)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be one of the eight locked clusters; exclusive at exemplar tier; derivable from material_fingerprint.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society_vectors[]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world’s constraints, rewards, and punishments acting on the character — culture identity. Nested under frequency_cluster.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CANONIZED 2026-06-09 †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vector original (passes three-source test); 2–5 vectors; no real-world attribution.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pressure_vectors[]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art-force pushing novelty, taboo, prestige, commodification. Nested under frequency_cluster.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CANONIZED 2026-06-09 †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as society_vectors; must create tension against at least one society_vector.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society_pressure_compact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1–3 line compression of the society/pressure tension; becomes captions, lower-thirds, annotation copy.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CANONIZED 2026-06-09 †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 prose; no quoted or near-quoted source language; renderable on all four product surfaces.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backbone.core_conflict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Society vs pressure stated as the character’s repeatable central conflict.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CANONIZED 2026-06-09 †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derive from the vectors above; one per version.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backbone.ritual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How the conflict plays out repeatedly — the character’s observable pattern.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CANONIZED 2026-06-09 †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Concrete and renderable; consistent with gospel tone.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backbone.price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the pattern costs the character.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CANONIZED 2026-06-09 †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Non-trivial; creates collector empathy hook.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backbone.signal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buyers recognize as ‘this culture’ — the legibility hook.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CANONIZED 2026-06-09 †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Recognizable without knowledge of any upstream stimulus.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fge_distortion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PLACEHOLDER. The transformation layer that converts culture-derived signal into FGE-native output. Concept validated philosophically; no operational definition exists.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UNDEFINED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BLOCKED from registry until it has a definition an asset can pass or fail. Definition task assignable via narrow brief.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reward_systems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PLACEHOLDER. Mentioned in cross-model discussion; never specified.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UNDEFINED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BLOCKED from registry; requires proposal, definition, and ratification.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drift_provenance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DRIFT-{SBID}-{YYYYMMDD}-{seq} lineage record per Module v0.2 §8: source version, target cluster, generating system, score, disposition.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PROPOSED (Module v0.2 §8)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Assigned at candidate birth; immutable; required for any promotion.</w:t>
            </w:r>
          </w:p>
        </w:tc>
      </w:tr>
    </w:tbl>
    <w:p>
      <w:pPr>
        <w:spacing w:after="160" w:before="200"/>
      </w:pPr>
      <w:r>
        <w:rPr>
          <w:b/>
          <w:bCs/>
        </w:rPr>
        <w:t xml:space="preserve">Nesting structure: </w:t>
      </w:r>
      <w:r>
        <w:t xml:space="preserve">sbid → version → material_fingerprint → frequency_cluster → { society_vectors, pressure_vectors, society_pressure_compact, backbone } → renderer surfaces. fge_distortion, once defined, sits between intake and frequency_cluster as the transformation gate.</w:t>
      </w:r>
    </w:p>
    <w:p>
      <w:pPr>
        <w:pStyle w:val="Heading1"/>
      </w:pPr>
      <w:r>
        <w:t xml:space="preserve">3. Pop Stimulus → Theme Mechanics Intake Template</w:t>
      </w:r>
    </w:p>
    <w:p>
      <w:pPr>
        <w:spacing w:after="160"/>
      </w:pPr>
      <w:r>
        <w:t xml:space="preserve">Operational checklist. One pass per stimulus. Produces registry-ready theme mechanics or a documented discard — nothing in between.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STIMULUS LOG (operator-private). Record the stimulus in the private log only: what it was, what hit, date. This record never enters the registry, asset metadata, captions, marketing, or any forwardable document. Storage: operator-side per INTENT OS holding-zone routing.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DECOMPOSE into primitives across four lanes — Affect (ache, domination, reverence, hunger, euphoria, dread...); Tension shape (slow-burn, spiral, snap, escalation ladder, collapse-and-rebuild); Power geometry (predator/prey, audience/idol, patron/asset, house/outsider); Generic objects/rituals (mirror, contract, stage light, velvet rope, confession booth).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LEAK TEST every primitive: could three unrelated sources have produced this primitive? If only one work could — it is a fingerprint, not a primitive. Abstract further or discard. A failed leak test is logged with the discard reason.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 frequency_cluster: which of the eight locked territories does this material serve? If none — archive as unminted; do not stretch a cluster to fit.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ENCODE vectors: 2–5 society_vectors (constraints/rewards/punishments), 2–5 pressure_vectors (the art-force), each individually leak-tested, nested under the assigned cluster.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COMPRESS: write society_pressure_compact — 1–3 original lines carrying the tension, renderable on all four surfaces.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BACKBONE: derive core_conflict, ritual, price, signal from the vectors. The signal must be legible to a buyer with zero knowledge of the upstream stimulus.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DISTORTION GATE (placeholder): once fge_distortion is defined, every output passes it here. Until then this step records “gate pending definition” — visibly incomplete rather than silently skipped.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ROUTE to surfaces: mark which product formats the fields feed (Poster annotations / Codex card / Captions + lower-thirds / Lookbook placards).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STAMP status: output enters the registry as VALIDATED-DRAFT; Director ratification promotes to LOCKED.</w:t>
      </w:r>
    </w:p>
    <w:p>
      <w:pPr>
        <w:pStyle w:val="Heading1"/>
      </w:pPr>
      <w:r>
        <w:t xml:space="preserve">4. Ratification Block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Resolve the † scope flag: INCLUDED or AS-WRITTEN (one word; either resolves all † fields).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Ratify Schema v1.0 as the single source of truth and the off-schema rule in the header.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Ratify the Intake Template (Section 3) as the mandatory pipeline for all culture-derived material.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Assign the fge_distortion definition task — recommended as a narrow brief to Grok (raw definitions only), validated here, ratified by you.</w:t>
      </w:r>
    </w:p>
    <w:p>
      <w:pPr>
        <w:pBdr>
          <w:top w:val="single" w:color="888888" w:sz="6" w:space="1"/>
        </w:pBdr>
        <w:spacing w:after="100" w:before="300"/>
      </w:pPr>
      <w:r>
        <w:rPr>
          <w:sz w:val="22"/>
          <w:szCs w:val="22"/>
        </w:rPr>
        <w:t xml:space="preserve">Director Ratification: ____________________________    Date: ______________    Scope ruling: □ INCLUDED   □ AS-WRITTEN</w:t>
      </w:r>
    </w:p>
    <w:p>
      <w:pPr>
        <w:spacing w:after="160"/>
      </w:pPr>
      <w:r>
        <w:rPr>
          <w:i/>
          <w:iCs/>
        </w:rPr>
        <w:t xml:space="preserve">Until signed, this document holds VALIDATED-DRAFT status. The † fields remain canonized per the Director’s in-session ruling; this document records that ruling rather than replacing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2026-06-10T06:52:18.922Z</dcterms:created>
  <dcterms:modified xsi:type="dcterms:W3CDTF">2026-06-10T06:52:18.936Z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