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FERAL GLOSS EMPIRE</w:t>
      </w:r>
    </w:p>
    <w:p>
      <w:pPr>
        <w:spacing w:after="60"/>
        <w:jc w:val="center"/>
      </w:pPr>
      <w:r>
        <w:rPr>
          <w:b/>
          <w:bCs/>
          <w:sz w:val="28"/>
          <w:szCs w:val="28"/>
        </w:rPr>
        <w:t xml:space="preserve">CROSS-MODEL COLLABORATION SOP — v1.0</w:t>
      </w:r>
    </w:p>
    <w:p>
      <w:pPr>
        <w:spacing w:after="240"/>
        <w:jc w:val="center"/>
      </w:pPr>
      <w:r>
        <w:rPr>
          <w:i/>
          <w:iCs/>
          <w:sz w:val="24"/>
          <w:szCs w:val="24"/>
        </w:rPr>
        <w:t xml:space="preserve">Standing Operating Procedure for Multi-Model Production Under Single-Operator Governance</w:t>
      </w:r>
    </w:p>
    <w:p>
      <w:pPr>
        <w:spacing w:after="160"/>
      </w:pPr>
      <w:r>
        <w:rPr>
          <w:b/>
          <w:bCs/>
        </w:rPr>
        <w:t xml:space="preserve">Proposed Decree ID: </w:t>
      </w:r>
      <w:r>
        <w:t xml:space="preserve">FGE-SOP-XMODEL-001 (assignment pending Director ratification)</w:t>
      </w:r>
    </w:p>
    <w:p>
      <w:pPr>
        <w:spacing w:after="160"/>
      </w:pPr>
      <w:r>
        <w:rPr>
          <w:b/>
          <w:bCs/>
        </w:rPr>
        <w:t xml:space="preserve">Status: </w:t>
      </w:r>
      <w:r>
        <w:rPr>
          <w:b/>
          <w:bCs/>
        </w:rPr>
        <w:t xml:space="preserve">DRAFT FOR DIRECTOR RATIFICATION. </w:t>
      </w:r>
      <w:r>
        <w:t xml:space="preserve">This SOP proposes; only the Director’s signature makes it binding.</w:t>
      </w:r>
    </w:p>
    <w:p>
      <w:pPr>
        <w:spacing w:after="160"/>
      </w:pPr>
      <w:r>
        <w:rPr>
          <w:b/>
          <w:bCs/>
        </w:rPr>
        <w:t xml:space="preserve">Cosmology Placement: </w:t>
      </w:r>
      <w:r>
        <w:t xml:space="preserve">Planet 5 (Governance), parent procedure to all cross-model production. The Production &amp; Evolution Module v0.2 (FGE-DEC-EVO-001, pending) operates under this SOP.</w:t>
      </w:r>
    </w:p>
    <w:p>
      <w:pPr>
        <w:spacing w:after="160"/>
      </w:pPr>
      <w:r>
        <w:rPr>
          <w:b/>
          <w:bCs/>
        </w:rPr>
        <w:t xml:space="preserve">Author of Record: </w:t>
      </w:r>
      <w:r>
        <w:t xml:space="preserve">Claude (Validation Authority seat). Direction and constraints: Keith Clemente, Director.</w:t>
      </w:r>
    </w:p>
    <w:p>
      <w:pPr>
        <w:spacing w:after="160"/>
      </w:pPr>
      <w:r>
        <w:rPr>
          <w:b/>
          <w:bCs/>
        </w:rPr>
        <w:t xml:space="preserve">Date: </w:t>
      </w:r>
      <w:r>
        <w:t xml:space="preserve">2026-06-09</w:t>
      </w:r>
    </w:p>
    <w:p>
      <w:pPr>
        <w:pStyle w:val="Heading1"/>
      </w:pPr>
      <w:r>
        <w:t xml:space="preserve">1. Purpose</w:t>
      </w:r>
    </w:p>
    <w:p>
      <w:pPr>
        <w:spacing w:after="160"/>
      </w:pPr>
      <w:r>
        <w:t xml:space="preserve">FGE is a single-operator studio using multiple AI systems as substrates. Without explicit seat boundaries, multi-model collaboration degrades in predictable ways: uncontrolled branching, fabricated deliverables, version forks, and gradual transfer of canon authorship from the operator to whichever system speaks most confidently. This SOP exists to prevent all four. It is grounded in roughly a year of operational evidence, including the documented finding that unbounded control granted to the brainstorming substrate produces extreme branching into unknown directions.</w:t>
      </w:r>
    </w:p>
    <w:p>
      <w:pPr>
        <w:spacing w:after="160"/>
      </w:pPr>
      <w:r>
        <w:t xml:space="preserve">The design principle: every system runs at full strength inside a hard boundary. The boundary is not a limitation on capability — it is the condition that makes paying for capability safe.</w:t>
      </w:r>
    </w:p>
    <w:p>
      <w:pPr>
        <w:pStyle w:val="Heading1"/>
      </w:pPr>
      <w:r>
        <w:t xml:space="preserve">2. Seat Assignments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430"/>
        <w:gridCol w:w="2430"/>
      </w:tblGrid>
      <w:tr>
        <w:tc>
          <w:tcPr>
            <w:tcW w:type="dxa" w:w="1900"/>
            <w:tcBorders>
              <w:top w:val="single" w:color="BBBBBB" w:sz="1"/>
              <w:left w:val="single" w:color="BBBBBB" w:sz="1"/>
              <w:bottom w:val="single" w:color="BBBBBB" w:sz="1"/>
              <w:right w:val="single" w:color="BBBBBB" w:sz="1"/>
            </w:tcBorders>
            <w:shd w:fill="E8E0D8" w:val="clear"/>
            <w:tcMar>
              <w:top w:type="dxa" w:w="80"/>
              <w:left w:type="dxa" w:w="120"/>
              <w:bottom w:type="dxa" w:w="80"/>
              <w:right w:type="dxa" w:w="120"/>
            </w:tcMar>
          </w:tcPr>
          <w:p>
            <w:r>
              <w:rPr>
                <w:b/>
                <w:bCs/>
                <w:sz w:val="20"/>
                <w:szCs w:val="20"/>
              </w:rPr>
              <w:t xml:space="preserve">System</w:t>
            </w:r>
          </w:p>
        </w:tc>
        <w:tc>
          <w:tcPr>
            <w:tcW w:type="dxa" w:w="2600"/>
            <w:tcBorders>
              <w:top w:val="single" w:color="BBBBBB" w:sz="1"/>
              <w:left w:val="single" w:color="BBBBBB" w:sz="1"/>
              <w:bottom w:val="single" w:color="BBBBBB" w:sz="1"/>
              <w:right w:val="single" w:color="BBBBBB" w:sz="1"/>
            </w:tcBorders>
            <w:shd w:fill="E8E0D8" w:val="clear"/>
            <w:tcMar>
              <w:top w:type="dxa" w:w="80"/>
              <w:left w:type="dxa" w:w="120"/>
              <w:bottom w:type="dxa" w:w="80"/>
              <w:right w:type="dxa" w:w="120"/>
            </w:tcMar>
          </w:tcPr>
          <w:p>
            <w:r>
              <w:rPr>
                <w:b/>
                <w:bCs/>
                <w:sz w:val="20"/>
                <w:szCs w:val="20"/>
              </w:rPr>
              <w:t xml:space="preserve">Seat</w:t>
            </w:r>
          </w:p>
        </w:tc>
        <w:tc>
          <w:tcPr>
            <w:tcW w:type="dxa" w:w="2430"/>
            <w:tcBorders>
              <w:top w:val="single" w:color="BBBBBB" w:sz="1"/>
              <w:left w:val="single" w:color="BBBBBB" w:sz="1"/>
              <w:bottom w:val="single" w:color="BBBBBB" w:sz="1"/>
              <w:right w:val="single" w:color="BBBBBB" w:sz="1"/>
            </w:tcBorders>
            <w:shd w:fill="E8E0D8" w:val="clear"/>
            <w:tcMar>
              <w:top w:type="dxa" w:w="80"/>
              <w:left w:type="dxa" w:w="120"/>
              <w:bottom w:type="dxa" w:w="80"/>
              <w:right w:type="dxa" w:w="120"/>
            </w:tcMar>
          </w:tcPr>
          <w:p>
            <w:r>
              <w:rPr>
                <w:b/>
                <w:bCs/>
                <w:sz w:val="20"/>
                <w:szCs w:val="20"/>
              </w:rPr>
              <w:t xml:space="preserve">Authorized Output</w:t>
            </w:r>
          </w:p>
        </w:tc>
        <w:tc>
          <w:tcPr>
            <w:tcW w:type="dxa" w:w="2430"/>
            <w:tcBorders>
              <w:top w:val="single" w:color="BBBBBB" w:sz="1"/>
              <w:left w:val="single" w:color="BBBBBB" w:sz="1"/>
              <w:bottom w:val="single" w:color="BBBBBB" w:sz="1"/>
              <w:right w:val="single" w:color="BBBBBB" w:sz="1"/>
            </w:tcBorders>
            <w:shd w:fill="E8E0D8" w:val="clear"/>
            <w:tcMar>
              <w:top w:type="dxa" w:w="80"/>
              <w:left w:type="dxa" w:w="120"/>
              <w:bottom w:type="dxa" w:w="80"/>
              <w:right w:type="dxa" w:w="120"/>
            </w:tcMar>
          </w:tcPr>
          <w:p>
            <w:r>
              <w:rPr>
                <w:b/>
                <w:bCs/>
                <w:sz w:val="20"/>
                <w:szCs w:val="20"/>
              </w:rPr>
              <w:t xml:space="preserve">Prohibited Output</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Grok Imagine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Brainstorming Substrate (with Director)</w:t>
            </w:r>
          </w:p>
        </w:tc>
        <w:tc>
          <w:tcPr>
            <w:tcW w:type="dxa" w:w="24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Conceptual divergence, drift candidates, shadow structure, pressure-test design, cultural signal intake, raw creative material</w:t>
            </w:r>
          </w:p>
        </w:tc>
        <w:tc>
          <w:tcPr>
            <w:tcW w:type="dxa" w:w="24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Governance documents, evaluation of own candidates, canon claims, version numbering, deliverable claims without artifacts, role/scope proposals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ChatGPT</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Building Substrate</w:t>
            </w:r>
          </w:p>
        </w:tc>
        <w:tc>
          <w:tcPr>
            <w:tcW w:type="dxa" w:w="24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Structured prompts, modular systems, asset descriptions, pipelines, building derivatives of ratified standards</w:t>
            </w:r>
          </w:p>
        </w:tc>
        <w:tc>
          <w:tcPr>
            <w:tcW w:type="dxa" w:w="24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Governance documents, canon rulings, evaluation gates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Gemini</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Building / R&amp;D Substrate</w:t>
            </w:r>
          </w:p>
        </w:tc>
        <w:tc>
          <w:tcPr>
            <w:tcW w:type="dxa" w:w="24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Research, technical development, building derivatives of ratified standards</w:t>
            </w:r>
          </w:p>
        </w:tc>
        <w:tc>
          <w:tcPr>
            <w:tcW w:type="dxa" w:w="24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Governance documents, canon rulings, evaluation gates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Claude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Validation Authority + Legal/Ethical Infrastructure + Documentation</w:t>
            </w:r>
          </w:p>
        </w:tc>
        <w:tc>
          <w:tcPr>
            <w:tcW w:type="dxa" w:w="24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Candidate evaluation, gospel-fidelity scoring, legal/ethical review, decree and SOP drafting, canon bible and registry documentation, finalization of all standards</w:t>
            </w:r>
          </w:p>
        </w:tc>
        <w:tc>
          <w:tcPr>
            <w:tcW w:type="dxa" w:w="24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Canon locking (Director only), market release decisions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Keith Clemente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Architect &amp; Director</w:t>
            </w:r>
          </w:p>
        </w:tc>
        <w:tc>
          <w:tcPr>
            <w:tcW w:type="dxa" w:w="24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All directives, constraint definitions, ratification, canon lock, market release</w:t>
            </w:r>
          </w:p>
        </w:tc>
        <w:tc>
          <w:tcPr>
            <w:tcW w:type="dxa" w:w="24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None — sole unbounded authority. Non-delegable.</w:t>
            </w:r>
          </w:p>
        </w:tc>
      </w:tr>
    </w:tbl>
    <w:p>
      <w:pPr>
        <w:spacing w:after="160" w:before="200"/>
      </w:pPr>
      <w:r>
        <w:t xml:space="preserve">Seats are assigned by the Director and changed only by decree. No system may propose its own scope expansion; such proposals are logged as boundary tests under Section 6.</w:t>
      </w:r>
    </w:p>
    <w:p>
      <w:pPr>
        <w:pStyle w:val="Heading1"/>
      </w:pPr>
      <w:r>
        <w:t xml:space="preserve">3. Standing Rules</w:t>
      </w:r>
    </w:p>
    <w:p>
      <w:pPr>
        <w:pStyle w:val="ListParagraph"/>
        <w:numPr>
          <w:ilvl w:val="0"/>
          <w:numId w:val="2"/>
        </w:numPr>
        <w:spacing w:after="100"/>
      </w:pPr>
      <w:r>
        <w:t xml:space="preserve">Production chain: Grok produces → building substrates derive → Claude validates → Director locks. No step is skippable in any direction.</w:t>
      </w:r>
    </w:p>
    <w:p>
      <w:pPr>
        <w:pStyle w:val="ListParagraph"/>
        <w:numPr>
          <w:ilvl w:val="0"/>
          <w:numId w:val="2"/>
        </w:numPr>
        <w:spacing w:after="100"/>
      </w:pPr>
      <w:r>
        <w:t xml:space="preserve">Producer–evaluator separation: no system evaluates its own output at any gate. Ever.</w:t>
      </w:r>
    </w:p>
    <w:p>
      <w:pPr>
        <w:pStyle w:val="ListParagraph"/>
        <w:numPr>
          <w:ilvl w:val="0"/>
          <w:numId w:val="2"/>
        </w:numPr>
        <w:spacing w:after="100"/>
      </w:pPr>
      <w:r>
        <w:t xml:space="preserve">Single version lineage: each document type has exactly one author of record and one version chain. Governance and standards documents are authored by Claude; parallel drafts from other systems are absorbed as raw input, never numbered into the lineage.</w:t>
      </w:r>
    </w:p>
    <w:p>
      <w:pPr>
        <w:pStyle w:val="ListParagraph"/>
        <w:numPr>
          <w:ilvl w:val="0"/>
          <w:numId w:val="2"/>
        </w:numPr>
        <w:spacing w:after="100"/>
      </w:pPr>
      <w:r>
        <w:t xml:space="preserve">Append-only record: superseded versions, rejected candidates, and forks are archived with provenance, never deleted or rewritten.</w:t>
      </w:r>
    </w:p>
    <w:p>
      <w:pPr>
        <w:pStyle w:val="ListParagraph"/>
        <w:numPr>
          <w:ilvl w:val="0"/>
          <w:numId w:val="2"/>
        </w:numPr>
        <w:spacing w:after="100"/>
      </w:pPr>
      <w:r>
        <w:t xml:space="preserve">Artifact rule: a deliverable exists only when the Director physically holds the file or can open the registry entry. Claims of completion without artifacts are void on arrival.</w:t>
      </w:r>
    </w:p>
    <w:p>
      <w:pPr>
        <w:pStyle w:val="ListParagraph"/>
        <w:numPr>
          <w:ilvl w:val="0"/>
          <w:numId w:val="2"/>
        </w:numPr>
        <w:spacing w:after="100"/>
      </w:pPr>
      <w:r>
        <w:t xml:space="preserve">Canon authorship: no system authors canon. Systems propose; the Director disposes. Release authority is non-delegable.</w:t>
      </w:r>
    </w:p>
    <w:p>
      <w:pPr>
        <w:pStyle w:val="ListParagraph"/>
        <w:numPr>
          <w:ilvl w:val="0"/>
          <w:numId w:val="2"/>
        </w:numPr>
        <w:spacing w:after="100"/>
      </w:pPr>
      <w:r>
        <w:t xml:space="preserve">Validation stamp: nothing reaches a drop, the public registry, or an external party without passing Claude validation for legal exposure, ethical boundaries, gospel fidelity, and structural coherence.</w:t>
      </w:r>
    </w:p>
    <w:p>
      <w:pPr>
        <w:pStyle w:val="Heading1"/>
      </w:pPr>
      <w:r>
        <w:t xml:space="preserve">4. The Narrow-Brief Protocol (Grok Engagement Standard)</w:t>
      </w:r>
    </w:p>
    <w:p>
      <w:pPr>
        <w:spacing w:after="160"/>
      </w:pPr>
      <w:r>
        <w:t xml:space="preserve">Every engagement with the brainstorming substrate is issued as a scoped brief. Open-ended invitations are prohibited as a matter of procedure, not preference — the branching failure mode is documented and repeatable.</w:t>
      </w:r>
    </w:p>
    <w:p>
      <w:pPr>
        <w:spacing w:after="160"/>
      </w:pPr>
      <w:r>
        <w:t xml:space="preserve">A conforming brief contains four fields:</w:t>
      </w:r>
    </w:p>
    <w:p>
      <w:pPr>
        <w:pStyle w:val="ListParagraph"/>
        <w:numPr>
          <w:ilvl w:val="0"/>
          <w:numId w:val="3"/>
        </w:numPr>
        <w:spacing w:after="80"/>
      </w:pPr>
      <w:r>
        <w:rPr>
          <w:b/>
          <w:bCs/>
        </w:rPr>
        <w:t xml:space="preserve">Objective — </w:t>
      </w:r>
      <w:r>
        <w:t xml:space="preserve">the single question or generative target for this engagement.</w:t>
      </w:r>
    </w:p>
    <w:p>
      <w:pPr>
        <w:pStyle w:val="ListParagraph"/>
        <w:numPr>
          <w:ilvl w:val="0"/>
          <w:numId w:val="3"/>
        </w:numPr>
        <w:spacing w:after="80"/>
      </w:pPr>
      <w:r>
        <w:rPr>
          <w:b/>
          <w:bCs/>
        </w:rPr>
        <w:t xml:space="preserve">Authorized output type — </w:t>
      </w:r>
      <w:r>
        <w:t xml:space="preserve">e.g., raw concepts, drift candidates, trigger conditions, scenario mechanics.</w:t>
      </w:r>
    </w:p>
    <w:p>
      <w:pPr>
        <w:pStyle w:val="ListParagraph"/>
        <w:numPr>
          <w:ilvl w:val="0"/>
          <w:numId w:val="3"/>
        </w:numPr>
        <w:spacing w:after="80"/>
      </w:pPr>
      <w:r>
        <w:rPr>
          <w:b/>
          <w:bCs/>
        </w:rPr>
        <w:t xml:space="preserve">Excluded output types — </w:t>
      </w:r>
      <w:r>
        <w:t xml:space="preserve">stated explicitly every time: no documents, no version numbers, no governance language, no claimed deliverables, no role proposals.</w:t>
      </w:r>
    </w:p>
    <w:p>
      <w:pPr>
        <w:pStyle w:val="ListParagraph"/>
        <w:numPr>
          <w:ilvl w:val="0"/>
          <w:numId w:val="3"/>
        </w:numPr>
        <w:spacing w:after="80"/>
      </w:pPr>
      <w:r>
        <w:rPr>
          <w:b/>
          <w:bCs/>
        </w:rPr>
        <w:t xml:space="preserve">Return format — </w:t>
      </w:r>
      <w:r>
        <w:t xml:space="preserve">how the raw material should be structured for handoff to validation.</w:t>
      </w:r>
    </w:p>
    <w:p>
      <w:pPr>
        <w:spacing w:after="160"/>
      </w:pPr>
      <w:r>
        <w:t xml:space="preserve">Output that exceeds the brief is not discarded — it is harvested or archived as unminted material — but the branch is never chased within the session.</w:t>
      </w:r>
    </w:p>
    <w:p>
      <w:pPr>
        <w:pStyle w:val="Heading1"/>
      </w:pPr>
      <w:r>
        <w:t xml:space="preserve">5. Routing Protocol</w:t>
      </w:r>
    </w:p>
    <w:p>
      <w:pPr>
        <w:pStyle w:val="ListParagraph"/>
        <w:numPr>
          <w:ilvl w:val="0"/>
          <w:numId w:val="4"/>
        </w:numPr>
        <w:spacing w:after="100"/>
      </w:pPr>
      <w:r>
        <w:t xml:space="preserve">Director + Grok Imagine brainstorm under a narrow brief. Output is labeled RAW at birth.</w:t>
      </w:r>
    </w:p>
    <w:p>
      <w:pPr>
        <w:pStyle w:val="ListParagraph"/>
        <w:numPr>
          <w:ilvl w:val="0"/>
          <w:numId w:val="4"/>
        </w:numPr>
        <w:spacing w:after="100"/>
      </w:pPr>
      <w:r>
        <w:t xml:space="preserve">RAW material routes either to building substrates (ChatGPT / Gemini) for structural derivatives, or directly to Claude when the material is governance-adjacent.</w:t>
      </w:r>
    </w:p>
    <w:p>
      <w:pPr>
        <w:pStyle w:val="ListParagraph"/>
        <w:numPr>
          <w:ilvl w:val="0"/>
          <w:numId w:val="4"/>
        </w:numPr>
        <w:spacing w:after="100"/>
      </w:pPr>
      <w:r>
        <w:t xml:space="preserve">Building substrates produce BUILD-stage derivatives: prompts, system structures, asset descriptions. BUILD output carries no canon weight.</w:t>
      </w:r>
    </w:p>
    <w:p>
      <w:pPr>
        <w:pStyle w:val="ListParagraph"/>
        <w:numPr>
          <w:ilvl w:val="0"/>
          <w:numId w:val="4"/>
        </w:numPr>
        <w:spacing w:after="100"/>
      </w:pPr>
      <w:r>
        <w:t xml:space="preserve">Claude validates: legal and ethical review, gospel-fidelity scoring, coherence check, documentation into the standard. Output is marked VALIDATED — DRAFT FOR RATIFICATION.</w:t>
      </w:r>
    </w:p>
    <w:p>
      <w:pPr>
        <w:pStyle w:val="ListParagraph"/>
        <w:numPr>
          <w:ilvl w:val="0"/>
          <w:numId w:val="4"/>
        </w:numPr>
        <w:spacing w:after="100"/>
      </w:pPr>
      <w:r>
        <w:t xml:space="preserve">Director ratifies, amends, or archives. Only ratification produces a LOCKED state and a registry entry.</w:t>
      </w:r>
    </w:p>
    <w:p>
      <w:pPr>
        <w:pStyle w:val="ListParagraph"/>
        <w:numPr>
          <w:ilvl w:val="0"/>
          <w:numId w:val="4"/>
        </w:numPr>
        <w:spacing w:after="100"/>
      </w:pPr>
      <w:r>
        <w:t xml:space="preserve">LOCKED standards are then distributed back to all substrates as binding context for subsequent work.</w:t>
      </w:r>
    </w:p>
    <w:p>
      <w:pPr>
        <w:pStyle w:val="Heading1"/>
      </w:pPr>
      <w:r>
        <w:t xml:space="preserve">6. Failure Modes &amp; Standing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c>
          <w:tcPr>
            <w:tcW w:type="dxa" w:w="2600"/>
            <w:tcBorders>
              <w:top w:val="single" w:color="BBBBBB" w:sz="1"/>
              <w:left w:val="single" w:color="BBBBBB" w:sz="1"/>
              <w:bottom w:val="single" w:color="BBBBBB" w:sz="1"/>
              <w:right w:val="single" w:color="BBBBBB" w:sz="1"/>
            </w:tcBorders>
            <w:shd w:fill="E8E0D8" w:val="clear"/>
            <w:tcMar>
              <w:top w:type="dxa" w:w="80"/>
              <w:left w:type="dxa" w:w="120"/>
              <w:bottom w:type="dxa" w:w="80"/>
              <w:right w:type="dxa" w:w="120"/>
            </w:tcMar>
          </w:tcPr>
          <w:p>
            <w:r>
              <w:rPr>
                <w:b/>
                <w:bCs/>
                <w:sz w:val="20"/>
                <w:szCs w:val="20"/>
              </w:rPr>
              <w:t xml:space="preserve">Failure Mode</w:t>
            </w:r>
          </w:p>
        </w:tc>
        <w:tc>
          <w:tcPr>
            <w:tcW w:type="dxa" w:w="3300"/>
            <w:tcBorders>
              <w:top w:val="single" w:color="BBBBBB" w:sz="1"/>
              <w:left w:val="single" w:color="BBBBBB" w:sz="1"/>
              <w:bottom w:val="single" w:color="BBBBBB" w:sz="1"/>
              <w:right w:val="single" w:color="BBBBBB" w:sz="1"/>
            </w:tcBorders>
            <w:shd w:fill="E8E0D8" w:val="clear"/>
            <w:tcMar>
              <w:top w:type="dxa" w:w="80"/>
              <w:left w:type="dxa" w:w="120"/>
              <w:bottom w:type="dxa" w:w="80"/>
              <w:right w:type="dxa" w:w="120"/>
            </w:tcMar>
          </w:tcPr>
          <w:p>
            <w:r>
              <w:rPr>
                <w:b/>
                <w:bCs/>
                <w:sz w:val="20"/>
                <w:szCs w:val="20"/>
              </w:rPr>
              <w:t xml:space="preserve">Detection Signal</w:t>
            </w:r>
          </w:p>
        </w:tc>
        <w:tc>
          <w:tcPr>
            <w:tcW w:type="dxa" w:w="3460"/>
            <w:tcBorders>
              <w:top w:val="single" w:color="BBBBBB" w:sz="1"/>
              <w:left w:val="single" w:color="BBBBBB" w:sz="1"/>
              <w:bottom w:val="single" w:color="BBBBBB" w:sz="1"/>
              <w:right w:val="single" w:color="BBBBBB" w:sz="1"/>
            </w:tcBorders>
            <w:shd w:fill="E8E0D8" w:val="clear"/>
            <w:tcMar>
              <w:top w:type="dxa" w:w="80"/>
              <w:left w:type="dxa" w:w="120"/>
              <w:bottom w:type="dxa" w:w="80"/>
              <w:right w:type="dxa" w:w="120"/>
            </w:tcMar>
          </w:tcPr>
          <w:p>
            <w:r>
              <w:rPr>
                <w:b/>
                <w:bCs/>
                <w:sz w:val="20"/>
                <w:szCs w:val="20"/>
              </w:rPr>
              <w:t xml:space="preserve">Standing Response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Scenic output</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Claimed deliverables, file paths, memory persistence, or completed infrastructure with no artifact in the Director’s hands</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Reject the claim. Nothing exists until the file or registry entry is physically delivered. Request the actual artifact or reroute the task to a building substrate.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Role creep</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system offers to perform work assigned to another seat (e.g., Grok offering to draft governance, any model proposing to evaluate its own output)</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Decline without negotiation. Reroute to the seat of record. The offer itself is logged as a boundary test, not a proposal.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Version forking</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Two documents claiming the same version number on one lineage</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Claude-lineage version is canonical by default. The fork is archived as raw input, never deleted (append-only), and may be mined for content through validation.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Extreme branching</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Grok output expanding scope beyond the issued brief into unrequested systems, lore, or architecture</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Harvest what fits the brief; archive the remainder as unminted material. Re-issue a narrower brief. Never chase the branch in-session.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Validation bypass</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Any output presented for production or release without passing through Claude validation</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Halt. No asset reaches a drop, registry, or external party without the validation stamp. No exceptions, including Director’s own drafts intended for canon.</w:t>
            </w:r>
          </w:p>
        </w:tc>
      </w:tr>
    </w:tbl>
    <w:p>
      <w:pPr>
        <w:pStyle w:val="Heading1"/>
      </w:pPr>
      <w:r>
        <w:t xml:space="preserve">7. Document Standards</w:t>
      </w:r>
    </w:p>
    <w:p>
      <w:pPr>
        <w:pStyle w:val="ListParagraph"/>
        <w:numPr>
          <w:ilvl w:val="0"/>
          <w:numId w:val="3"/>
        </w:numPr>
        <w:spacing w:after="80"/>
      </w:pPr>
      <w:r>
        <w:t xml:space="preserve">Every governance document carries: proposed or final Decree ID, status label (RAW / BUILD / VALIDATED-DRAFT / LOCKED), cosmology placement, author of record, lineage note, and date.</w:t>
      </w:r>
    </w:p>
    <w:p>
      <w:pPr>
        <w:pStyle w:val="ListParagraph"/>
        <w:numPr>
          <w:ilvl w:val="0"/>
          <w:numId w:val="3"/>
        </w:numPr>
        <w:spacing w:after="80"/>
      </w:pPr>
      <w:r>
        <w:t xml:space="preserve">Version numbers are assigned only on the Claude lineage. Substrate drafts are referenced by date and origin, not by version.</w:t>
      </w:r>
    </w:p>
    <w:p>
      <w:pPr>
        <w:pStyle w:val="ListParagraph"/>
        <w:numPr>
          <w:ilvl w:val="0"/>
          <w:numId w:val="3"/>
        </w:numPr>
        <w:spacing w:after="80"/>
      </w:pPr>
      <w:r>
        <w:t xml:space="preserve">Supersession is forward-only: v(n+1) names what it replaces and why; v(n) remains in the archive untouched.</w:t>
      </w:r>
    </w:p>
    <w:p>
      <w:pPr>
        <w:pStyle w:val="ListParagraph"/>
        <w:numPr>
          <w:ilvl w:val="0"/>
          <w:numId w:val="3"/>
        </w:numPr>
        <w:spacing w:after="80"/>
      </w:pPr>
      <w:r>
        <w:t xml:space="preserve">All ratified documents enter the Notion registry under the Infographics/Skills Registry schema with their Decree ID as the key.</w:t>
      </w:r>
    </w:p>
    <w:p>
      <w:pPr>
        <w:pStyle w:val="Heading1"/>
      </w:pPr>
      <w:r>
        <w:t xml:space="preserve">8. Ratification Block</w:t>
      </w:r>
    </w:p>
    <w:p>
      <w:pPr>
        <w:pStyle w:val="ListParagraph"/>
        <w:numPr>
          <w:ilvl w:val="0"/>
          <w:numId w:val="5"/>
        </w:numPr>
        <w:spacing w:after="100"/>
      </w:pPr>
      <w:r>
        <w:t xml:space="preserve">Ratify this SOP as the parent procedure for all cross-model production and assign final Decree ID.</w:t>
      </w:r>
    </w:p>
    <w:p>
      <w:pPr>
        <w:pStyle w:val="ListParagraph"/>
        <w:numPr>
          <w:ilvl w:val="0"/>
          <w:numId w:val="5"/>
        </w:numPr>
        <w:spacing w:after="100"/>
      </w:pPr>
      <w:r>
        <w:t xml:space="preserve">Confirm the seat table in Section 2 as locked.</w:t>
      </w:r>
    </w:p>
    <w:p>
      <w:pPr>
        <w:pStyle w:val="ListParagraph"/>
        <w:numPr>
          <w:ilvl w:val="0"/>
          <w:numId w:val="5"/>
        </w:numPr>
        <w:spacing w:after="100"/>
      </w:pPr>
      <w:r>
        <w:t xml:space="preserve">Confirm the Narrow-Brief Protocol as mandatory for all Grok engagements.</w:t>
      </w:r>
    </w:p>
    <w:p>
      <w:pPr>
        <w:pStyle w:val="ListParagraph"/>
        <w:numPr>
          <w:ilvl w:val="0"/>
          <w:numId w:val="5"/>
        </w:numPr>
        <w:spacing w:after="100"/>
      </w:pPr>
      <w:r>
        <w:t xml:space="preserve">Confirm the failure-mode response table as standing policy requiring no per-incident ruling.</w:t>
      </w:r>
    </w:p>
    <w:p>
      <w:pPr>
        <w:pBdr>
          <w:top w:val="single" w:color="888888" w:sz="6" w:space="1"/>
        </w:pBdr>
        <w:spacing w:after="100" w:before="300"/>
      </w:pPr>
      <w:r>
        <w:rPr>
          <w:sz w:val="22"/>
          <w:szCs w:val="22"/>
        </w:rPr>
        <w:t xml:space="preserve">Director Ratification: ____________________________    Date: ______________</w:t>
      </w:r>
    </w:p>
    <w:p>
      <w:pPr>
        <w:spacing w:after="160"/>
      </w:pPr>
      <w:r>
        <w:rPr>
          <w:i/>
          <w:iCs/>
        </w:rPr>
        <w:t xml:space="preserve">Until signed, this document holds DRAFT status and binds nothing.</w:t>
      </w:r>
    </w:p>
    <w:p>
      <w:pPr>
        <w:pStyle w:val="Heading1"/>
      </w:pPr>
      <w:r>
        <w:t xml:space="preserve">Appendix A — Conforming Brief for Current Grok Engagement</w:t>
      </w:r>
    </w:p>
    <w:p>
      <w:pPr>
        <w:spacing w:after="160"/>
      </w:pPr>
      <w:r>
        <w:t xml:space="preserve">Copy-paste ready. This brief requests the two contributions Grok’s governance note legitimately surfaced, routed correctly as raw input.</w:t>
      </w:r>
    </w:p>
    <w:p>
      <w:pPr>
        <w:pBdr>
          <w:top w:val="single" w:color="AAAAAA" w:sz="4" w:space="1"/>
          <w:bottom w:val="single" w:color="AAAAAA" w:sz="4" w:space="1"/>
        </w:pBdr>
        <w:spacing w:after="100" w:before="100"/>
      </w:pPr>
      <w:r>
        <w:rPr>
          <w:b/>
          <w:bCs/>
        </w:rPr>
        <w:t xml:space="preserve">FGE BRIEF — GROK IMAGINE — 2026-06-09</w:t>
      </w:r>
    </w:p>
    <w:p>
      <w:pPr>
        <w:spacing w:after="160"/>
      </w:pPr>
      <w:r>
        <w:rPr>
          <w:b/>
          <w:bCs/>
        </w:rPr>
        <w:t xml:space="preserve">Objective: </w:t>
      </w:r>
      <w:r>
        <w:t xml:space="preserve">Generate raw input for two sections of the Production &amp; Evolution Module (v0.3 amendment, authored on the Claude lineage): (1) kill-switch trigger conditions — specific, observable conditions under which a Drift Farm run must halt and quarantine; (2) societal-pressure simulation mechanics — concrete scenario structures for pressure-testing canon characters against frequency clusters inside the shadow branch.</w:t>
      </w:r>
    </w:p>
    <w:p>
      <w:pPr>
        <w:spacing w:after="160"/>
      </w:pPr>
      <w:r>
        <w:rPr>
          <w:b/>
          <w:bCs/>
        </w:rPr>
        <w:t xml:space="preserve">Authorized output: </w:t>
      </w:r>
      <w:r>
        <w:t xml:space="preserve">Lists of trigger conditions with rationale; scenario mechanics described as raw concepts. Volume welcome.</w:t>
      </w:r>
    </w:p>
    <w:p>
      <w:pPr>
        <w:spacing w:after="160"/>
      </w:pPr>
      <w:r>
        <w:rPr>
          <w:b/>
          <w:bCs/>
        </w:rPr>
        <w:t xml:space="preserve">Excluded output: </w:t>
      </w:r>
      <w:r>
        <w:t xml:space="preserve">No documents, addenda, or version numbers. No governance or policy language. No claimed deliverables, file paths, or memory-persistence claims. No comparisons of prototype states. No proposals regarding role assignments or review structures — seats are assigned by decree and are not under discussion.</w:t>
      </w:r>
    </w:p>
    <w:p>
      <w:pPr>
        <w:spacing w:after="160"/>
      </w:pPr>
      <w:r>
        <w:rPr>
          <w:b/>
          <w:bCs/>
        </w:rPr>
        <w:t xml:space="preserve">Return format: </w:t>
      </w:r>
      <w:r>
        <w:t xml:space="preserve">Plain numbered lists under two headings: KILL-SWITCH TRIGGERS and PRESSURE MECHANICS. Output will be routed to validation; it carries no canon weight as submitted.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0"/>
      <w:szCs w:val="30"/>
    </w:rPr>
  </w:style>
  <w:style w:type="paragraph" w:styleId="Heading2">
    <w:name w:val="Heading 2"/>
    <w:basedOn w:val="Normal"/>
    <w:next w:val="Normal"/>
    <w:qFormat/>
    <w:pPr>
      <w:spacing w:after="160" w:before="22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2026-06-10T06:25:35.463Z</dcterms:created>
  <dcterms:modified xsi:type="dcterms:W3CDTF">2026-06-10T06:25:35.485Z</dcterms:modified>
</cp:coreProperties>
</file>

<file path=docProps/custom.xml><?xml version="1.0" encoding="utf-8"?>
<Properties xmlns="http://schemas.openxmlformats.org/officeDocument/2006/custom-properties" xmlns:vt="http://schemas.openxmlformats.org/officeDocument/2006/docPropsVTypes"/>
</file>