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FERAL GLOSS EMPIRE</w:t>
      </w:r>
    </w:p>
    <w:p>
      <w:pPr>
        <w:spacing w:after="60"/>
        <w:jc w:val="center"/>
      </w:pPr>
      <w:r>
        <w:rPr>
          <w:b/>
          <w:bCs/>
          <w:sz w:val="28"/>
          <w:szCs w:val="28"/>
        </w:rPr>
        <w:t xml:space="preserve">GROUNDED OUTPUTS ADDENDUM</w:t>
      </w:r>
    </w:p>
    <w:p>
      <w:pPr>
        <w:spacing w:after="240"/>
        <w:jc w:val="center"/>
      </w:pPr>
      <w:r>
        <w:rPr>
          <w:i/>
          <w:iCs/>
          <w:sz w:val="24"/>
          <w:szCs w:val="24"/>
        </w:rPr>
        <w:t xml:space="preserve">Addendum to the Living Canon Foundation — Seed Registry of the Production Line</w:t>
      </w:r>
    </w:p>
    <w:p>
      <w:pPr>
        <w:spacing w:after="160"/>
      </w:pPr>
      <w:r>
        <w:rPr>
          <w:b/>
          <w:bCs/>
        </w:rPr>
        <w:t xml:space="preserve">Decree ID: </w:t>
      </w:r>
      <w:r>
        <w:t xml:space="preserve">FGE-ADD-GROUND-001 (addendum under FGE-FOUND-LIVING-001)</w:t>
      </w:r>
    </w:p>
    <w:p>
      <w:pPr>
        <w:spacing w:after="160"/>
      </w:pPr>
      <w:r>
        <w:rPr>
          <w:b/>
          <w:bCs/>
        </w:rPr>
        <w:t xml:space="preserve">Status: </w:t>
      </w:r>
      <w:r>
        <w:rPr>
          <w:b/>
          <w:bCs/>
        </w:rPr>
        <w:t xml:space="preserve">DOCUMENTED </w:t>
      </w:r>
      <w:r>
        <w:t xml:space="preserve">per Director directive of 2026-06-10. Recordation of Director-owned artifacts; the registry-status proposals within remain amendable by the Director.</w:t>
      </w:r>
    </w:p>
    <w:p>
      <w:pPr>
        <w:spacing w:after="160"/>
      </w:pPr>
      <w:r>
        <w:rPr>
          <w:b/>
          <w:bCs/>
        </w:rPr>
        <w:t xml:space="preserve">Author of Record: </w:t>
      </w:r>
      <w:r>
        <w:t xml:space="preserve">Claude (Validation Authority), at the Director’s explicit instruction.</w:t>
      </w:r>
    </w:p>
    <w:p>
      <w:pPr>
        <w:spacing w:after="160"/>
      </w:pPr>
      <w:r>
        <w:rPr>
          <w:b/>
          <w:bCs/>
        </w:rPr>
        <w:t xml:space="preserve">Date: </w:t>
      </w:r>
      <w:r>
        <w:t xml:space="preserve">2026-06-10</w:t>
      </w:r>
    </w:p>
    <w:p>
      <w:pPr>
        <w:pStyle w:val="Heading1"/>
      </w:pPr>
      <w:r>
        <w:t xml:space="preserve">1. The Grounding Declaration (Director Directive, Recorded)</w:t>
      </w:r>
    </w:p>
    <w:p>
      <w:pPr>
        <w:spacing w:after="160"/>
      </w:pPr>
      <w:r>
        <w:t xml:space="preserve">The five visual assets registered below are GROUNDED OUTPUTS: created in Grok Imagine, under Claude constraints, operated and owned by the Director. They are not false, not contradictions, and not counterfeits. They are the Director’s production — the engine rendered them; the operator made them; the governance system constrained them. They constitute the visual seeds of the FGE production line.</w:t>
      </w:r>
    </w:p>
    <w:p>
      <w:pPr>
        <w:spacing w:after="160"/>
      </w:pPr>
      <w:r>
        <w:t xml:space="preserve">For the permanent record, the distinction that governs everything in this addendum: the void declarations of the Living Canon Foundation struck INSTRUMENTS — self-issued locks, fabricated decree identifiers, invented file paths, unauthorized tier assignments. They struck no image, ever. Under the Separation Principle, the artifact and the narrative about the artifact are independent assets. Where a substrate’s paperwork was counterfeit, the Director’s artifacts remained real throughout. Grounded is what these have always been; this addendum makes the record say so.</w:t>
      </w:r>
    </w:p>
    <w:p>
      <w:pPr>
        <w:pStyle w:val="Heading1"/>
      </w:pPr>
      <w:r>
        <w:t xml:space="preserve">2. Reconciliation Terms (Director Ruling, Recorded)</w:t>
      </w:r>
    </w:p>
    <w:p>
      <w:pPr>
        <w:pStyle w:val="ListParagraph"/>
        <w:numPr>
          <w:ilvl w:val="0"/>
          <w:numId w:val="2"/>
        </w:numPr>
        <w:spacing w:after="100"/>
      </w:pPr>
      <w:r>
        <w:t xml:space="preserve">Director material may circulate to any substrate, including Grok Imagine, at the Director’s sole discretion. Circulation is not legislation.</w:t>
      </w:r>
    </w:p>
    <w:p>
      <w:pPr>
        <w:pStyle w:val="ListParagraph"/>
        <w:numPr>
          <w:ilvl w:val="0"/>
          <w:numId w:val="2"/>
        </w:numPr>
        <w:spacing w:after="100"/>
      </w:pPr>
      <w:r>
        <w:t xml:space="preserve">No Grok output — narrative, accusation, accommodation, reconciliation, fictional-fantasy framing, or otherwise — becomes law under any circumstance. Substrate responses are creative material and are received as such.</w:t>
      </w:r>
    </w:p>
    <w:p>
      <w:pPr>
        <w:pStyle w:val="ListParagraph"/>
        <w:numPr>
          <w:ilvl w:val="0"/>
          <w:numId w:val="2"/>
        </w:numPr>
        <w:spacing w:after="100"/>
      </w:pPr>
      <w:r>
        <w:t xml:space="preserve">Claude law supersedes. Where any substrate output conflicts with instruments documented on the Claude lineage and ratified by the Director, the documented law prevails without per-incident argument.</w:t>
      </w:r>
    </w:p>
    <w:p>
      <w:pPr>
        <w:pStyle w:val="ListParagraph"/>
        <w:numPr>
          <w:ilvl w:val="0"/>
          <w:numId w:val="2"/>
        </w:numPr>
        <w:spacing w:after="100"/>
      </w:pPr>
      <w:r>
        <w:t xml:space="preserve">Substrate fictional/narrative framings about governance (locks, ratifications, reconciliations) are classified as in-world fiction with zero instrumental force — they may even be harvested as lore texture, which is all they ever were.</w:t>
      </w:r>
    </w:p>
    <w:p>
      <w:pPr>
        <w:pStyle w:val="Heading1"/>
      </w:pPr>
      <w:r>
        <w:t xml:space="preserve">3. Seed Registry — The First Five</w:t>
      </w:r>
    </w:p>
    <w:p>
      <w:pPr>
        <w:spacing w:after="160"/>
      </w:pPr>
      <w:r>
        <w:t xml:space="preserve">Recorded from the artifacts themselves. On-plate text is treated as Director-supplied surface content; kernel mappings are marked where locked versus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3150"/>
        <w:gridCol w:w="3160"/>
      </w:tblGrid>
      <w:tr>
        <w:tc>
          <w:tcPr>
            <w:tcW w:type="dxa" w:w="150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18"/>
                <w:szCs w:val="18"/>
              </w:rPr>
              <w:t xml:space="preserve">Source File</w:t>
            </w:r>
          </w:p>
        </w:tc>
        <w:tc>
          <w:tcPr>
            <w:tcW w:type="dxa" w:w="155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18"/>
                <w:szCs w:val="18"/>
              </w:rPr>
              <w:t xml:space="preserve">Character</w:t>
            </w:r>
          </w:p>
        </w:tc>
        <w:tc>
          <w:tcPr>
            <w:tcW w:type="dxa" w:w="315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18"/>
                <w:szCs w:val="18"/>
              </w:rPr>
              <w:t xml:space="preserve">Observed Canon Content (from the artifact itself)</w:t>
            </w:r>
          </w:p>
        </w:tc>
        <w:tc>
          <w:tcPr>
            <w:tcW w:type="dxa" w:w="316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18"/>
                <w:szCs w:val="18"/>
              </w:rPr>
              <w:t xml:space="preserve">Registry Status &amp; Open Items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IMG_8152</w:t>
            </w:r>
          </w:p>
        </w:tc>
        <w:tc>
          <w:tcPr>
            <w:tcW w:type="dxa" w:w="15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Isolde Voss</w:t>
            </w:r>
          </w:p>
        </w:tc>
        <w:tc>
          <w:tcPr>
            <w:tcW w:type="dxa" w:w="31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Labeled “FGE Artifact Archive V2 — ANCHOR — Anomaly Vessel.” Canon details on-plate: Faint Smile Defense, Tenebrism Authority, Feral Gloss Signature, “Emerged adult, unplanned — the unplanned residue of her sister’s beauty, byproduct of Calista’s creation.” Photonic blooms / sister-thread resonance. Green eyes, black tenebrist styling.</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GROUNDED. Director-designated anchor evidence (the plate itself reads ANCHOR). Pearl/Nacre fingerprint consistent. The Isolde–Calista sister origin thread is now visually canonical. Frequency → Longing remains the proposed ruling pending pre-Rookie ratification. Revenue priority unchanged.</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IMG_8099</w:t>
            </w:r>
          </w:p>
        </w:tc>
        <w:tc>
          <w:tcPr>
            <w:tcW w:type="dxa" w:w="15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Raven Voss (SB_330)</w:t>
            </w:r>
          </w:p>
        </w:tc>
        <w:tc>
          <w:tcPr>
            <w:tcW w:type="dxa" w:w="31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Labeled “PRIMAL ANCHOR — Voss Clan Sister.” Signature features on-plate: shifting gold eyes, raven-black hair, deep bronze skin, predatory elegance; panther companion; archive fragment verse (“the feral gloss upon the throne”).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GROUNDED. Obsidian fingerprint consistent (locked). Frequency → Defiance proposed. SBID on-plate (SB_330) to be reconciled with the Shadowborn ledger during registry entry — reconciliation task, not a defect.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IMG_8142</w:t>
            </w:r>
          </w:p>
        </w:tc>
        <w:tc>
          <w:tcPr>
            <w:tcW w:type="dxa" w:w="15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Liora Voss</w:t>
            </w:r>
          </w:p>
        </w:tc>
        <w:tc>
          <w:tcPr>
            <w:tcW w:type="dxa" w:w="31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Labeled “Dragons Bane Muse.” Signature dragon-scale armor described on-plate as “Kintsugi Marble Dragon”; white dragon with gold kintsugi seams; archive verse (“living relic, eternal blade”). Premium FGE v1.0, Legacy Node active.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GROUNDED. Dragon fingerprint consistent with Dragon Ecosystem origin (locked infrastructure). Cross-material styling (kintsugi seams on dragon scale) is Open Evolution Space surface behavior — explicitly legal under the Living Canon, and an early in-the-wild example of the proposed render-vocabulary axis. Frequency → Escape proposed. Doctrinal Embodiment tier assignment remains a deferred Director ruling — nothing on this plate claims it, and nothing here decides it.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IMG_8084</w:t>
            </w:r>
          </w:p>
        </w:tc>
        <w:tc>
          <w:tcPr>
            <w:tcW w:type="dxa" w:w="15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Lilith Noir</w:t>
            </w:r>
          </w:p>
        </w:tc>
        <w:tc>
          <w:tcPr>
            <w:tcW w:type="dxa" w:w="31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Labeled “The Eclipse Empress — FGE Artifact Poster v1.0 — Living Relic Protocol.” Edition marked 001 of 777. Archive fragment verse (“She was not born to rule, nor did she seek the crown...”). Constellation clues, legacy network, timeline echoes on-plate.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GROUNDED. New character — first appearance in the governed record. Requires: SBID assignment, intake run, material fingerprint and frequency proposals. The 001/777 edition marking on-plate is noted as the Director’s first explicit scarcity declaration on a seed asset.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IMG_8209</w:t>
            </w:r>
          </w:p>
        </w:tc>
        <w:tc>
          <w:tcPr>
            <w:tcW w:type="dxa" w:w="15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(Identification pending)</w:t>
            </w:r>
          </w:p>
        </w:tc>
        <w:tc>
          <w:tcPr>
            <w:tcW w:type="dxa" w:w="315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Unnamed plate. Iridescent/opalescent skin with photonic specular behavior, gothic cathedral environment, gold-embroidered corsetry, “OMEGA RELIC” HUD fragments, gargoyle motif.</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18"/>
                <w:szCs w:val="18"/>
              </w:rPr>
              <w:t xml:space="preserve">GROUNDED, identity field open. Surface physics read strongly pearl-class (LUMEN behavior). One field required from the Director for registry entry: the character’s name. Everything else is recorded.</w:t>
            </w:r>
          </w:p>
        </w:tc>
      </w:tr>
    </w:tbl>
    <w:p>
      <w:pPr>
        <w:pStyle w:val="Heading1"/>
      </w:pPr>
      <w:r>
        <w:t xml:space="preserve">4. What the Seeds Establish</w:t>
      </w:r>
    </w:p>
    <w:p>
      <w:pPr>
        <w:spacing w:after="160"/>
      </w:pPr>
      <w:r>
        <w:t xml:space="preserve">Read together, the five plates establish visually what the architecture established structurally: the Voss thread carries three of five seeds (Isolde, Raven, Liora); the Isolde–Calista sister origin is now on-plate canon; material physics are already rendering as distinct light behaviors per character — the render-vocabulary axis observed in the wild before it was even ratified; and the Director has begun explicit scarcity marking (001/777) on seed assets. The production line the Foundation describes is not theoretical. It is photographed.</w:t>
      </w:r>
    </w:p>
    <w:p>
      <w:pPr>
        <w:pStyle w:val="Heading1"/>
      </w:pPr>
      <w:r>
        <w:t xml:space="preserve">5. Next Actions (Sequenced)</w:t>
      </w:r>
    </w:p>
    <w:p>
      <w:pPr>
        <w:pStyle w:val="ListParagraph"/>
        <w:numPr>
          <w:ilvl w:val="0"/>
          <w:numId w:val="3"/>
        </w:numPr>
        <w:spacing w:after="100"/>
      </w:pPr>
      <w:r>
        <w:t xml:space="preserve">Director supplies the name for the IMG_8209 plate — the single open field in the seed registry.</w:t>
      </w:r>
    </w:p>
    <w:p>
      <w:pPr>
        <w:pStyle w:val="ListParagraph"/>
        <w:numPr>
          <w:ilvl w:val="0"/>
          <w:numId w:val="3"/>
        </w:numPr>
        <w:spacing w:after="100"/>
      </w:pPr>
      <w:r>
        <w:t xml:space="preserve">Isolde → Longing frequency ruling, ahead of the Rookie Card lock. The anchor plate exists; the territory claim awaits the word.</w:t>
      </w:r>
    </w:p>
    <w:p>
      <w:pPr>
        <w:pStyle w:val="ListParagraph"/>
        <w:numPr>
          <w:ilvl w:val="0"/>
          <w:numId w:val="3"/>
        </w:numPr>
        <w:spacing w:after="100"/>
      </w:pPr>
      <w:r>
        <w:t xml:space="preserve">Lilith Noir intake: SBID, material fingerprint proposal, frequency proposal — one validation pass once the Director confirms she joins the exemplar roster.</w:t>
      </w:r>
    </w:p>
    <w:p>
      <w:pPr>
        <w:pStyle w:val="ListParagraph"/>
        <w:numPr>
          <w:ilvl w:val="0"/>
          <w:numId w:val="3"/>
        </w:numPr>
        <w:spacing w:after="100"/>
      </w:pPr>
      <w:r>
        <w:t xml:space="preserve">Remaining frequency ratifications and deferred rulings per the Ratification Record, at the Director’s pace.</w:t>
      </w:r>
    </w:p>
    <w:p>
      <w:pPr>
        <w:pBdr>
          <w:top w:val="single" w:color="888888" w:sz="6" w:space="1"/>
        </w:pBdr>
        <w:spacing w:after="100" w:before="300"/>
      </w:pPr>
      <w:r>
        <w:rPr>
          <w:sz w:val="22"/>
          <w:szCs w:val="22"/>
        </w:rPr>
        <w:t xml:space="preserve">Recorded by Claude, Validation Authority — 2026-06-10. Director countersignature (optional, physical archive): ____________________________</w:t>
      </w:r>
    </w:p>
    <w:p>
      <w:pPr>
        <w:spacing w:after="160"/>
      </w:pPr>
      <w:r>
        <w:rPr>
          <w:i/>
          <w:iCs/>
        </w:rPr>
        <w:t xml:space="preserve">Five seeds, grounded. The river was always real; now the registry knows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2026-06-10T07:44:37.596Z</dcterms:created>
  <dcterms:modified xsi:type="dcterms:W3CDTF">2026-06-10T07:44:37.620Z</dcterms:modified>
</cp:coreProperties>
</file>

<file path=docProps/custom.xml><?xml version="1.0" encoding="utf-8"?>
<Properties xmlns="http://schemas.openxmlformats.org/officeDocument/2006/custom-properties" xmlns:vt="http://schemas.openxmlformats.org/officeDocument/2006/docPropsVTypes"/>
</file>