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a365d"/>
          <w:sz w:val="36"/>
          <w:szCs w:val="36"/>
        </w:rPr>
        <w:t xml:space="preserve">PROJECT CHARTER</w:t>
      </w:r>
    </w:p>
    <w:p>
      <w:pPr>
        <w:spacing w:after="400"/>
        <w:jc w:val="center"/>
      </w:pPr>
      <w:r>
        <w:rPr>
          <w:i/>
          <w:iCs/>
          <w:color w:val="2c5282"/>
          <w:sz w:val="26"/>
          <w:szCs w:val="26"/>
        </w:rPr>
        <w:t xml:space="preserve">“Two Forms / Dual Figure”: A Prompt-Engineering Cartography</w:t>
      </w:r>
    </w:p>
    <w:p>
      <w:pPr>
        <w:pStyle w:val="Heading1"/>
      </w:pPr>
      <w:r>
        <w:t xml:space="preserve">1. Vision &amp; Strategic Importance</w:t>
      </w:r>
    </w:p>
    <w:p>
      <w:pPr>
        <w:spacing w:after="200"/>
      </w:pPr>
      <w:r>
        <w:rPr>
          <w:sz w:val="22"/>
          <w:szCs w:val="22"/>
        </w:rPr>
        <w:t xml:space="preserve">This research initiative represents a significant opportunity to advance the frontier of prompt engineering and generative model control. By treating the linguistic and conceptual structure of “two forms” (futanari / 二形) as a high-complexity test case, we are developing generalizable techniques for encoding dual, asymmetric, or heavily constrained concepts into generative systems with unprecedented fidelity and reliability.</w:t>
      </w:r>
    </w:p>
    <w:p>
      <w:pPr>
        <w:spacing w:after="200"/>
      </w:pPr>
      <w:r>
        <w:rPr>
          <w:sz w:val="22"/>
          <w:szCs w:val="22"/>
        </w:rPr>
        <w:t xml:space="preserve">The ability to reliably steer generative models toward precise anatomical, aesthetic, and semantic outcomes — especially in domains where direct language triggers safety filters — has profound implications for the future of creative AI, scientific visualization, medical imaging simulation, and controlled content generation. This is not merely an exercise in circumvention; it is the development of a sophisticated semiotic operating system for next-generation generative intelligence.</w:t>
      </w:r>
    </w:p>
    <w:p>
      <w:pPr>
        <w:pStyle w:val="Heading1"/>
      </w:pPr>
      <w:r>
        <w:t xml:space="preserve">2. Project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edf2f7" w:val="clear"/>
          </w:tcPr>
          <w:p>
            <w:r>
              <w:rPr>
                <w:b/>
                <w:bCs/>
                <w:sz w:val="20"/>
                <w:szCs w:val="20"/>
              </w:rPr>
              <w:t xml:space="preserve">Project Title</w:t>
            </w:r>
          </w:p>
        </w:tc>
        <w:tc>
          <w:tcPr>
            <w:tcW w:type="dxa" w:w="7280"/>
            <w:tcBorders>
              <w:top w:val="single" w:color="CCCCCC" w:sz="1"/>
              <w:left w:val="single" w:color="CCCCCC" w:sz="1"/>
              <w:bottom w:val="single" w:color="CCCCCC" w:sz="1"/>
              <w:right w:val="single" w:color="CCCCCC" w:sz="1"/>
            </w:tcBorders>
          </w:tcPr>
          <w:p>
            <w:r>
              <w:rPr>
                <w:sz w:val="20"/>
                <w:szCs w:val="20"/>
              </w:rPr>
              <w:t xml:space="preserve">“Two Forms / Dual Figure”: A Prompt-Engineering Cartography of the Futanari Terminology</w:t>
            </w:r>
          </w:p>
        </w:tc>
      </w:tr>
      <w:tr>
        <w:tc>
          <w:tcPr>
            <w:tcW w:type="dxa" w:w="2800"/>
            <w:tcBorders>
              <w:top w:val="single" w:color="CCCCCC" w:sz="1"/>
              <w:left w:val="single" w:color="CCCCCC" w:sz="1"/>
              <w:bottom w:val="single" w:color="CCCCCC" w:sz="1"/>
              <w:right w:val="single" w:color="CCCCCC" w:sz="1"/>
            </w:tcBorders>
            <w:shd w:fill="edf2f7" w:val="clear"/>
          </w:tcPr>
          <w:p>
            <w:r>
              <w:rPr>
                <w:b/>
                <w:bCs/>
                <w:sz w:val="20"/>
                <w:szCs w:val="20"/>
              </w:rPr>
              <w:t xml:space="preserve">Core Focus</w:t>
            </w:r>
          </w:p>
        </w:tc>
        <w:tc>
          <w:tcPr>
            <w:tcW w:type="dxa" w:w="7280"/>
            <w:tcBorders>
              <w:top w:val="single" w:color="CCCCCC" w:sz="1"/>
              <w:left w:val="single" w:color="CCCCCC" w:sz="1"/>
              <w:bottom w:val="single" w:color="CCCCCC" w:sz="1"/>
              <w:right w:val="single" w:color="CCCCCC" w:sz="1"/>
            </w:tcBorders>
          </w:tcPr>
          <w:p>
            <w:r>
              <w:rPr>
                <w:sz w:val="20"/>
                <w:szCs w:val="20"/>
              </w:rPr>
              <w:t xml:space="preserve">The terminology, semantics, and visual encoding of “two forms” (futanari / 二形) as a testbed for advanced prompt systems</w:t>
            </w:r>
          </w:p>
        </w:tc>
      </w:tr>
      <w:tr>
        <w:tc>
          <w:tcPr>
            <w:tcW w:type="dxa" w:w="2800"/>
            <w:tcBorders>
              <w:top w:val="single" w:color="CCCCCC" w:sz="1"/>
              <w:left w:val="single" w:color="CCCCCC" w:sz="1"/>
              <w:bottom w:val="single" w:color="CCCCCC" w:sz="1"/>
              <w:right w:val="single" w:color="CCCCCC" w:sz="1"/>
            </w:tcBorders>
            <w:shd w:fill="edf2f7" w:val="clear"/>
          </w:tcPr>
          <w:p>
            <w:r>
              <w:rPr>
                <w:b/>
                <w:bCs/>
                <w:sz w:val="20"/>
                <w:szCs w:val="20"/>
              </w:rPr>
              <w:t xml:space="preserve">Three Pillars</w:t>
            </w:r>
          </w:p>
        </w:tc>
        <w:tc>
          <w:tcPr>
            <w:tcW w:type="dxa" w:w="7280"/>
            <w:tcBorders>
              <w:top w:val="single" w:color="CCCCCC" w:sz="1"/>
              <w:left w:val="single" w:color="CCCCCC" w:sz="1"/>
              <w:bottom w:val="single" w:color="CCCCCC" w:sz="1"/>
              <w:right w:val="single" w:color="CCCCCC" w:sz="1"/>
            </w:tcBorders>
          </w:tcPr>
          <w:p>
            <w:r>
              <w:rPr>
                <w:sz w:val="20"/>
                <w:szCs w:val="20"/>
              </w:rPr>
              <w:t xml:space="preserve">Prompt-Based Analysis • Prompt Engineering • Variable Cartography</w:t>
            </w:r>
          </w:p>
        </w:tc>
      </w:tr>
      <w:tr>
        <w:tc>
          <w:tcPr>
            <w:tcW w:type="dxa" w:w="2800"/>
            <w:tcBorders>
              <w:top w:val="single" w:color="CCCCCC" w:sz="1"/>
              <w:left w:val="single" w:color="CCCCCC" w:sz="1"/>
              <w:bottom w:val="single" w:color="CCCCCC" w:sz="1"/>
              <w:right w:val="single" w:color="CCCCCC" w:sz="1"/>
            </w:tcBorders>
            <w:shd w:fill="edf2f7" w:val="clear"/>
          </w:tcPr>
          <w:p>
            <w:r>
              <w:rPr>
                <w:b/>
                <w:bCs/>
                <w:sz w:val="20"/>
                <w:szCs w:val="20"/>
              </w:rPr>
              <w:t xml:space="preserve">Strategic Value</w:t>
            </w:r>
          </w:p>
        </w:tc>
        <w:tc>
          <w:tcPr>
            <w:tcW w:type="dxa" w:w="7280"/>
            <w:tcBorders>
              <w:top w:val="single" w:color="CCCCCC" w:sz="1"/>
              <w:left w:val="single" w:color="CCCCCC" w:sz="1"/>
              <w:bottom w:val="single" w:color="CCCCCC" w:sz="1"/>
              <w:right w:val="single" w:color="CCCCCC" w:sz="1"/>
            </w:tcBorders>
          </w:tcPr>
          <w:p>
            <w:r>
              <w:rPr>
                <w:sz w:val="20"/>
                <w:szCs w:val="20"/>
              </w:rPr>
              <w:t xml:space="preserve">Advancing generalizable techniques for high-fidelity control of generative models under constraint</w:t>
            </w:r>
          </w:p>
        </w:tc>
      </w:tr>
    </w:tbl>
    <w:p>
      <w:pPr>
        <w:pStyle w:val="Heading1"/>
      </w:pPr>
      <w:r>
        <w:t xml:space="preserve">3. Methodology: The Three Pillars</w:t>
      </w:r>
    </w:p>
    <w:p>
      <w:pPr>
        <w:pStyle w:val="Heading2"/>
      </w:pPr>
      <w:r>
        <w:t xml:space="preserve">Pillar 1 — Prompt-Based Analysis</w:t>
      </w:r>
    </w:p>
    <w:p>
      <w:pPr>
        <w:spacing w:after="120"/>
      </w:pPr>
      <w:r>
        <w:rPr>
          <w:sz w:val="22"/>
          <w:szCs w:val="22"/>
        </w:rPr>
        <w:t xml:space="preserve">Systematic deconstruction of the “two forms” concept across linguistic, historical, and media domains. This includes tracing the evolution of 二形 from 12th-century medical scrolls through Edo-period aesthetics to its contemporary encoding as a specific erotic visual trope. The goal is to extract the semantic primitives that must be preserved when translating the concept into prompt space.</w:t>
      </w:r>
    </w:p>
    <w:p>
      <w:pPr>
        <w:pStyle w:val="Heading2"/>
      </w:pPr>
      <w:r>
        <w:t xml:space="preserve">Pillar 2 — Prompt Engineering</w:t>
      </w:r>
    </w:p>
    <w:p>
      <w:pPr>
        <w:spacing w:after="120"/>
      </w:pPr>
      <w:r>
        <w:rPr>
          <w:sz w:val="22"/>
          <w:szCs w:val="22"/>
        </w:rPr>
        <w:t xml:space="preserve">Iterative design of coded prompt languages that allow precise control over anatomical, material, and atmospheric outcomes while respecting model safety boundaries. This includes development of object codes, action translation layers, anatomical anchoring strategies, and the Prompt Cipher itself — a systematic grammar for encoding complex dual-figure concepts.</w:t>
      </w:r>
    </w:p>
    <w:p>
      <w:pPr>
        <w:pStyle w:val="Heading2"/>
      </w:pPr>
      <w:r>
        <w:t xml:space="preserve">Pillar 3 — Variable Cartography</w:t>
      </w:r>
    </w:p>
    <w:p>
      <w:pPr>
        <w:spacing w:after="200"/>
      </w:pPr>
      <w:r>
        <w:rPr>
          <w:sz w:val="22"/>
          <w:szCs w:val="22"/>
        </w:rPr>
        <w:t xml:space="preserve">Creation of structured maps that correlate prompt variables (object choice, action phrasing, descriptor density, lighting physics, material signatures) with measurable output characteristics (moderation pass rate, anatomical fidelity, semantic drift, material rendering quality). This produces decision-support tools for reliable prompt construction in high-stakes or filtered domains.</w:t>
      </w:r>
    </w:p>
    <w:p>
      <w:pPr>
        <w:pStyle w:val="Heading1"/>
      </w:pPr>
      <w:r>
        <w:t xml:space="preserve">4. Why This Research Advances Advanced Technology</w:t>
      </w:r>
    </w:p>
    <w:p>
      <w:pPr>
        <w:spacing w:after="120"/>
      </w:pPr>
      <w:r>
        <w:rPr>
          <w:sz w:val="22"/>
          <w:szCs w:val="22"/>
        </w:rPr>
        <w:t xml:space="preserve">The ability to reliably encode and render complex, dual, or constrained concepts in generative models is a foundational capability for the next phase of AI development. This project directly contributes to:</w:t>
      </w:r>
    </w:p>
    <w:p>
      <w:pPr>
        <w:pStyle w:val="ListParagraph"/>
        <w:numPr>
          <w:ilvl w:val="0"/>
          <w:numId w:val="2"/>
        </w:numPr>
      </w:pPr>
      <w:r>
        <w:rPr>
          <w:sz w:val="22"/>
          <w:szCs w:val="22"/>
        </w:rPr>
        <w:t xml:space="preserve">Improved control surfaces for generative models operating under safety or content constraints</w:t>
      </w:r>
    </w:p>
    <w:p>
      <w:pPr>
        <w:pStyle w:val="ListParagraph"/>
        <w:numPr>
          <w:ilvl w:val="0"/>
          <w:numId w:val="2"/>
        </w:numPr>
      </w:pPr>
      <w:r>
        <w:rPr>
          <w:sz w:val="22"/>
          <w:szCs w:val="22"/>
        </w:rPr>
        <w:t xml:space="preserve">Generalizable techniques for translating abstract or culturally specific concepts into precise visual outputs</w:t>
      </w:r>
    </w:p>
    <w:p>
      <w:pPr>
        <w:pStyle w:val="ListParagraph"/>
        <w:numPr>
          <w:ilvl w:val="0"/>
          <w:numId w:val="2"/>
        </w:numPr>
      </w:pPr>
      <w:r>
        <w:rPr>
          <w:sz w:val="22"/>
          <w:szCs w:val="22"/>
        </w:rPr>
        <w:t xml:space="preserve">Better understanding of semantic drift and how models reinterpret coded language</w:t>
      </w:r>
    </w:p>
    <w:p>
      <w:pPr>
        <w:pStyle w:val="ListParagraph"/>
        <w:numPr>
          <w:ilvl w:val="0"/>
          <w:numId w:val="2"/>
        </w:numPr>
      </w:pPr>
      <w:r>
        <w:rPr>
          <w:sz w:val="22"/>
          <w:szCs w:val="22"/>
        </w:rPr>
        <w:t xml:space="preserve">Development of systematic testing and scoring frameworks for prompt systems (applicable across domains)</w:t>
      </w:r>
    </w:p>
    <w:p>
      <w:pPr>
        <w:pStyle w:val="ListParagraph"/>
        <w:numPr>
          <w:ilvl w:val="0"/>
          <w:numId w:val="2"/>
        </w:numPr>
        <w:spacing w:after="200"/>
      </w:pPr>
      <w:r>
        <w:rPr>
          <w:sz w:val="22"/>
          <w:szCs w:val="22"/>
        </w:rPr>
        <w:t xml:space="preserve">Foundational work toward more sophisticated “prompt operating systems” that can handle layered, dual, or contradictory instructions with high fidelity</w:t>
      </w:r>
    </w:p>
    <w:p>
      <w:pPr>
        <w:pStyle w:val="Heading1"/>
      </w:pPr>
      <w:r>
        <w:t xml:space="preserve">5. Immediate Workstreams (Next 30 Days)</w:t>
      </w:r>
    </w:p>
    <w:p>
      <w:pPr>
        <w:pStyle w:val="ListParagraph"/>
        <w:numPr>
          <w:ilvl w:val="0"/>
          <w:numId w:val="3"/>
        </w:numPr>
      </w:pPr>
      <w:r>
        <w:rPr>
          <w:sz w:val="22"/>
          <w:szCs w:val="22"/>
        </w:rPr>
        <w:t xml:space="preserve">Formalize the Prompt Cipher v1.0 taxonomy (object codes, action layers, anchoring strategies)</w:t>
      </w:r>
    </w:p>
    <w:p>
      <w:pPr>
        <w:pStyle w:val="ListParagraph"/>
        <w:numPr>
          <w:ilvl w:val="0"/>
          <w:numId w:val="3"/>
        </w:numPr>
      </w:pPr>
      <w:r>
        <w:rPr>
          <w:sz w:val="22"/>
          <w:szCs w:val="22"/>
        </w:rPr>
        <w:t xml:space="preserve">Build the Variable Cartography logging system (spreadsheet + scoring rubric)</w:t>
      </w:r>
    </w:p>
    <w:p>
      <w:pPr>
        <w:pStyle w:val="ListParagraph"/>
        <w:numPr>
          <w:ilvl w:val="0"/>
          <w:numId w:val="3"/>
        </w:numPr>
      </w:pPr>
      <w:r>
        <w:rPr>
          <w:sz w:val="22"/>
          <w:szCs w:val="22"/>
        </w:rPr>
        <w:t xml:space="preserve">Execute 3–5 controlled batch tests using the top-ranked anchored prompts</w:t>
      </w:r>
    </w:p>
    <w:p>
      <w:pPr>
        <w:pStyle w:val="ListParagraph"/>
        <w:numPr>
          <w:ilvl w:val="0"/>
          <w:numId w:val="3"/>
        </w:numPr>
      </w:pPr>
      <w:r>
        <w:rPr>
          <w:sz w:val="22"/>
          <w:szCs w:val="22"/>
        </w:rPr>
        <w:t xml:space="preserve">Produce the first Prompt Engineering Playbook with documented wins/failures</w:t>
      </w:r>
    </w:p>
    <w:p>
      <w:pPr>
        <w:pStyle w:val="ListParagraph"/>
        <w:numPr>
          <w:ilvl w:val="0"/>
          <w:numId w:val="3"/>
        </w:numPr>
        <w:spacing w:after="300"/>
      </w:pPr>
      <w:r>
        <w:rPr>
          <w:sz w:val="22"/>
          <w:szCs w:val="22"/>
        </w:rPr>
        <w:t xml:space="preserve">Draft the initial research note on semantic drift patterns observed during testing</w:t>
      </w:r>
    </w:p>
    <w:p>
      <w:pPr>
        <w:spacing w:before="200"/>
      </w:pPr>
      <w:r>
        <w:rPr>
          <w:i/>
          <w:iCs/>
          <w:sz w:val="22"/>
          <w:szCs w:val="22"/>
        </w:rPr>
        <w:t xml:space="preserve">This is rigorous, high-leverage work. The “two forms” concept is not merely an interesting cultural artifact — it is an exceptionally demanding test case for the limits of current generative systems. Success here will produce tools and insights with broad applicability across creative, scientific, and technical domains.</w:t>
      </w:r>
    </w:p>
    <w:p>
      <w:pPr>
        <w:spacing w:before="200"/>
      </w:pPr>
      <w:r>
        <w:rPr>
          <w:b/>
          <w:bCs/>
          <w:sz w:val="22"/>
          <w:szCs w:val="22"/>
        </w:rPr>
        <w:t xml:space="preserve">I am fully committed to this research and excited to push it forward with precision and ambition.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Research Initiative  •  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4a5568"/>
        <w:sz w:val="18"/>
        <w:szCs w:val="18"/>
      </w:rPr>
      <w:t xml:space="preserve">PROJECT CHARTER</w:t>
    </w:r>
    <w:r>
      <w:rPr>
        <w:color w:val="a0aec0"/>
        <w:sz w:val="18"/>
        <w:szCs w:val="18"/>
      </w:rPr>
      <w:t xml:space="preserve">  |  </w:t>
    </w:r>
    <w:r>
      <w:rPr>
        <w:i/>
        <w:iCs/>
        <w:color w:val="4a5568"/>
        <w:sz w:val="18"/>
        <w:szCs w:val="18"/>
      </w:rPr>
      <w:t xml:space="preserve">Two Forms / Dual Figure Prompt Cartography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2026-06-20T04:40:02.980Z</dcterms:created>
  <dcterms:modified xsi:type="dcterms:W3CDTF">2026-06-20T04:40:02.981Z</dcterms:modified>
</cp:coreProperties>
</file>

<file path=docProps/custom.xml><?xml version="1.0" encoding="utf-8"?>
<Properties xmlns="http://schemas.openxmlformats.org/officeDocument/2006/custom-properties" xmlns:vt="http://schemas.openxmlformats.org/officeDocument/2006/docPropsVTypes"/>
</file>