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1ed7151c93ebd7bfbfcc3525b4a6611b84bdd"/>
      <w:r>
        <w:t xml:space="preserve">FGE OS: Creative Operating System Specification</w:t>
      </w:r>
      <w:bookmarkEnd w:id="20"/>
    </w:p>
    <w:p>
      <w:pPr>
        <w:pStyle w:val="FirstParagraph"/>
      </w:pPr>
      <w:r>
        <w:rPr>
          <w:b/>
        </w:rPr>
        <w:t xml:space="preserve">Product ID: FGE-OS-CORE-001</w:t>
      </w:r>
      <w:r>
        <w:t xml:space="preserve"> </w:t>
      </w:r>
      <w:r>
        <w:rPr>
          <w:b/>
        </w:rPr>
        <w:t xml:space="preserve">Status: ARCHITECTURAL CANON LOCKED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107624930a2e346f735442388ac33ea1cc5e33"/>
      <w:r>
        <w:t xml:space="preserve">1. Executive Summary: The FGE Creative Kernel</w:t>
      </w:r>
      <w:bookmarkEnd w:id="21"/>
    </w:p>
    <w:p>
      <w:pPr>
        <w:pStyle w:val="FirstParagraph"/>
      </w:pPr>
      <w:r>
        <w:t xml:space="preserve">FGE OS is the foundational platform for creative intelligence. It transforms static creative assets into persistent, self-describing computational objects by attaching identity, semantic structure, provenance, commercial state, and evolutionary history.</w:t>
      </w:r>
    </w:p>
    <w:p>
      <w:pPr>
        <w:pStyle w:val="BodyText"/>
      </w:pPr>
      <w:r>
        <w:t xml:space="preserve">Unlike traditional design tools, FGE OS treats the creative process as a series of state changes within a structured environment. The</w:t>
      </w:r>
      <w:r>
        <w:t xml:space="preserve"> </w:t>
      </w:r>
      <w:r>
        <w:rPr>
          <w:b/>
        </w:rPr>
        <w:t xml:space="preserve">Mobile Art Studio™</w:t>
      </w:r>
      <w:r>
        <w:t xml:space="preserve"> </w:t>
      </w:r>
      <w:r>
        <w:t xml:space="preserve">serves as the flagship reference application running on this kernel, while the</w:t>
      </w:r>
      <w:r>
        <w:t xml:space="preserve"> </w:t>
      </w:r>
      <w:r>
        <w:rPr>
          <w:b/>
        </w:rPr>
        <w:t xml:space="preserve">Runtime Encoder™</w:t>
      </w:r>
      <w:r>
        <w:t xml:space="preserve"> </w:t>
      </w:r>
      <w:r>
        <w:t xml:space="preserve">functions as the knowledge compiler that bridges the gap between raw creative output and computable data nodes.</w:t>
      </w:r>
    </w:p>
    <w:p>
      <w:pPr>
        <w:pStyle w:val="Heading2"/>
      </w:pPr>
      <w:bookmarkStart w:id="22" w:name="system-architecture-the-runtime-matrix"/>
      <w:r>
        <w:t xml:space="preserve">2. System Architecture: The Runtime Matrix</w:t>
      </w:r>
      <w:bookmarkEnd w:id="22"/>
    </w:p>
    <w:p>
      <w:pPr>
        <w:pStyle w:val="FirstParagraph"/>
      </w:pPr>
      <w:r>
        <w:t xml:space="preserve">The FGE OS is composed of independent, modular runtimes coordinated by a central Kernel.</w:t>
      </w:r>
    </w:p>
    <w:p>
      <w:pPr>
        <w:pStyle w:val="Heading3"/>
      </w:pPr>
      <w:bookmarkStart w:id="23" w:name="fge-kernel-the-source-of-truth"/>
      <w:r>
        <w:t xml:space="preserve">2.1 FGE Kernel (The Source of Truth)</w:t>
      </w:r>
      <w:bookmarkEnd w:id="23"/>
    </w:p>
    <w:p>
      <w:pPr>
        <w:pStyle w:val="FirstParagraph"/>
      </w:pPr>
      <w:r>
        <w:t xml:space="preserve">The Kernel manages system-level services and ensures data integrity across all runtimes.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Identity &amp; Memory</w:t>
      </w:r>
      <w:r>
        <w:t xml:space="preserve">: Persistent UUIDs and secure memory registry.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Governance (Canon Lock)</w:t>
      </w:r>
      <w:r>
        <w:t xml:space="preserve">: Permission-based authority, ownership verification, and rollback capabilities.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Event Bus</w:t>
      </w:r>
      <w:r>
        <w:t xml:space="preserve">: Asynchronous communication between modules (e.g.,</w:t>
      </w:r>
      <w:r>
        <w:t xml:space="preserve"> </w:t>
      </w:r>
      <w:r>
        <w:rPr>
          <w:rStyle w:val="VerbatimChar"/>
        </w:rPr>
        <w:t xml:space="preserve">AssetLocked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ProductPublished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Registry Services</w:t>
      </w:r>
      <w:r>
        <w:t xml:space="preserve">: Centralized index for Characters, Materials, Projects, and Workflows.</w:t>
      </w:r>
    </w:p>
    <w:p>
      <w:pPr>
        <w:pStyle w:val="Heading3"/>
      </w:pPr>
      <w:bookmarkStart w:id="24" w:name="functional-runtimes"/>
      <w:r>
        <w:t xml:space="preserve">2.2 Functional Runtimes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Responsibility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Services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Knowledge Runtime</w:t>
            </w:r>
          </w:p>
        </w:tc>
        <w:tc>
          <w:p>
            <w:pPr>
              <w:pStyle w:val="Compact"/>
              <w:jc w:val="left"/>
            </w:pPr>
            <w:r>
              <w:t xml:space="preserve">Semantic Encoding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Runtime Encoder™</w:t>
            </w:r>
            <w:r>
              <w:t xml:space="preserve">, link discovery, extraction, reasoning.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Asset Runtime</w:t>
            </w:r>
          </w:p>
        </w:tc>
        <w:tc>
          <w:p>
            <w:pPr>
              <w:pStyle w:val="Compact"/>
              <w:jc w:val="left"/>
            </w:pPr>
            <w:r>
              <w:t xml:space="preserve">Media Manipulation</w:t>
            </w:r>
          </w:p>
        </w:tc>
        <w:tc>
          <w:p>
            <w:pPr>
              <w:pStyle w:val="Compact"/>
              <w:jc w:val="left"/>
            </w:pPr>
            <w:r>
              <w:t xml:space="preserve">Hashing, version control, metadata injection, storage adapters.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Creative Runtime</w:t>
            </w:r>
          </w:p>
        </w:tc>
        <w:tc>
          <w:p>
            <w:pPr>
              <w:pStyle w:val="Compact"/>
              <w:jc w:val="left"/>
            </w:pPr>
            <w:r>
              <w:t xml:space="preserve">Intelligence &amp; Ideation</w:t>
            </w:r>
          </w:p>
        </w:tc>
        <w:tc>
          <w:p>
            <w:pPr>
              <w:pStyle w:val="Compact"/>
              <w:jc w:val="left"/>
            </w:pPr>
            <w:r>
              <w:t xml:space="preserve">Prompt engineering, style mutation, narrative evolution, canon-locking.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 Runtime</w:t>
            </w:r>
          </w:p>
        </w:tc>
        <w:tc>
          <w:p>
            <w:pPr>
              <w:pStyle w:val="Compact"/>
              <w:jc w:val="left"/>
            </w:pPr>
            <w:r>
              <w:t xml:space="preserve">Manufacturing Pipeline</w:t>
            </w:r>
          </w:p>
        </w:tc>
        <w:tc>
          <w:p>
            <w:pPr>
              <w:pStyle w:val="Compact"/>
              <w:jc w:val="left"/>
            </w:pPr>
            <w:r>
              <w:t xml:space="preserve">Dependency graphs, automation queues, approval gates, triptych building.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Commerce Runtime</w:t>
            </w:r>
          </w:p>
        </w:tc>
        <w:tc>
          <w:p>
            <w:pPr>
              <w:pStyle w:val="Compact"/>
              <w:jc w:val="left"/>
            </w:pPr>
            <w:r>
              <w:t xml:space="preserve">Monetization &amp; Licensing</w:t>
            </w:r>
          </w:p>
        </w:tc>
        <w:tc>
          <w:p>
            <w:pPr>
              <w:pStyle w:val="Compact"/>
              <w:jc w:val="left"/>
            </w:pPr>
            <w:r>
              <w:t xml:space="preserve">SKU generation, pricing engine, marketplace publishing, analytics.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Evolution Runtime</w:t>
            </w:r>
          </w:p>
        </w:tc>
        <w:tc>
          <w:p>
            <w:pPr>
              <w:pStyle w:val="Compact"/>
              <w:jc w:val="left"/>
            </w:pPr>
            <w:r>
              <w:t xml:space="preserve">Lineage &amp; History</w:t>
            </w:r>
          </w:p>
        </w:tc>
        <w:tc>
          <w:p>
            <w:pPr>
              <w:pStyle w:val="Compact"/>
              <w:jc w:val="left"/>
            </w:pPr>
            <w:r>
              <w:t xml:space="preserve">Ancestry tracking (parents/children), mutation scoring,</w:t>
            </w:r>
            <w:r>
              <w:t xml:space="preserve"> </w:t>
            </w:r>
            <w:r>
              <w:t xml:space="preserve">“</w:t>
            </w:r>
            <w:r>
              <w:t xml:space="preserve">Git-for-Creativity.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Intelligence Runtime</w:t>
            </w:r>
          </w:p>
        </w:tc>
        <w:tc>
          <w:p>
            <w:pPr>
              <w:pStyle w:val="Compact"/>
              <w:jc w:val="left"/>
            </w:pPr>
            <w:r>
              <w:t xml:space="preserve">Forecasting &amp; Discovery</w:t>
            </w:r>
          </w:p>
        </w:tc>
        <w:tc>
          <w:p>
            <w:pPr>
              <w:pStyle w:val="Compact"/>
              <w:jc w:val="left"/>
            </w:pPr>
            <w:r>
              <w:t xml:space="preserve">Pattern recognition, trend simulation, success prediction.</w:t>
            </w:r>
          </w:p>
        </w:tc>
      </w:tr>
    </w:tbl>
    <w:p>
      <w:pPr>
        <w:pStyle w:val="Heading2"/>
      </w:pPr>
      <w:bookmarkStart w:id="25" w:name="Xbc2c07f1c234f2d8515b2b25a94698eff8640b3"/>
      <w:r>
        <w:t xml:space="preserve">3. The Object Model: Metadata as Infrastructure</w:t>
      </w:r>
      <w:bookmarkEnd w:id="25"/>
    </w:p>
    <w:p>
      <w:pPr>
        <w:pStyle w:val="FirstParagraph"/>
      </w:pPr>
      <w:r>
        <w:t xml:space="preserve">Every object within FGE OS is defined by its metadata schema. This transformation elevates the</w:t>
      </w:r>
      <w:r>
        <w:t xml:space="preserve"> </w:t>
      </w:r>
      <w:r>
        <w:t xml:space="preserve">“</w:t>
      </w:r>
      <w:r>
        <w:t xml:space="preserve">image</w:t>
      </w:r>
      <w:r>
        <w:t xml:space="preserve">”</w:t>
      </w:r>
      <w:r>
        <w:t xml:space="preserve"> </w:t>
      </w:r>
      <w:r>
        <w:t xml:space="preserve">into an</w:t>
      </w:r>
      <w:r>
        <w:t xml:space="preserve"> </w:t>
      </w:r>
      <w:r>
        <w:t xml:space="preserve">“</w:t>
      </w:r>
      <w:r>
        <w:t xml:space="preserve">Empire Asset.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Provenance</w:t>
      </w:r>
      <w:r>
        <w:t xml:space="preserve">: Immutable chain of custody and origin tracking.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Canon Registry</w:t>
      </w:r>
      <w:r>
        <w:t xml:space="preserve">: Persistent identity within the FGE Narrative Universe.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Commercial Scoring</w:t>
      </w:r>
      <w:r>
        <w:t xml:space="preserve">: Real-time evaluation of market readiness and sales potential.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Relationship Engine</w:t>
      </w:r>
      <w:r>
        <w:t xml:space="preserve">: Dynamic mapping of related assets, materials, and dependencies.</w:t>
      </w:r>
    </w:p>
    <w:p>
      <w:pPr>
        <w:pStyle w:val="Heading2"/>
      </w:pPr>
      <w:bookmarkStart w:id="26" w:name="X80628b26ceea55548690322340619da9a7937b8"/>
      <w:r>
        <w:t xml:space="preserve">4. Capability Unlock Ladder (The Value Engine)</w:t>
      </w:r>
      <w:bookmarkEnd w:id="26"/>
    </w:p>
    <w:p>
      <w:pPr>
        <w:pStyle w:val="FirstParagraph"/>
      </w:pPr>
      <w:r>
        <w:t xml:space="preserve">Pricing is structured around the depth of capability unlocked within the FGE OS ecosystem.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 Unlock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Creative Encoding Kit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Standardization</w:t>
            </w:r>
            <w:r>
              <w:t xml:space="preserve">: Encode individual assets with basic semantic metadata.</w:t>
            </w:r>
          </w:p>
        </w:tc>
        <w:tc>
          <w:p>
            <w:pPr>
              <w:pStyle w:val="Compact"/>
              <w:jc w:val="left"/>
            </w:pPr>
            <w:r>
              <w:t xml:space="preserve">$29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Creative Runtime Studio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Management</w:t>
            </w:r>
            <w:r>
              <w:t xml:space="preserve">: Full asset registry, versioning, and mobile studio access.</w:t>
            </w:r>
          </w:p>
        </w:tc>
        <w:tc>
          <w:p>
            <w:pPr>
              <w:pStyle w:val="Compact"/>
              <w:jc w:val="left"/>
            </w:pPr>
            <w:r>
              <w:t xml:space="preserve">$99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3</w:t>
            </w:r>
          </w:p>
        </w:tc>
        <w:tc>
          <w:p>
            <w:pPr>
              <w:pStyle w:val="Compact"/>
              <w:jc w:val="left"/>
            </w:pPr>
            <w:r>
              <w:t xml:space="preserve">Production Operating System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Automation</w:t>
            </w:r>
            <w:r>
              <w:t xml:space="preserve">: Build complete products (posters, lookbooks) via automated pipelines.</w:t>
            </w:r>
          </w:p>
        </w:tc>
        <w:tc>
          <w:p>
            <w:pPr>
              <w:pStyle w:val="Compact"/>
              <w:jc w:val="left"/>
            </w:pPr>
            <w:r>
              <w:t xml:space="preserve">$299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4</w:t>
            </w:r>
          </w:p>
        </w:tc>
        <w:tc>
          <w:p>
            <w:pPr>
              <w:pStyle w:val="Compact"/>
              <w:jc w:val="left"/>
            </w:pPr>
            <w:r>
              <w:t xml:space="preserve">Creative Intelligence Engine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Optimization</w:t>
            </w:r>
            <w:r>
              <w:t xml:space="preserve">: AI-driven forecasting, trend analysis, and decision support.</w:t>
            </w:r>
          </w:p>
        </w:tc>
        <w:tc>
          <w:p>
            <w:pPr>
              <w:pStyle w:val="Compact"/>
              <w:jc w:val="left"/>
            </w:pPr>
            <w:r>
              <w:t xml:space="preserve">$999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5</w:t>
            </w:r>
          </w:p>
        </w:tc>
        <w:tc>
          <w:p>
            <w:pPr>
              <w:pStyle w:val="Compact"/>
              <w:jc w:val="left"/>
            </w:pPr>
            <w:r>
              <w:t xml:space="preserve">Enterprise Creative 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</w:t>
            </w:r>
            <w:r>
              <w:t xml:space="preserve">: Custom registries, dedicated nodes, and multi-studio governance.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p>
      <w:pPr>
        <w:pStyle w:val="Heading2"/>
      </w:pPr>
      <w:bookmarkStart w:id="27" w:name="X509d0e2c6ebef9690119fef0eeb8306d93ac5cb"/>
      <w:r>
        <w:t xml:space="preserve">5. Deployment Strategy: The Flywheel Protocol</w:t>
      </w:r>
      <w:bookmarkEnd w:id="27"/>
    </w:p>
    <w:p>
      <w:pPr>
        <w:pStyle w:val="FirstParagraph"/>
      </w:pPr>
      <w:r>
        <w:t xml:space="preserve">The FGE OS is deployed through its artifacts. Every Hero Poster, Lookbook, and Six-Second Loop generated by the system includes a visible</w:t>
      </w:r>
      <w:r>
        <w:t xml:space="preserve"> </w:t>
      </w:r>
      <w:r>
        <w:rPr>
          <w:b/>
        </w:rPr>
        <w:t xml:space="preserve">Runtime Encoder</w:t>
      </w:r>
      <w:r>
        <w:t xml:space="preserve"> </w:t>
      </w:r>
      <w:r>
        <w:t xml:space="preserve">block. This watermark is not merely a brand—it is a functional advertisement for the production intelligence that created it.</w:t>
      </w:r>
    </w:p>
    <w:p>
      <w:pPr>
        <w:pStyle w:val="BodyText"/>
      </w:pPr>
      <w:r>
        <w:rPr>
          <w:b/>
        </w:rPr>
        <w:t xml:space="preserve">The Moat</w:t>
      </w:r>
      <w:r>
        <w:t xml:space="preserve">: The FGE Schema is the moat. Once assets are encoded, the switching costs to non-structured systems become prohibitive, ensuring long-term platform loyalty and ecosystem compound growth.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FGE-OS-CORE-001 | Authorized by Director | Evolution Vault Registered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2026-07-20T06:33:39Z</dcterms:created>
  <dcterms:modified xsi:type="dcterms:W3CDTF">2026-07-20T06:33:39Z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