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0A0B0D"/>
  <w:body>
    <w:p>
      <w:pPr>
        <w:spacing w:after="80" w:before="480"/>
        <w:jc w:val="center"/>
      </w:pPr>
      <w:r>
        <w:rPr>
          <w:b/>
          <w:bCs/>
          <w:color w:val="C8A84B"/>
          <w:spacing w:val="60"/>
          <w:sz w:val="26"/>
          <w:szCs w:val="26"/>
        </w:rPr>
        <w:t xml:space="preserve">FERAL GLOSS EMPIRE</w:t>
      </w:r>
    </w:p>
    <w:p>
      <w:pPr>
        <w:spacing w:after="120"/>
        <w:jc w:val="center"/>
      </w:pPr>
      <w:r>
        <w:rPr>
          <w:b/>
          <w:bCs/>
          <w:color w:val="E8ECF0"/>
          <w:sz w:val="38"/>
          <w:szCs w:val="38"/>
        </w:rPr>
        <w:t xml:space="preserve">COMMERCIAL DOCTRINE &amp; FOUNDATION SET CONSTITUTION</w:t>
      </w:r>
    </w:p>
    <w:p>
      <w:pPr>
        <w:spacing w:after="60"/>
        <w:jc w:val="center"/>
      </w:pPr>
      <w:r>
        <w:rPr>
          <w:i/>
          <w:iCs/>
          <w:color w:val="9AA4AE"/>
          <w:sz w:val="24"/>
          <w:szCs w:val="24"/>
        </w:rPr>
        <w:t xml:space="preserve">The Minimum Viable Universe — v1.0</w:t>
      </w:r>
    </w:p>
    <w:p>
      <w:pPr>
        <w:spacing w:after="60"/>
        <w:jc w:val="center"/>
      </w:pPr>
      <w:r>
        <w:rPr>
          <w:color w:val="5A646E"/>
          <w:sz w:val="20"/>
          <w:szCs w:val="20"/>
        </w:rPr>
        <w:t xml:space="preserve">Instrument ID: FGE-CONST-COMM-001 · Companion to FGE-CONST-LOCK-001 v1.1</w:t>
      </w:r>
    </w:p>
    <w:p>
      <w:pPr>
        <w:spacing w:after="60"/>
        <w:jc w:val="center"/>
      </w:pPr>
      <w:r>
        <w:rPr>
          <w:b/>
          <w:bCs/>
          <w:color w:val="C8A84B"/>
          <w:sz w:val="20"/>
          <w:szCs w:val="20"/>
        </w:rPr>
        <w:t xml:space="preserve">Status: MINTED DRAFT — PENDING DIRECTOR RATIFICATION</w:t>
      </w:r>
    </w:p>
    <w:p>
      <w:pPr>
        <w:spacing w:after="320"/>
        <w:jc w:val="center"/>
      </w:pPr>
      <w:r>
        <w:rPr>
          <w:color w:val="5A646E"/>
          <w:sz w:val="20"/>
          <w:szCs w:val="20"/>
        </w:rPr>
        <w:t xml:space="preserve">Date: 2026-06-10 · Author of Record: Keith Clemente, Director · Drafting Substrate: Claude</w:t>
      </w:r>
    </w:p>
    <w:p>
      <w:pPr>
        <w:pBdr>
          <w:bottom w:val="single" w:color="8A742E" w:sz="6" w:space="1"/>
        </w:pBdr>
        <w:spacing w:after="240"/>
      </w:pPr>
    </w:p>
    <w:p>
      <w:pPr>
        <w:pStyle w:val="Heading1"/>
      </w:pPr>
      <w:r>
        <w:rPr>
          <w:color w:val="C8A84B"/>
        </w:rPr>
        <w:t xml:space="preserve">Part I — Commercial Doctrine</w:t>
      </w:r>
    </w:p>
    <w:p>
      <w:pPr>
        <w:pStyle w:val="Heading2"/>
      </w:pPr>
      <w:r>
        <w:rPr>
          <w:color w:val="C8A84B"/>
        </w:rPr>
        <w:t xml:space="preserve">1.1 What FGE Sells</w:t>
      </w:r>
    </w:p>
    <w:p>
      <w:pPr>
        <w:spacing w:after="160"/>
      </w:pPr>
      <w:r>
        <w:rPr>
          <w:b/>
          <w:bCs/>
          <w:color w:val="C8A84B"/>
          <w:sz w:val="26"/>
          <w:szCs w:val="26"/>
        </w:rPr>
        <w:t xml:space="preserve">FGE sells transformation.</w:t>
      </w:r>
    </w:p>
    <w:p>
      <w:pPr>
        <w:spacing w:after="160"/>
      </w:pPr>
      <w:r>
        <w:rPr>
          <w:color w:val="9AA4AE"/>
        </w:rPr>
        <w:t xml:space="preserve">Not cards, not prompts, not lore, not governance. The product is the act: Character + Artifact + Scene → New Reality. Cards are the interface; the governance stack is the factory; transformation is what leaves the building. Customers never see Anchor Method, Morphogenesis, or validation layers — they see a beautiful character, a beautiful operator, a beautiful world, and a result that should not have been possible.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960"/>
      </w:tblGrid>
      <w:tr>
        <w:trPr>
          <w:tblHeader/>
        </w:trPr>
        <w:tc>
          <w:tcPr>
            <w:tcW w:type="dxa" w:w="2800"/>
            <w:tcBorders>
              <w:top w:val="single" w:color="8A742E" w:sz="1"/>
              <w:left w:val="single" w:color="8A742E" w:sz="1"/>
              <w:bottom w:val="single" w:color="8A742E" w:sz="1"/>
              <w:right w:val="single" w:color="8A742E" w:sz="1"/>
            </w:tcBorders>
            <w:shd w:fill="1E1A0E" w:val="clear"/>
            <w:tcMar>
              <w:top w:type="dxa" w:w="100"/>
              <w:left w:type="dxa" w:w="140"/>
              <w:bottom w:type="dxa" w:w="100"/>
              <w:right w:type="dxa" w:w="140"/>
            </w:tcMar>
          </w:tcPr>
          <w:p>
            <w:r>
              <w:rPr>
                <w:b/>
                <w:bCs/>
                <w:color w:val="C8A84B"/>
                <w:sz w:val="20"/>
                <w:szCs w:val="20"/>
              </w:rPr>
              <w:t xml:space="preserve">INPUTS</w:t>
            </w:r>
          </w:p>
        </w:tc>
        <w:tc>
          <w:tcPr>
            <w:tcW w:type="dxa" w:w="2800"/>
            <w:tcBorders>
              <w:top w:val="single" w:color="8A742E" w:sz="1"/>
              <w:left w:val="single" w:color="8A742E" w:sz="1"/>
              <w:bottom w:val="single" w:color="8A742E" w:sz="1"/>
              <w:right w:val="single" w:color="8A742E" w:sz="1"/>
            </w:tcBorders>
            <w:shd w:fill="1E1A0E" w:val="clear"/>
            <w:tcMar>
              <w:top w:type="dxa" w:w="100"/>
              <w:left w:type="dxa" w:w="140"/>
              <w:bottom w:type="dxa" w:w="100"/>
              <w:right w:type="dxa" w:w="140"/>
            </w:tcMar>
          </w:tcPr>
          <w:p>
            <w:r>
              <w:rPr>
                <w:b/>
                <w:bCs/>
                <w:color w:val="C8A84B"/>
                <w:sz w:val="20"/>
                <w:szCs w:val="20"/>
              </w:rPr>
              <w:t xml:space="preserve">ENGINE</w:t>
            </w:r>
          </w:p>
        </w:tc>
        <w:tc>
          <w:tcPr>
            <w:tcW w:type="dxa" w:w="2960"/>
            <w:tcBorders>
              <w:top w:val="single" w:color="8A742E" w:sz="1"/>
              <w:left w:val="single" w:color="8A742E" w:sz="1"/>
              <w:bottom w:val="single" w:color="8A742E" w:sz="1"/>
              <w:right w:val="single" w:color="8A742E" w:sz="1"/>
            </w:tcBorders>
            <w:shd w:fill="1E1A0E" w:val="clear"/>
            <w:tcMar>
              <w:top w:type="dxa" w:w="100"/>
              <w:left w:type="dxa" w:w="140"/>
              <w:bottom w:type="dxa" w:w="100"/>
              <w:right w:type="dxa" w:w="140"/>
            </w:tcMar>
          </w:tcPr>
          <w:p>
            <w:r>
              <w:rPr>
                <w:b/>
                <w:bCs/>
                <w:color w:val="C8A84B"/>
                <w:sz w:val="20"/>
                <w:szCs w:val="20"/>
              </w:rPr>
              <w:t xml:space="preserve">OUTPUTS</w:t>
            </w:r>
          </w:p>
        </w:tc>
      </w:tr>
      <w:tr>
        <w:tc>
          <w:tcPr>
            <w:tcW w:type="dxa" w:w="28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Character Cards</w:t>
            </w:r>
          </w:p>
          <w:p>
            <w:r>
              <w:rPr>
                <w:color w:val="9AA4AE"/>
                <w:sz w:val="20"/>
                <w:szCs w:val="20"/>
              </w:rPr>
              <w:t xml:space="preserve">Artifact Cards</w:t>
            </w:r>
          </w:p>
          <w:p>
            <w:r>
              <w:rPr>
                <w:color w:val="9AA4AE"/>
                <w:sz w:val="20"/>
                <w:szCs w:val="20"/>
              </w:rPr>
              <w:t xml:space="preserve">Scene Cards</w:t>
            </w:r>
          </w:p>
        </w:tc>
        <w:tc>
          <w:tcPr>
            <w:tcW w:type="dxa" w:w="28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The Assembly system</w:t>
            </w:r>
          </w:p>
          <w:p>
            <w:r>
              <w:rPr>
                <w:color w:val="9AA4AE"/>
                <w:sz w:val="20"/>
                <w:szCs w:val="20"/>
              </w:rPr>
              <w:t xml:space="preserve">(FGE-CONST-LOCK-001)</w:t>
            </w:r>
          </w:p>
        </w:tc>
        <w:tc>
          <w:tcPr>
            <w:tcW w:type="dxa" w:w="296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Posters · Lookbooks</w:t>
            </w:r>
          </w:p>
          <w:p>
            <w:r>
              <w:rPr>
                <w:color w:val="9AA4AE"/>
                <w:sz w:val="20"/>
                <w:szCs w:val="20"/>
              </w:rPr>
              <w:t xml:space="preserve">Wall art · Videos</w:t>
            </w:r>
          </w:p>
          <w:p>
            <w:r>
              <w:rPr>
                <w:color w:val="9AA4AE"/>
                <w:sz w:val="20"/>
                <w:szCs w:val="20"/>
              </w:rPr>
              <w:t xml:space="preserve">Books · Story fragments</w:t>
            </w:r>
          </w:p>
        </w:tc>
      </w:tr>
    </w:tbl>
    <w:p>
      <w:pPr>
        <w:spacing w:after="160"/>
      </w:pPr>
    </w:p>
    <w:p>
      <w:pPr>
        <w:pStyle w:val="Heading2"/>
      </w:pPr>
      <w:r>
        <w:rPr>
          <w:color w:val="C8A84B"/>
        </w:rPr>
        <w:t xml:space="preserve">1.2 Category Positioning</w:t>
      </w:r>
    </w:p>
    <w:p>
      <w:pPr>
        <w:spacing w:after="160"/>
      </w:pPr>
      <w:r>
        <w:rPr>
          <w:b/>
          <w:bCs/>
          <w:color w:val="E8ECF0"/>
        </w:rPr>
        <w:t xml:space="preserve">FGE is a collectible art universe built from combinable visual components.</w:t>
      </w:r>
    </w:p>
    <w:p>
      <w:pPr>
        <w:pStyle w:val="ListParagraph"/>
        <w:numPr>
          <w:ilvl w:val="0"/>
          <w:numId w:val="2"/>
        </w:numPr>
        <w:spacing w:after="100"/>
      </w:pPr>
      <w:r>
        <w:rPr>
          <w:b/>
          <w:bCs/>
          <w:color w:val="C0504D"/>
        </w:rPr>
        <w:t xml:space="preserve">Prohibited framing: </w:t>
      </w:r>
      <w:r>
        <w:rPr>
          <w:color w:val="9AA4AE"/>
        </w:rPr>
        <w:t xml:space="preserve">no comparison to trading card games in any public material. Game comparisons import expectations (decks, combat, tournaments, rules depth) the product does not serve, creating expectation friction at first contact. The game layer, when it exists, announces itself.</w:t>
      </w:r>
    </w:p>
    <w:p>
      <w:pPr>
        <w:pStyle w:val="ListParagraph"/>
        <w:numPr>
          <w:ilvl w:val="0"/>
          <w:numId w:val="2"/>
        </w:numPr>
        <w:spacing w:after="100"/>
      </w:pPr>
      <w:r>
        <w:rPr>
          <w:b/>
          <w:bCs/>
          <w:color w:val="6FA86F"/>
        </w:rPr>
        <w:t xml:space="preserve">Approved hooks: </w:t>
      </w:r>
      <w:r>
        <w:rPr>
          <w:color w:val="9AA4AE"/>
        </w:rPr>
        <w:t xml:space="preserve">“Build impossible worlds from collectible visual components.” · “Every card is part of a larger universe.” · “Combine characters, relics, and worlds to create new visual realities.”</w:t>
      </w:r>
    </w:p>
    <w:p>
      <w:pPr>
        <w:pStyle w:val="ListParagraph"/>
        <w:numPr>
          <w:ilvl w:val="0"/>
          <w:numId w:val="2"/>
        </w:numPr>
        <w:spacing w:after="100"/>
      </w:pPr>
      <w:r>
        <w:rPr>
          <w:b/>
          <w:bCs/>
          <w:color w:val="E8ECF0"/>
        </w:rPr>
        <w:t xml:space="preserve">The one-sentence pitch: </w:t>
      </w:r>
      <w:r>
        <w:rPr>
          <w:i/>
          <w:iCs/>
          <w:color w:val="E8ECF0"/>
        </w:rPr>
        <w:t xml:space="preserve">“Collect characters, artifacts, and worlds. Combine them to create new visual realities.”</w:t>
      </w:r>
    </w:p>
    <w:p>
      <w:pPr>
        <w:pStyle w:val="Heading2"/>
      </w:pPr>
      <w:r>
        <w:rPr>
          <w:color w:val="C8A84B"/>
        </w:rPr>
        <w:t xml:space="preserve">1.3 The Material-First Brand Law</w:t>
      </w:r>
    </w:p>
    <w:p>
      <w:pPr>
        <w:spacing w:after="160"/>
      </w:pPr>
      <w:r>
        <w:rPr>
          <w:color w:val="9AA4AE"/>
        </w:rPr>
        <w:t xml:space="preserve">The brand is carried by surfaces, not systems. Viewers perceive material, light, and color instantly; they never perceive recursion depth or governance. The recurring FGE aesthetic is </w:t>
      </w:r>
      <w:r>
        <w:rPr>
          <w:b/>
          <w:bCs/>
          <w:color w:val="E8ECF0"/>
        </w:rPr>
        <w:t xml:space="preserve">light trapped inside matter</w:t>
      </w:r>
      <w:r>
        <w:rPr>
          <w:color w:val="9AA4AE"/>
        </w:rPr>
        <w:t xml:space="preserve">: reflection, refraction, interference, fracture, internal illumination — Obsidian, Pearl, Labradorite, Kintsugi, Metal.</w:t>
      </w:r>
    </w:p>
    <w:p>
      <w:pPr>
        <w:spacing w:after="160"/>
      </w:pPr>
      <w:r>
        <w:rPr>
          <w:b/>
          <w:bCs/>
          <w:color w:val="C8A84B"/>
        </w:rPr>
        <w:t xml:space="preserve">Law: </w:t>
      </w:r>
      <w:r>
        <w:rPr>
          <w:color w:val="9AA4AE"/>
        </w:rPr>
        <w:t xml:space="preserve">in any allocation conflict between material-language refinement and system expansion, material language wins. This is the commercial restatement of the DNA Protection Matrix, where Material Signatures already hold Critical priority. Three independent analyses — compression doctrine, lock doctrine, commercial doctrine — converge here.</w:t>
      </w:r>
    </w:p>
    <w:p>
      <w:pPr>
        <w:pStyle w:val="Heading2"/>
      </w:pPr>
      <w:r>
        <w:rPr>
          <w:color w:val="C8A84B"/>
        </w:rPr>
        <w:t xml:space="preserve">1.4 The Product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8A742E" w:sz="1"/>
              <w:left w:val="single" w:color="8A742E" w:sz="1"/>
              <w:bottom w:val="single" w:color="8A742E" w:sz="1"/>
              <w:right w:val="single" w:color="8A742E" w:sz="1"/>
            </w:tcBorders>
            <w:shd w:fill="1E1A0E" w:val="clear"/>
            <w:tcMar>
              <w:top w:type="dxa" w:w="100"/>
              <w:left w:type="dxa" w:w="140"/>
              <w:bottom w:type="dxa" w:w="100"/>
              <w:right w:type="dxa" w:w="140"/>
            </w:tcMar>
          </w:tcPr>
          <w:p>
            <w:r>
              <w:rPr>
                <w:b/>
                <w:bCs/>
                <w:color w:val="C8A84B"/>
                <w:sz w:val="20"/>
                <w:szCs w:val="20"/>
              </w:rPr>
              <w:t xml:space="preserve">Tier</w:t>
            </w:r>
          </w:p>
        </w:tc>
        <w:tc>
          <w:tcPr>
            <w:tcW w:type="dxa" w:w="3600"/>
            <w:tcBorders>
              <w:top w:val="single" w:color="8A742E" w:sz="1"/>
              <w:left w:val="single" w:color="8A742E" w:sz="1"/>
              <w:bottom w:val="single" w:color="8A742E" w:sz="1"/>
              <w:right w:val="single" w:color="8A742E" w:sz="1"/>
            </w:tcBorders>
            <w:shd w:fill="1E1A0E" w:val="clear"/>
            <w:tcMar>
              <w:top w:type="dxa" w:w="100"/>
              <w:left w:type="dxa" w:w="140"/>
              <w:bottom w:type="dxa" w:w="100"/>
              <w:right w:type="dxa" w:w="140"/>
            </w:tcMar>
          </w:tcPr>
          <w:p>
            <w:r>
              <w:rPr>
                <w:b/>
                <w:bCs/>
                <w:color w:val="C8A84B"/>
                <w:sz w:val="20"/>
                <w:szCs w:val="20"/>
              </w:rPr>
              <w:t xml:space="preserve">Product</w:t>
            </w:r>
          </w:p>
        </w:tc>
        <w:tc>
          <w:tcPr>
            <w:tcW w:type="dxa" w:w="3560"/>
            <w:tcBorders>
              <w:top w:val="single" w:color="8A742E" w:sz="1"/>
              <w:left w:val="single" w:color="8A742E" w:sz="1"/>
              <w:bottom w:val="single" w:color="8A742E" w:sz="1"/>
              <w:right w:val="single" w:color="8A742E" w:sz="1"/>
            </w:tcBorders>
            <w:shd w:fill="1E1A0E" w:val="clear"/>
            <w:tcMar>
              <w:top w:type="dxa" w:w="100"/>
              <w:left w:type="dxa" w:w="140"/>
              <w:bottom w:type="dxa" w:w="100"/>
              <w:right w:type="dxa" w:w="140"/>
            </w:tcMar>
          </w:tcPr>
          <w:p>
            <w:r>
              <w:rPr>
                <w:b/>
                <w:bCs/>
                <w:color w:val="C8A84B"/>
                <w:sz w:val="20"/>
                <w:szCs w:val="20"/>
              </w:rPr>
              <w:t xml:space="preserve">What the Collector Buys</w:t>
            </w:r>
          </w:p>
        </w:tc>
      </w:tr>
      <w:tr>
        <w:tc>
          <w:tcPr>
            <w:tcW w:type="dxa" w:w="22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1</w:t>
            </w:r>
          </w:p>
        </w:tc>
        <w:tc>
          <w:tcPr>
            <w:tcW w:type="dxa" w:w="3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b/>
                <w:bCs/>
                <w:color w:val="E8ECF0"/>
                <w:sz w:val="20"/>
                <w:szCs w:val="20"/>
              </w:rPr>
              <w:t xml:space="preserve">Character Cards</w:t>
            </w:r>
          </w:p>
        </w:tc>
        <w:tc>
          <w:tcPr>
            <w:tcW w:type="dxa" w:w="356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Identity — people collect who they recognize</w:t>
            </w:r>
          </w:p>
        </w:tc>
      </w:tr>
      <w:tr>
        <w:tc>
          <w:tcPr>
            <w:tcW w:type="dxa" w:w="22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2</w:t>
            </w:r>
          </w:p>
        </w:tc>
        <w:tc>
          <w:tcPr>
            <w:tcW w:type="dxa" w:w="3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b/>
                <w:bCs/>
                <w:color w:val="E8ECF0"/>
                <w:sz w:val="20"/>
                <w:szCs w:val="20"/>
              </w:rPr>
              <w:t xml:space="preserve">Artifact Cards</w:t>
            </w:r>
          </w:p>
        </w:tc>
        <w:tc>
          <w:tcPr>
            <w:tcW w:type="dxa" w:w="356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Transformation — people collect what things can become</w:t>
            </w:r>
          </w:p>
        </w:tc>
      </w:tr>
      <w:tr>
        <w:tc>
          <w:tcPr>
            <w:tcW w:type="dxa" w:w="22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3</w:t>
            </w:r>
          </w:p>
        </w:tc>
        <w:tc>
          <w:tcPr>
            <w:tcW w:type="dxa" w:w="3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b/>
                <w:bCs/>
                <w:color w:val="E8ECF0"/>
                <w:sz w:val="20"/>
                <w:szCs w:val="20"/>
              </w:rPr>
              <w:t xml:space="preserve">Scene Cards</w:t>
            </w:r>
          </w:p>
        </w:tc>
        <w:tc>
          <w:tcPr>
            <w:tcW w:type="dxa" w:w="356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Worlds — people collect where stories live</w:t>
            </w:r>
          </w:p>
        </w:tc>
      </w:tr>
      <w:tr>
        <w:tc>
          <w:tcPr>
            <w:tcW w:type="dxa" w:w="22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4</w:t>
            </w:r>
          </w:p>
        </w:tc>
        <w:tc>
          <w:tcPr>
            <w:tcW w:type="dxa" w:w="3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b/>
                <w:bCs/>
                <w:color w:val="C8A84B"/>
                <w:sz w:val="20"/>
                <w:szCs w:val="20"/>
              </w:rPr>
              <w:t xml:space="preserve">Generated Outputs</w:t>
            </w:r>
          </w:p>
        </w:tc>
        <w:tc>
          <w:tcPr>
            <w:tcW w:type="dxa" w:w="356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b/>
                <w:bCs/>
                <w:color w:val="C8A84B"/>
                <w:sz w:val="20"/>
                <w:szCs w:val="20"/>
              </w:rPr>
              <w:t xml:space="preserve">The premium tier.</w:t>
            </w:r>
          </w:p>
          <w:p>
            <w:r>
              <w:rPr>
                <w:color w:val="9AA4AE"/>
                <w:sz w:val="20"/>
                <w:szCs w:val="20"/>
              </w:rPr>
              <w:t xml:space="preserve"> Posters, lookbooks, wall art, motion loops, books — the proof that the engine is real</w:t>
            </w:r>
          </w:p>
        </w:tc>
      </w:tr>
    </w:tbl>
    <w:p>
      <w:pPr>
        <w:spacing w:after="160"/>
      </w:pPr>
    </w:p>
    <w:p>
      <w:pPr>
        <w:pStyle w:val="Heading2"/>
      </w:pPr>
      <w:r>
        <w:rPr>
          <w:color w:val="C8A84B"/>
        </w:rPr>
        <w:t xml:space="preserve">1.5 The Marketing Loop</w:t>
      </w:r>
    </w:p>
    <w:p>
      <w:pPr>
        <w:spacing w:after="160"/>
      </w:pPr>
      <w:r>
        <w:rPr>
          <w:b/>
          <w:bCs/>
          <w:color w:val="E8ECF0"/>
        </w:rPr>
        <w:t xml:space="preserve">Doctrine: the marketing loop and the production pipeline are the same machine. </w:t>
      </w:r>
      <w:r>
        <w:rPr>
          <w:color w:val="9AA4AE"/>
        </w:rPr>
        <w:t xml:space="preserve">Reveal → Combine → Output is Mint → Assemble → Release with the camera on. Provenance Stories are lineage records read aloud. Every Assembly is a content unit at zero additional creative cost — the structural advantage no competitor with separate content and production workstreams can match.</w:t>
      </w:r>
    </w:p>
    <w:p>
      <w:pPr>
        <w:pStyle w:val="ListParagraph"/>
        <w:numPr>
          <w:ilvl w:val="0"/>
          <w:numId w:val="3"/>
        </w:numPr>
        <w:spacing w:after="100"/>
      </w:pPr>
      <w:r>
        <w:rPr>
          <w:b/>
          <w:bCs/>
          <w:color w:val="E8ECF0"/>
        </w:rPr>
        <w:t xml:space="preserve">Reveal</w:t>
      </w:r>
      <w:r>
        <w:rPr>
          <w:color w:val="9AA4AE"/>
        </w:rPr>
        <w:t xml:space="preserve"> — a single card posts alone (character, artifact, or scene).</w:t>
      </w:r>
    </w:p>
    <w:p>
      <w:pPr>
        <w:pStyle w:val="ListParagraph"/>
        <w:numPr>
          <w:ilvl w:val="0"/>
          <w:numId w:val="3"/>
        </w:numPr>
        <w:spacing w:after="100"/>
      </w:pPr>
      <w:r>
        <w:rPr>
          <w:b/>
          <w:bCs/>
          <w:color w:val="E8ECF0"/>
        </w:rPr>
        <w:t xml:space="preserve">Combine</w:t>
      </w:r>
      <w:r>
        <w:rPr>
          <w:color w:val="9AA4AE"/>
        </w:rPr>
        <w:t xml:space="preserve"> — the Assembly is shown: which cards enter the engine.</w:t>
      </w:r>
    </w:p>
    <w:p>
      <w:pPr>
        <w:pStyle w:val="ListParagraph"/>
        <w:numPr>
          <w:ilvl w:val="0"/>
          <w:numId w:val="3"/>
        </w:numPr>
        <w:spacing w:after="100"/>
      </w:pPr>
      <w:r>
        <w:rPr>
          <w:b/>
          <w:bCs/>
          <w:color w:val="E8ECF0"/>
        </w:rPr>
        <w:t xml:space="preserve">Output</w:t>
      </w:r>
      <w:r>
        <w:rPr>
          <w:color w:val="9AA4AE"/>
        </w:rPr>
        <w:t xml:space="preserve"> — the Released State posts. Before → after lands.</w:t>
      </w:r>
    </w:p>
    <w:p>
      <w:pPr>
        <w:pStyle w:val="ListParagraph"/>
        <w:numPr>
          <w:ilvl w:val="0"/>
          <w:numId w:val="3"/>
        </w:numPr>
        <w:spacing w:after="100"/>
      </w:pPr>
      <w:r>
        <w:rPr>
          <w:b/>
          <w:bCs/>
          <w:color w:val="E8ECF0"/>
        </w:rPr>
        <w:t xml:space="preserve">Vote</w:t>
      </w:r>
      <w:r>
        <w:rPr>
          <w:color w:val="9AA4AE"/>
        </w:rPr>
        <w:t xml:space="preserve"> — the audience selects the next combination from Director-approved options.</w:t>
      </w:r>
    </w:p>
    <w:p>
      <w:pPr>
        <w:pStyle w:val="ListParagraph"/>
        <w:numPr>
          <w:ilvl w:val="0"/>
          <w:numId w:val="3"/>
        </w:numPr>
        <w:spacing w:after="100"/>
      </w:pPr>
      <w:r>
        <w:rPr>
          <w:b/>
          <w:bCs/>
          <w:color w:val="E8ECF0"/>
        </w:rPr>
        <w:t xml:space="preserve">Repeat</w:t>
      </w:r>
      <w:r>
        <w:rPr>
          <w:color w:val="9AA4AE"/>
        </w:rPr>
        <w:t xml:space="preserve"> — the chosen Assembly becomes the next cycle’s Combine step.</w:t>
      </w:r>
    </w:p>
    <w:p>
      <w:pPr>
        <w:pStyle w:val="Heading3"/>
      </w:pPr>
      <w:r>
        <w:rPr>
          <w:color w:val="E8ECF0"/>
        </w:rPr>
        <w:t xml:space="preserve">Supporting Formats</w:t>
      </w:r>
    </w:p>
    <w:p>
      <w:pPr>
        <w:pStyle w:val="ListParagraph"/>
        <w:numPr>
          <w:ilvl w:val="0"/>
          <w:numId w:val="2"/>
        </w:numPr>
        <w:spacing w:after="100"/>
      </w:pPr>
      <w:r>
        <w:rPr>
          <w:b/>
          <w:bCs/>
          <w:color w:val="E8ECF0"/>
        </w:rPr>
        <w:t xml:space="preserve">Artifact Demonstration: </w:t>
      </w:r>
      <w:r>
        <w:rPr>
          <w:color w:val="9AA4AE"/>
        </w:rPr>
        <w:t xml:space="preserve">one character, three operators, three outcomes — teaches the system in a single carousel.</w:t>
      </w:r>
    </w:p>
    <w:p>
      <w:pPr>
        <w:pStyle w:val="ListParagraph"/>
        <w:numPr>
          <w:ilvl w:val="0"/>
          <w:numId w:val="2"/>
        </w:numPr>
        <w:spacing w:after="100"/>
      </w:pPr>
      <w:r>
        <w:rPr>
          <w:b/>
          <w:bCs/>
          <w:color w:val="E8ECF0"/>
        </w:rPr>
        <w:t xml:space="preserve">Dynasty Rivalry: </w:t>
      </w:r>
      <w:r>
        <w:rPr>
          <w:color w:val="9AA4AE"/>
        </w:rPr>
        <w:t xml:space="preserve">same character, same scene, two dynasty interpretations — aesthetic rivalry, never combat.</w:t>
      </w:r>
    </w:p>
    <w:p>
      <w:pPr>
        <w:pStyle w:val="ListParagraph"/>
        <w:numPr>
          <w:ilvl w:val="0"/>
          <w:numId w:val="2"/>
        </w:numPr>
        <w:spacing w:after="100"/>
      </w:pPr>
      <w:r>
        <w:rPr>
          <w:b/>
          <w:bCs/>
          <w:color w:val="E8ECF0"/>
        </w:rPr>
        <w:t xml:space="preserve">Provenance Story: </w:t>
      </w:r>
      <w:r>
        <w:rPr>
          <w:color w:val="9AA4AE"/>
        </w:rPr>
        <w:t xml:space="preserve">current card → parent → grandparent → origin asset. The derivation path is the content.</w:t>
      </w:r>
    </w:p>
    <w:p>
      <w:pPr>
        <w:pStyle w:val="ListParagraph"/>
        <w:numPr>
          <w:ilvl w:val="0"/>
          <w:numId w:val="2"/>
        </w:numPr>
        <w:spacing w:after="100"/>
      </w:pPr>
      <w:r>
        <w:rPr>
          <w:b/>
          <w:bCs/>
          <w:color w:val="E8ECF0"/>
        </w:rPr>
        <w:t xml:space="preserve">Origin framing: </w:t>
      </w:r>
      <w:r>
        <w:rPr>
          <w:color w:val="9AA4AE"/>
        </w:rPr>
        <w:t xml:space="preserve">Foundation Set markets as the Origin Series / Generation One — meaning through foundation, not artificial scarcity.</w:t>
      </w:r>
    </w:p>
    <w:p>
      <w:pPr>
        <w:pStyle w:val="Heading3"/>
      </w:pPr>
      <w:r>
        <w:rPr>
          <w:color w:val="E8ECF0"/>
        </w:rPr>
        <w:t xml:space="preserve">The Vote Fence</w:t>
      </w:r>
    </w:p>
    <w:p>
      <w:pPr>
        <w:spacing w:after="160"/>
      </w:pPr>
      <w:r>
        <w:rPr>
          <w:b/>
          <w:bCs/>
          <w:color w:val="C0504D"/>
        </w:rPr>
        <w:t xml:space="preserve">Constitutional rule: audience votes inform, never govern. </w:t>
      </w:r>
      <w:r>
        <w:rPr>
          <w:color w:val="9AA4AE"/>
        </w:rPr>
        <w:t xml:space="preserve">Votes select among Director-approved, already-gated options or suggest future Assemblies. Votes never constitute release authority, never gate canon, never modify locks. The audience is an engagement input, not a canon actor. Only Released States post publicly — marketing cadence is therefore bounded by release cadence, by design.</w:t>
      </w:r>
    </w:p>
    <w:p>
      <w:r>
        <w:br w:type="page"/>
      </w:r>
    </w:p>
    <w:p>
      <w:pPr>
        <w:pStyle w:val="Heading1"/>
      </w:pPr>
      <w:r>
        <w:rPr>
          <w:color w:val="C8A84B"/>
        </w:rPr>
        <w:t xml:space="preserve">Part II — The Foundation Set (Minimum Viable Deck)</w:t>
      </w:r>
    </w:p>
    <w:p>
      <w:pPr>
        <w:spacing w:after="160"/>
      </w:pPr>
      <w:r>
        <w:rPr>
          <w:color w:val="9AA4AE"/>
        </w:rPr>
        <w:t xml:space="preserve">Thirty fully governed cards — 10 Characters, 10 Artifacts, 10 Scenes — every one minted under the Minting Law of FGE-CONST-LOCK-001: manifest (or domain + weight assignment), registry entry, provenance record, gravity tier, and status, before production. The library behind the curtain may hold ninety assets; the minted set is thirty.</w:t>
      </w:r>
    </w:p>
    <w:p>
      <w:pPr>
        <w:spacing w:after="160"/>
      </w:pPr>
      <w:r>
        <w:rPr>
          <w:b/>
          <w:bCs/>
          <w:color w:val="E8ECF0"/>
        </w:rPr>
        <w:t xml:space="preserve">Roster status: </w:t>
      </w:r>
      <w:r>
        <w:rPr>
          <w:color w:val="9AA4AE"/>
        </w:rPr>
        <w:t xml:space="preserve">entries marked </w:t>
      </w:r>
      <w:r>
        <w:rPr>
          <w:b/>
          <w:bCs/>
          <w:color w:val="6FA86F"/>
        </w:rPr>
        <w:t xml:space="preserve">LOCKED</w:t>
      </w:r>
      <w:r>
        <w:rPr>
          <w:color w:val="9AA4AE"/>
        </w:rPr>
        <w:t xml:space="preserve"> have existing canon authority. Entries marked </w:t>
      </w:r>
      <w:r>
        <w:rPr>
          <w:b/>
          <w:bCs/>
          <w:color w:val="C8A84B"/>
        </w:rPr>
        <w:t xml:space="preserve">PROPOSED</w:t>
      </w:r>
      <w:r>
        <w:rPr>
          <w:color w:val="9AA4AE"/>
        </w:rPr>
        <w:t xml:space="preserve"> are drawn from the existing FGE corpus and require dossier + manifest before minting. Open slots are Director assignments from the origin layer.</w:t>
      </w:r>
    </w:p>
    <w:p>
      <w:pPr>
        <w:pStyle w:val="Heading2"/>
      </w:pPr>
      <w:r>
        <w:rPr>
          <w:color w:val="C8A84B"/>
        </w:rPr>
        <w:t xml:space="preserve">2.1 Character Roster (Narrative —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1700"/>
        <w:gridCol w:w="1600"/>
        <w:gridCol w:w="2760"/>
      </w:tblGrid>
      <w:tr>
        <w:trPr>
          <w:tblHeader/>
        </w:trPr>
        <w:tc>
          <w:tcPr>
            <w:tcW w:type="dxa" w:w="600"/>
            <w:tcBorders>
              <w:top w:val="single" w:color="8A742E" w:sz="1"/>
              <w:left w:val="single" w:color="8A742E" w:sz="1"/>
              <w:bottom w:val="single" w:color="8A742E" w:sz="1"/>
              <w:right w:val="single" w:color="8A742E" w:sz="1"/>
            </w:tcBorders>
            <w:shd w:fill="1E1A0E" w:val="clear"/>
            <w:tcMar>
              <w:top w:type="dxa" w:w="100"/>
              <w:left w:type="dxa" w:w="140"/>
              <w:bottom w:type="dxa" w:w="100"/>
              <w:right w:type="dxa" w:w="140"/>
            </w:tcMar>
          </w:tcPr>
          <w:p>
            <w:r>
              <w:rPr>
                <w:b/>
                <w:bCs/>
                <w:color w:val="C8A84B"/>
                <w:sz w:val="20"/>
                <w:szCs w:val="20"/>
              </w:rPr>
              <w:t xml:space="preserve">#</w:t>
            </w:r>
          </w:p>
        </w:tc>
        <w:tc>
          <w:tcPr>
            <w:tcW w:type="dxa" w:w="2700"/>
            <w:tcBorders>
              <w:top w:val="single" w:color="8A742E" w:sz="1"/>
              <w:left w:val="single" w:color="8A742E" w:sz="1"/>
              <w:bottom w:val="single" w:color="8A742E" w:sz="1"/>
              <w:right w:val="single" w:color="8A742E" w:sz="1"/>
            </w:tcBorders>
            <w:shd w:fill="1E1A0E" w:val="clear"/>
            <w:tcMar>
              <w:top w:type="dxa" w:w="100"/>
              <w:left w:type="dxa" w:w="140"/>
              <w:bottom w:type="dxa" w:w="100"/>
              <w:right w:type="dxa" w:w="140"/>
            </w:tcMar>
          </w:tcPr>
          <w:p>
            <w:r>
              <w:rPr>
                <w:b/>
                <w:bCs/>
                <w:color w:val="C8A84B"/>
                <w:sz w:val="20"/>
                <w:szCs w:val="20"/>
              </w:rPr>
              <w:t xml:space="preserve">Card</w:t>
            </w:r>
          </w:p>
        </w:tc>
        <w:tc>
          <w:tcPr>
            <w:tcW w:type="dxa" w:w="1700"/>
            <w:tcBorders>
              <w:top w:val="single" w:color="8A742E" w:sz="1"/>
              <w:left w:val="single" w:color="8A742E" w:sz="1"/>
              <w:bottom w:val="single" w:color="8A742E" w:sz="1"/>
              <w:right w:val="single" w:color="8A742E" w:sz="1"/>
            </w:tcBorders>
            <w:shd w:fill="1E1A0E" w:val="clear"/>
            <w:tcMar>
              <w:top w:type="dxa" w:w="100"/>
              <w:left w:type="dxa" w:w="140"/>
              <w:bottom w:type="dxa" w:w="100"/>
              <w:right w:type="dxa" w:w="140"/>
            </w:tcMar>
          </w:tcPr>
          <w:p>
            <w:r>
              <w:rPr>
                <w:b/>
                <w:bCs/>
                <w:color w:val="C8A84B"/>
                <w:sz w:val="20"/>
                <w:szCs w:val="20"/>
              </w:rPr>
              <w:t xml:space="preserve">Status</w:t>
            </w:r>
          </w:p>
        </w:tc>
        <w:tc>
          <w:tcPr>
            <w:tcW w:type="dxa" w:w="1600"/>
            <w:tcBorders>
              <w:top w:val="single" w:color="8A742E" w:sz="1"/>
              <w:left w:val="single" w:color="8A742E" w:sz="1"/>
              <w:bottom w:val="single" w:color="8A742E" w:sz="1"/>
              <w:right w:val="single" w:color="8A742E" w:sz="1"/>
            </w:tcBorders>
            <w:shd w:fill="1E1A0E" w:val="clear"/>
            <w:tcMar>
              <w:top w:type="dxa" w:w="100"/>
              <w:left w:type="dxa" w:w="140"/>
              <w:bottom w:type="dxa" w:w="100"/>
              <w:right w:type="dxa" w:w="140"/>
            </w:tcMar>
          </w:tcPr>
          <w:p>
            <w:r>
              <w:rPr>
                <w:b/>
                <w:bCs/>
                <w:color w:val="C8A84B"/>
                <w:sz w:val="20"/>
                <w:szCs w:val="20"/>
              </w:rPr>
              <w:t xml:space="preserve">Gravity</w:t>
            </w:r>
          </w:p>
        </w:tc>
        <w:tc>
          <w:tcPr>
            <w:tcW w:type="dxa" w:w="2760"/>
            <w:tcBorders>
              <w:top w:val="single" w:color="8A742E" w:sz="1"/>
              <w:left w:val="single" w:color="8A742E" w:sz="1"/>
              <w:bottom w:val="single" w:color="8A742E" w:sz="1"/>
              <w:right w:val="single" w:color="8A742E" w:sz="1"/>
            </w:tcBorders>
            <w:shd w:fill="1E1A0E" w:val="clear"/>
            <w:tcMar>
              <w:top w:type="dxa" w:w="100"/>
              <w:left w:type="dxa" w:w="140"/>
              <w:bottom w:type="dxa" w:w="100"/>
              <w:right w:type="dxa" w:w="140"/>
            </w:tcMar>
          </w:tcPr>
          <w:p>
            <w:r>
              <w:rPr>
                <w:b/>
                <w:bCs/>
                <w:color w:val="C8A84B"/>
                <w:sz w:val="20"/>
                <w:szCs w:val="20"/>
              </w:rPr>
              <w:t xml:space="preserve">Note</w:t>
            </w:r>
          </w:p>
        </w:tc>
      </w:tr>
      <w:tr>
        <w:tc>
          <w:tcPr>
            <w:tcW w:type="dxa" w:w="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01</w:t>
            </w:r>
          </w:p>
        </w:tc>
        <w:tc>
          <w:tcPr>
            <w:tcW w:type="dxa" w:w="2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b/>
                <w:bCs/>
                <w:color w:val="E8ECF0"/>
                <w:sz w:val="20"/>
                <w:szCs w:val="20"/>
              </w:rPr>
              <w:t xml:space="preserve">Isolde Voss — Anomaly Vessel</w:t>
            </w:r>
          </w:p>
        </w:tc>
        <w:tc>
          <w:tcPr>
            <w:tcW w:type="dxa" w:w="1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b/>
                <w:bCs/>
                <w:color w:val="6FA86F"/>
                <w:sz w:val="20"/>
                <w:szCs w:val="20"/>
              </w:rPr>
              <w:t xml:space="preserve">LOCKED</w:t>
            </w:r>
          </w:p>
        </w:tc>
        <w:tc>
          <w:tcPr>
            <w:tcW w:type="dxa" w:w="1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Major (Ω auto)</w:t>
            </w:r>
          </w:p>
        </w:tc>
        <w:tc>
          <w:tcPr>
            <w:tcW w:type="dxa" w:w="276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Dossier v3 complete; Master Anchor exists; manifest derives directly</w:t>
            </w:r>
          </w:p>
        </w:tc>
      </w:tr>
      <w:tr>
        <w:tc>
          <w:tcPr>
            <w:tcW w:type="dxa" w:w="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02</w:t>
            </w:r>
          </w:p>
        </w:tc>
        <w:tc>
          <w:tcPr>
            <w:tcW w:type="dxa" w:w="2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b/>
                <w:bCs/>
                <w:color w:val="E8ECF0"/>
                <w:sz w:val="20"/>
                <w:szCs w:val="20"/>
              </w:rPr>
              <w:t xml:space="preserve">Calista Voss</w:t>
            </w:r>
          </w:p>
        </w:tc>
        <w:tc>
          <w:tcPr>
            <w:tcW w:type="dxa" w:w="1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b/>
                <w:bCs/>
                <w:color w:val="C8A84B"/>
                <w:sz w:val="20"/>
                <w:szCs w:val="20"/>
              </w:rPr>
              <w:t xml:space="preserve">PROPOSED</w:t>
            </w:r>
          </w:p>
        </w:tc>
        <w:tc>
          <w:tcPr>
            <w:tcW w:type="dxa" w:w="1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Major</w:t>
            </w:r>
          </w:p>
        </w:tc>
        <w:tc>
          <w:tcPr>
            <w:tcW w:type="dxa" w:w="276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Dossier is the gating task — unlocks constellation panel and first multi-subject era</w:t>
            </w:r>
          </w:p>
        </w:tc>
      </w:tr>
      <w:tr>
        <w:tc>
          <w:tcPr>
            <w:tcW w:type="dxa" w:w="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03</w:t>
            </w:r>
          </w:p>
        </w:tc>
        <w:tc>
          <w:tcPr>
            <w:tcW w:type="dxa" w:w="2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b/>
                <w:bCs/>
                <w:color w:val="E8ECF0"/>
                <w:sz w:val="20"/>
                <w:szCs w:val="20"/>
              </w:rPr>
              <w:t xml:space="preserve">NyxVeil Echo</w:t>
            </w:r>
          </w:p>
        </w:tc>
        <w:tc>
          <w:tcPr>
            <w:tcW w:type="dxa" w:w="1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b/>
                <w:bCs/>
                <w:color w:val="C8A84B"/>
                <w:sz w:val="20"/>
                <w:szCs w:val="20"/>
              </w:rPr>
              <w:t xml:space="preserve">PROPOSED</w:t>
            </w:r>
          </w:p>
        </w:tc>
        <w:tc>
          <w:tcPr>
            <w:tcW w:type="dxa" w:w="1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Secondary</w:t>
            </w:r>
          </w:p>
        </w:tc>
        <w:tc>
          <w:tcPr>
            <w:tcW w:type="dxa" w:w="276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Morphogenesis Pipeline origin asset — ethereal memory-mystic, voidfur silhouette</w:t>
            </w:r>
          </w:p>
        </w:tc>
      </w:tr>
      <w:tr>
        <w:tc>
          <w:tcPr>
            <w:tcW w:type="dxa" w:w="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04</w:t>
            </w:r>
          </w:p>
        </w:tc>
        <w:tc>
          <w:tcPr>
            <w:tcW w:type="dxa" w:w="2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b/>
                <w:bCs/>
                <w:color w:val="E8ECF0"/>
                <w:sz w:val="20"/>
                <w:szCs w:val="20"/>
              </w:rPr>
              <w:t xml:space="preserve">Veilroot Warden</w:t>
            </w:r>
          </w:p>
        </w:tc>
        <w:tc>
          <w:tcPr>
            <w:tcW w:type="dxa" w:w="1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b/>
                <w:bCs/>
                <w:color w:val="C8A84B"/>
                <w:sz w:val="20"/>
                <w:szCs w:val="20"/>
              </w:rPr>
              <w:t xml:space="preserve">PROPOSED</w:t>
            </w:r>
          </w:p>
        </w:tc>
        <w:tc>
          <w:tcPr>
            <w:tcW w:type="dxa" w:w="1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Secondary</w:t>
            </w:r>
          </w:p>
        </w:tc>
        <w:tc>
          <w:tcPr>
            <w:tcW w:type="dxa" w:w="276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Morphogenesis origin asset — rooted guardian, remembers every wound</w:t>
            </w:r>
          </w:p>
        </w:tc>
      </w:tr>
      <w:tr>
        <w:tc>
          <w:tcPr>
            <w:tcW w:type="dxa" w:w="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05</w:t>
            </w:r>
          </w:p>
        </w:tc>
        <w:tc>
          <w:tcPr>
            <w:tcW w:type="dxa" w:w="2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b/>
                <w:bCs/>
                <w:color w:val="E8ECF0"/>
                <w:sz w:val="20"/>
                <w:szCs w:val="20"/>
              </w:rPr>
              <w:t xml:space="preserve">Ironroot Behemoth</w:t>
            </w:r>
          </w:p>
        </w:tc>
        <w:tc>
          <w:tcPr>
            <w:tcW w:type="dxa" w:w="1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b/>
                <w:bCs/>
                <w:color w:val="C8A84B"/>
                <w:sz w:val="20"/>
                <w:szCs w:val="20"/>
              </w:rPr>
              <w:t xml:space="preserve">PROPOSED</w:t>
            </w:r>
          </w:p>
        </w:tc>
        <w:tc>
          <w:tcPr>
            <w:tcW w:type="dxa" w:w="1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Secondary</w:t>
            </w:r>
          </w:p>
        </w:tc>
        <w:tc>
          <w:tcPr>
            <w:tcW w:type="dxa" w:w="276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Morphogenesis origin asset — monumental scale anchor for the set</w:t>
            </w:r>
          </w:p>
        </w:tc>
      </w:tr>
      <w:tr>
        <w:tc>
          <w:tcPr>
            <w:tcW w:type="dxa" w:w="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06–10</w:t>
            </w:r>
          </w:p>
        </w:tc>
        <w:tc>
          <w:tcPr>
            <w:tcW w:type="dxa" w:w="2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i/>
                <w:iCs/>
                <w:color w:val="9AA4AE"/>
                <w:sz w:val="20"/>
                <w:szCs w:val="20"/>
              </w:rPr>
              <w:t xml:space="preserve">Director assignment</w:t>
            </w:r>
          </w:p>
        </w:tc>
        <w:tc>
          <w:tcPr>
            <w:tcW w:type="dxa" w:w="1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b/>
                <w:bCs/>
                <w:color w:val="5A646E"/>
                <w:sz w:val="20"/>
                <w:szCs w:val="20"/>
              </w:rPr>
              <w:t xml:space="preserve">OPEN</w:t>
            </w:r>
          </w:p>
        </w:tc>
        <w:tc>
          <w:tcPr>
            <w:tcW w:type="dxa" w:w="1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w:t>
            </w:r>
          </w:p>
        </w:tc>
        <w:tc>
          <w:tcPr>
            <w:tcW w:type="dxa" w:w="276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Five origin-layer characters, selected for material diversity: at least one Pearl-dominant, one Kintsugi-dominant, one Metal-dominant identity</w:t>
            </w:r>
          </w:p>
        </w:tc>
      </w:tr>
    </w:tbl>
    <w:p>
      <w:pPr>
        <w:spacing w:after="160"/>
      </w:pPr>
    </w:p>
    <w:p>
      <w:pPr>
        <w:pStyle w:val="Heading2"/>
      </w:pPr>
      <w:r>
        <w:rPr>
          <w:color w:val="C8A84B"/>
        </w:rPr>
        <w:t xml:space="preserve">2.2 Artifact Roster (Operators — Transformation)</w:t>
      </w:r>
    </w:p>
    <w:p>
      <w:pPr>
        <w:spacing w:after="160"/>
      </w:pPr>
      <w:r>
        <w:rPr>
          <w:color w:val="9AA4AE"/>
        </w:rPr>
        <w:t xml:space="preserve">Weighted material-first per the Brand Law: six Material-domain operators — the five signature materials plus the fracture act itself — two Light, one Form, one Environment. The first ten Artifacts are the brand’s first public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1700"/>
        <w:gridCol w:w="1600"/>
        <w:gridCol w:w="2700"/>
      </w:tblGrid>
      <w:tr>
        <w:trPr>
          <w:tblHeader/>
        </w:trPr>
        <w:tc>
          <w:tcPr>
            <w:tcW w:type="dxa" w:w="600"/>
            <w:tcBorders>
              <w:top w:val="single" w:color="8A742E" w:sz="1"/>
              <w:left w:val="single" w:color="8A742E" w:sz="1"/>
              <w:bottom w:val="single" w:color="8A742E" w:sz="1"/>
              <w:right w:val="single" w:color="8A742E" w:sz="1"/>
            </w:tcBorders>
            <w:shd w:fill="1E1A0E" w:val="clear"/>
            <w:tcMar>
              <w:top w:type="dxa" w:w="100"/>
              <w:left w:type="dxa" w:w="140"/>
              <w:bottom w:type="dxa" w:w="100"/>
              <w:right w:type="dxa" w:w="140"/>
            </w:tcMar>
          </w:tcPr>
          <w:p>
            <w:r>
              <w:rPr>
                <w:b/>
                <w:bCs/>
                <w:color w:val="C8A84B"/>
                <w:sz w:val="20"/>
                <w:szCs w:val="20"/>
              </w:rPr>
              <w:t xml:space="preserve">#</w:t>
            </w:r>
          </w:p>
        </w:tc>
        <w:tc>
          <w:tcPr>
            <w:tcW w:type="dxa" w:w="2760"/>
            <w:tcBorders>
              <w:top w:val="single" w:color="8A742E" w:sz="1"/>
              <w:left w:val="single" w:color="8A742E" w:sz="1"/>
              <w:bottom w:val="single" w:color="8A742E" w:sz="1"/>
              <w:right w:val="single" w:color="8A742E" w:sz="1"/>
            </w:tcBorders>
            <w:shd w:fill="1E1A0E" w:val="clear"/>
            <w:tcMar>
              <w:top w:type="dxa" w:w="100"/>
              <w:left w:type="dxa" w:w="140"/>
              <w:bottom w:type="dxa" w:w="100"/>
              <w:right w:type="dxa" w:w="140"/>
            </w:tcMar>
          </w:tcPr>
          <w:p>
            <w:r>
              <w:rPr>
                <w:b/>
                <w:bCs/>
                <w:color w:val="C8A84B"/>
                <w:sz w:val="20"/>
                <w:szCs w:val="20"/>
              </w:rPr>
              <w:t xml:space="preserve">Card</w:t>
            </w:r>
          </w:p>
        </w:tc>
        <w:tc>
          <w:tcPr>
            <w:tcW w:type="dxa" w:w="1700"/>
            <w:tcBorders>
              <w:top w:val="single" w:color="8A742E" w:sz="1"/>
              <w:left w:val="single" w:color="8A742E" w:sz="1"/>
              <w:bottom w:val="single" w:color="8A742E" w:sz="1"/>
              <w:right w:val="single" w:color="8A742E" w:sz="1"/>
            </w:tcBorders>
            <w:shd w:fill="1E1A0E" w:val="clear"/>
            <w:tcMar>
              <w:top w:type="dxa" w:w="100"/>
              <w:left w:type="dxa" w:w="140"/>
              <w:bottom w:type="dxa" w:w="100"/>
              <w:right w:type="dxa" w:w="140"/>
            </w:tcMar>
          </w:tcPr>
          <w:p>
            <w:r>
              <w:rPr>
                <w:b/>
                <w:bCs/>
                <w:color w:val="C8A84B"/>
                <w:sz w:val="20"/>
                <w:szCs w:val="20"/>
              </w:rPr>
              <w:t xml:space="preserve">Domain</w:t>
            </w:r>
          </w:p>
        </w:tc>
        <w:tc>
          <w:tcPr>
            <w:tcW w:type="dxa" w:w="1600"/>
            <w:tcBorders>
              <w:top w:val="single" w:color="8A742E" w:sz="1"/>
              <w:left w:val="single" w:color="8A742E" w:sz="1"/>
              <w:bottom w:val="single" w:color="8A742E" w:sz="1"/>
              <w:right w:val="single" w:color="8A742E" w:sz="1"/>
            </w:tcBorders>
            <w:shd w:fill="1E1A0E" w:val="clear"/>
            <w:tcMar>
              <w:top w:type="dxa" w:w="100"/>
              <w:left w:type="dxa" w:w="140"/>
              <w:bottom w:type="dxa" w:w="100"/>
              <w:right w:type="dxa" w:w="140"/>
            </w:tcMar>
          </w:tcPr>
          <w:p>
            <w:r>
              <w:rPr>
                <w:b/>
                <w:bCs/>
                <w:color w:val="C8A84B"/>
                <w:sz w:val="20"/>
                <w:szCs w:val="20"/>
              </w:rPr>
              <w:t xml:space="preserve">Weight</w:t>
            </w:r>
          </w:p>
        </w:tc>
        <w:tc>
          <w:tcPr>
            <w:tcW w:type="dxa" w:w="2700"/>
            <w:tcBorders>
              <w:top w:val="single" w:color="8A742E" w:sz="1"/>
              <w:left w:val="single" w:color="8A742E" w:sz="1"/>
              <w:bottom w:val="single" w:color="8A742E" w:sz="1"/>
              <w:right w:val="single" w:color="8A742E" w:sz="1"/>
            </w:tcBorders>
            <w:shd w:fill="1E1A0E" w:val="clear"/>
            <w:tcMar>
              <w:top w:type="dxa" w:w="100"/>
              <w:left w:type="dxa" w:w="140"/>
              <w:bottom w:type="dxa" w:w="100"/>
              <w:right w:type="dxa" w:w="140"/>
            </w:tcMar>
          </w:tcPr>
          <w:p>
            <w:r>
              <w:rPr>
                <w:b/>
                <w:bCs/>
                <w:color w:val="C8A84B"/>
                <w:sz w:val="20"/>
                <w:szCs w:val="20"/>
              </w:rPr>
              <w:t xml:space="preserve">Effect</w:t>
            </w:r>
          </w:p>
        </w:tc>
      </w:tr>
      <w:tr>
        <w:tc>
          <w:tcPr>
            <w:tcW w:type="dxa" w:w="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01</w:t>
            </w:r>
          </w:p>
        </w:tc>
        <w:tc>
          <w:tcPr>
            <w:tcW w:type="dxa" w:w="276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b/>
                <w:bCs/>
                <w:color w:val="E8ECF0"/>
                <w:sz w:val="20"/>
                <w:szCs w:val="20"/>
              </w:rPr>
              <w:t xml:space="preserve">Mirror Fracture</w:t>
            </w:r>
          </w:p>
        </w:tc>
        <w:tc>
          <w:tcPr>
            <w:tcW w:type="dxa" w:w="1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Material</w:t>
            </w:r>
          </w:p>
        </w:tc>
        <w:tc>
          <w:tcPr>
            <w:tcW w:type="dxa" w:w="1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3 — Dominant</w:t>
            </w:r>
          </w:p>
        </w:tc>
        <w:tc>
          <w:tcPr>
            <w:tcW w:type="dxa" w:w="2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Subject and scene shatter into mirrored shard-planes; fracture propagation at Dragon Ratio</w:t>
            </w:r>
          </w:p>
        </w:tc>
      </w:tr>
      <w:tr>
        <w:tc>
          <w:tcPr>
            <w:tcW w:type="dxa" w:w="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02</w:t>
            </w:r>
          </w:p>
        </w:tc>
        <w:tc>
          <w:tcPr>
            <w:tcW w:type="dxa" w:w="276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b/>
                <w:bCs/>
                <w:color w:val="E8ECF0"/>
                <w:sz w:val="20"/>
                <w:szCs w:val="20"/>
              </w:rPr>
              <w:t xml:space="preserve">Kintsugi Ascension</w:t>
            </w:r>
          </w:p>
        </w:tc>
        <w:tc>
          <w:tcPr>
            <w:tcW w:type="dxa" w:w="1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Material</w:t>
            </w:r>
          </w:p>
        </w:tc>
        <w:tc>
          <w:tcPr>
            <w:tcW w:type="dxa" w:w="1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2 — Supporting</w:t>
            </w:r>
          </w:p>
        </w:tc>
        <w:tc>
          <w:tcPr>
            <w:tcW w:type="dxa" w:w="2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Existing fractures fill with molten gold seams; damage becomes ornament</w:t>
            </w:r>
          </w:p>
        </w:tc>
      </w:tr>
      <w:tr>
        <w:tc>
          <w:tcPr>
            <w:tcW w:type="dxa" w:w="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03</w:t>
            </w:r>
          </w:p>
        </w:tc>
        <w:tc>
          <w:tcPr>
            <w:tcW w:type="dxa" w:w="276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b/>
                <w:bCs/>
                <w:color w:val="E8ECF0"/>
                <w:sz w:val="20"/>
                <w:szCs w:val="20"/>
              </w:rPr>
              <w:t xml:space="preserve">Obsidian Veil</w:t>
            </w:r>
          </w:p>
        </w:tc>
        <w:tc>
          <w:tcPr>
            <w:tcW w:type="dxa" w:w="1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Material</w:t>
            </w:r>
          </w:p>
        </w:tc>
        <w:tc>
          <w:tcPr>
            <w:tcW w:type="dxa" w:w="1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2 — Supporting</w:t>
            </w:r>
          </w:p>
        </w:tc>
        <w:tc>
          <w:tcPr>
            <w:tcW w:type="dxa" w:w="2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Surfaces deepen to volcanic-glass black with internal depth reflections</w:t>
            </w:r>
          </w:p>
        </w:tc>
      </w:tr>
      <w:tr>
        <w:tc>
          <w:tcPr>
            <w:tcW w:type="dxa" w:w="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04</w:t>
            </w:r>
          </w:p>
        </w:tc>
        <w:tc>
          <w:tcPr>
            <w:tcW w:type="dxa" w:w="276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b/>
                <w:bCs/>
                <w:color w:val="E8ECF0"/>
                <w:sz w:val="20"/>
                <w:szCs w:val="20"/>
              </w:rPr>
              <w:t xml:space="preserve">Pearl Bloom</w:t>
            </w:r>
          </w:p>
        </w:tc>
        <w:tc>
          <w:tcPr>
            <w:tcW w:type="dxa" w:w="1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Material</w:t>
            </w:r>
          </w:p>
        </w:tc>
        <w:tc>
          <w:tcPr>
            <w:tcW w:type="dxa" w:w="1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2 — Supporting</w:t>
            </w:r>
          </w:p>
        </w:tc>
        <w:tc>
          <w:tcPr>
            <w:tcW w:type="dxa" w:w="2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Thin-film iridescence blooms across skin and surface boundaries</w:t>
            </w:r>
          </w:p>
        </w:tc>
      </w:tr>
      <w:tr>
        <w:tc>
          <w:tcPr>
            <w:tcW w:type="dxa" w:w="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05</w:t>
            </w:r>
          </w:p>
        </w:tc>
        <w:tc>
          <w:tcPr>
            <w:tcW w:type="dxa" w:w="276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b/>
                <w:bCs/>
                <w:color w:val="E8ECF0"/>
                <w:sz w:val="20"/>
                <w:szCs w:val="20"/>
              </w:rPr>
              <w:t xml:space="preserve">Labradorite Surge</w:t>
            </w:r>
          </w:p>
        </w:tc>
        <w:tc>
          <w:tcPr>
            <w:tcW w:type="dxa" w:w="1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Material</w:t>
            </w:r>
          </w:p>
        </w:tc>
        <w:tc>
          <w:tcPr>
            <w:tcW w:type="dxa" w:w="1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1 — Accent</w:t>
            </w:r>
          </w:p>
        </w:tc>
        <w:tc>
          <w:tcPr>
            <w:tcW w:type="dxa" w:w="2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Labradorescence flash within dark surfaces — internal light caught at angle</w:t>
            </w:r>
          </w:p>
        </w:tc>
      </w:tr>
      <w:tr>
        <w:tc>
          <w:tcPr>
            <w:tcW w:type="dxa" w:w="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06</w:t>
            </w:r>
          </w:p>
        </w:tc>
        <w:tc>
          <w:tcPr>
            <w:tcW w:type="dxa" w:w="276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b/>
                <w:bCs/>
                <w:color w:val="E8ECF0"/>
                <w:sz w:val="20"/>
                <w:szCs w:val="20"/>
              </w:rPr>
              <w:t xml:space="preserve">Chrome Sanctify</w:t>
            </w:r>
          </w:p>
        </w:tc>
        <w:tc>
          <w:tcPr>
            <w:tcW w:type="dxa" w:w="1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Material</w:t>
            </w:r>
          </w:p>
        </w:tc>
        <w:tc>
          <w:tcPr>
            <w:tcW w:type="dxa" w:w="1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2 — Supporting</w:t>
            </w:r>
          </w:p>
        </w:tc>
        <w:tc>
          <w:tcPr>
            <w:tcW w:type="dxa" w:w="2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Official metal rendering pass — liquid-metal precision on selected elements</w:t>
            </w:r>
          </w:p>
        </w:tc>
      </w:tr>
      <w:tr>
        <w:tc>
          <w:tcPr>
            <w:tcW w:type="dxa" w:w="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07</w:t>
            </w:r>
          </w:p>
        </w:tc>
        <w:tc>
          <w:tcPr>
            <w:tcW w:type="dxa" w:w="276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b/>
                <w:bCs/>
                <w:color w:val="E8ECF0"/>
                <w:sz w:val="20"/>
                <w:szCs w:val="20"/>
              </w:rPr>
              <w:t xml:space="preserve">Solar Bloom</w:t>
            </w:r>
          </w:p>
        </w:tc>
        <w:tc>
          <w:tcPr>
            <w:tcW w:type="dxa" w:w="1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Light</w:t>
            </w:r>
          </w:p>
        </w:tc>
        <w:tc>
          <w:tcPr>
            <w:tcW w:type="dxa" w:w="1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3 — Dominant</w:t>
            </w:r>
          </w:p>
        </w:tc>
        <w:tc>
          <w:tcPr>
            <w:tcW w:type="dxa" w:w="2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A single overwhelming warm key light consumes the tenebrist field</w:t>
            </w:r>
          </w:p>
        </w:tc>
      </w:tr>
      <w:tr>
        <w:tc>
          <w:tcPr>
            <w:tcW w:type="dxa" w:w="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08</w:t>
            </w:r>
          </w:p>
        </w:tc>
        <w:tc>
          <w:tcPr>
            <w:tcW w:type="dxa" w:w="276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b/>
                <w:bCs/>
                <w:color w:val="E8ECF0"/>
                <w:sz w:val="20"/>
                <w:szCs w:val="20"/>
              </w:rPr>
              <w:t xml:space="preserve">Tenebrist Crown</w:t>
            </w:r>
          </w:p>
        </w:tc>
        <w:tc>
          <w:tcPr>
            <w:tcW w:type="dxa" w:w="1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Light</w:t>
            </w:r>
          </w:p>
        </w:tc>
        <w:tc>
          <w:tcPr>
            <w:tcW w:type="dxa" w:w="1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1 — Accent</w:t>
            </w:r>
          </w:p>
        </w:tc>
        <w:tc>
          <w:tcPr>
            <w:tcW w:type="dxa" w:w="2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Hard single-source rim light isolates the subject against absolute black</w:t>
            </w:r>
          </w:p>
        </w:tc>
      </w:tr>
      <w:tr>
        <w:tc>
          <w:tcPr>
            <w:tcW w:type="dxa" w:w="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09</w:t>
            </w:r>
          </w:p>
        </w:tc>
        <w:tc>
          <w:tcPr>
            <w:tcW w:type="dxa" w:w="276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b/>
                <w:bCs/>
                <w:color w:val="E8ECF0"/>
                <w:sz w:val="20"/>
                <w:szCs w:val="20"/>
              </w:rPr>
              <w:t xml:space="preserve">Obsidian Crown</w:t>
            </w:r>
          </w:p>
        </w:tc>
        <w:tc>
          <w:tcPr>
            <w:tcW w:type="dxa" w:w="1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Form</w:t>
            </w:r>
          </w:p>
        </w:tc>
        <w:tc>
          <w:tcPr>
            <w:tcW w:type="dxa" w:w="1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1 — Accent</w:t>
            </w:r>
          </w:p>
        </w:tc>
        <w:tc>
          <w:tcPr>
            <w:tcW w:type="dxa" w:w="2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Crown/regalia structure of fractured volcanic glass manifests on the subject</w:t>
            </w:r>
          </w:p>
        </w:tc>
      </w:tr>
      <w:tr>
        <w:tc>
          <w:tcPr>
            <w:tcW w:type="dxa" w:w="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10</w:t>
            </w:r>
          </w:p>
        </w:tc>
        <w:tc>
          <w:tcPr>
            <w:tcW w:type="dxa" w:w="276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b/>
                <w:bCs/>
                <w:color w:val="E8ECF0"/>
                <w:sz w:val="20"/>
                <w:szCs w:val="20"/>
              </w:rPr>
              <w:t xml:space="preserve">Dust Corruption</w:t>
            </w:r>
          </w:p>
        </w:tc>
        <w:tc>
          <w:tcPr>
            <w:tcW w:type="dxa" w:w="1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Environment</w:t>
            </w:r>
          </w:p>
        </w:tc>
        <w:tc>
          <w:tcPr>
            <w:tcW w:type="dxa" w:w="1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3 — Dominant</w:t>
            </w:r>
          </w:p>
        </w:tc>
        <w:tc>
          <w:tcPr>
            <w:tcW w:type="dxa" w:w="2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The world decays to particulate ash-field; atmosphere thickens to crimson dust</w:t>
            </w:r>
          </w:p>
        </w:tc>
      </w:tr>
    </w:tbl>
    <w:p>
      <w:pPr>
        <w:spacing w:after="160"/>
      </w:pPr>
    </w:p>
    <w:p>
      <w:pPr>
        <w:pStyle w:val="Heading2"/>
      </w:pPr>
      <w:r>
        <w:rPr>
          <w:color w:val="C8A84B"/>
        </w:rPr>
        <w:t xml:space="preserve">2.3 Scene Roster (Narrative — Worlds)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700"/>
        <w:gridCol w:w="4260"/>
      </w:tblGrid>
      <w:tr>
        <w:trPr>
          <w:tblHeader/>
        </w:trPr>
        <w:tc>
          <w:tcPr>
            <w:tcW w:type="dxa" w:w="600"/>
            <w:tcBorders>
              <w:top w:val="single" w:color="8A742E" w:sz="1"/>
              <w:left w:val="single" w:color="8A742E" w:sz="1"/>
              <w:bottom w:val="single" w:color="8A742E" w:sz="1"/>
              <w:right w:val="single" w:color="8A742E" w:sz="1"/>
            </w:tcBorders>
            <w:shd w:fill="1E1A0E" w:val="clear"/>
            <w:tcMar>
              <w:top w:type="dxa" w:w="100"/>
              <w:left w:type="dxa" w:w="140"/>
              <w:bottom w:type="dxa" w:w="100"/>
              <w:right w:type="dxa" w:w="140"/>
            </w:tcMar>
          </w:tcPr>
          <w:p>
            <w:r>
              <w:rPr>
                <w:b/>
                <w:bCs/>
                <w:color w:val="C8A84B"/>
                <w:sz w:val="20"/>
                <w:szCs w:val="20"/>
              </w:rPr>
              <w:t xml:space="preserve">#</w:t>
            </w:r>
          </w:p>
        </w:tc>
        <w:tc>
          <w:tcPr>
            <w:tcW w:type="dxa" w:w="2800"/>
            <w:tcBorders>
              <w:top w:val="single" w:color="8A742E" w:sz="1"/>
              <w:left w:val="single" w:color="8A742E" w:sz="1"/>
              <w:bottom w:val="single" w:color="8A742E" w:sz="1"/>
              <w:right w:val="single" w:color="8A742E" w:sz="1"/>
            </w:tcBorders>
            <w:shd w:fill="1E1A0E" w:val="clear"/>
            <w:tcMar>
              <w:top w:type="dxa" w:w="100"/>
              <w:left w:type="dxa" w:w="140"/>
              <w:bottom w:type="dxa" w:w="100"/>
              <w:right w:type="dxa" w:w="140"/>
            </w:tcMar>
          </w:tcPr>
          <w:p>
            <w:r>
              <w:rPr>
                <w:b/>
                <w:bCs/>
                <w:color w:val="C8A84B"/>
                <w:sz w:val="20"/>
                <w:szCs w:val="20"/>
              </w:rPr>
              <w:t xml:space="preserve">Card</w:t>
            </w:r>
          </w:p>
        </w:tc>
        <w:tc>
          <w:tcPr>
            <w:tcW w:type="dxa" w:w="1700"/>
            <w:tcBorders>
              <w:top w:val="single" w:color="8A742E" w:sz="1"/>
              <w:left w:val="single" w:color="8A742E" w:sz="1"/>
              <w:bottom w:val="single" w:color="8A742E" w:sz="1"/>
              <w:right w:val="single" w:color="8A742E" w:sz="1"/>
            </w:tcBorders>
            <w:shd w:fill="1E1A0E" w:val="clear"/>
            <w:tcMar>
              <w:top w:type="dxa" w:w="100"/>
              <w:left w:type="dxa" w:w="140"/>
              <w:bottom w:type="dxa" w:w="100"/>
              <w:right w:type="dxa" w:w="140"/>
            </w:tcMar>
          </w:tcPr>
          <w:p>
            <w:r>
              <w:rPr>
                <w:b/>
                <w:bCs/>
                <w:color w:val="C8A84B"/>
                <w:sz w:val="20"/>
                <w:szCs w:val="20"/>
              </w:rPr>
              <w:t xml:space="preserve">Status</w:t>
            </w:r>
          </w:p>
        </w:tc>
        <w:tc>
          <w:tcPr>
            <w:tcW w:type="dxa" w:w="4260"/>
            <w:tcBorders>
              <w:top w:val="single" w:color="8A742E" w:sz="1"/>
              <w:left w:val="single" w:color="8A742E" w:sz="1"/>
              <w:bottom w:val="single" w:color="8A742E" w:sz="1"/>
              <w:right w:val="single" w:color="8A742E" w:sz="1"/>
            </w:tcBorders>
            <w:shd w:fill="1E1A0E" w:val="clear"/>
            <w:tcMar>
              <w:top w:type="dxa" w:w="100"/>
              <w:left w:type="dxa" w:w="140"/>
              <w:bottom w:type="dxa" w:w="100"/>
              <w:right w:type="dxa" w:w="140"/>
            </w:tcMar>
          </w:tcPr>
          <w:p>
            <w:r>
              <w:rPr>
                <w:b/>
                <w:bCs/>
                <w:color w:val="C8A84B"/>
                <w:sz w:val="20"/>
                <w:szCs w:val="20"/>
              </w:rPr>
              <w:t xml:space="preserve">Note</w:t>
            </w:r>
          </w:p>
        </w:tc>
      </w:tr>
      <w:tr>
        <w:tc>
          <w:tcPr>
            <w:tcW w:type="dxa" w:w="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01</w:t>
            </w:r>
          </w:p>
        </w:tc>
        <w:tc>
          <w:tcPr>
            <w:tcW w:type="dxa" w:w="28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b/>
                <w:bCs/>
                <w:color w:val="E8ECF0"/>
                <w:sz w:val="20"/>
                <w:szCs w:val="20"/>
              </w:rPr>
              <w:t xml:space="preserve">Crimson Desert</w:t>
            </w:r>
          </w:p>
        </w:tc>
        <w:tc>
          <w:tcPr>
            <w:tcW w:type="dxa" w:w="1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b/>
                <w:bCs/>
                <w:color w:val="C8A84B"/>
                <w:sz w:val="20"/>
                <w:szCs w:val="20"/>
              </w:rPr>
              <w:t xml:space="preserve">PROPOSED</w:t>
            </w:r>
          </w:p>
        </w:tc>
        <w:tc>
          <w:tcPr>
            <w:tcW w:type="dxa" w:w="426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Named in canon corpus — ash-war theatre, crimson palette anchor</w:t>
            </w:r>
          </w:p>
        </w:tc>
      </w:tr>
      <w:tr>
        <w:tc>
          <w:tcPr>
            <w:tcW w:type="dxa" w:w="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02</w:t>
            </w:r>
          </w:p>
        </w:tc>
        <w:tc>
          <w:tcPr>
            <w:tcW w:type="dxa" w:w="28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b/>
                <w:bCs/>
                <w:color w:val="E8ECF0"/>
                <w:sz w:val="20"/>
                <w:szCs w:val="20"/>
              </w:rPr>
              <w:t xml:space="preserve">Mirror Cathedral</w:t>
            </w:r>
          </w:p>
        </w:tc>
        <w:tc>
          <w:tcPr>
            <w:tcW w:type="dxa" w:w="1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b/>
                <w:bCs/>
                <w:color w:val="C8A84B"/>
                <w:sz w:val="20"/>
                <w:szCs w:val="20"/>
              </w:rPr>
              <w:t xml:space="preserve">PROPOSED</w:t>
            </w:r>
          </w:p>
        </w:tc>
        <w:tc>
          <w:tcPr>
            <w:tcW w:type="dxa" w:w="426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Mirror Dynasty seat — architecture of reflective planes</w:t>
            </w:r>
          </w:p>
        </w:tc>
      </w:tr>
      <w:tr>
        <w:tc>
          <w:tcPr>
            <w:tcW w:type="dxa" w:w="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03</w:t>
            </w:r>
          </w:p>
        </w:tc>
        <w:tc>
          <w:tcPr>
            <w:tcW w:type="dxa" w:w="28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b/>
                <w:bCs/>
                <w:color w:val="E8ECF0"/>
                <w:sz w:val="20"/>
                <w:szCs w:val="20"/>
              </w:rPr>
              <w:t xml:space="preserve">Glass Forest</w:t>
            </w:r>
          </w:p>
        </w:tc>
        <w:tc>
          <w:tcPr>
            <w:tcW w:type="dxa" w:w="1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b/>
                <w:bCs/>
                <w:color w:val="C8A84B"/>
                <w:sz w:val="20"/>
                <w:szCs w:val="20"/>
              </w:rPr>
              <w:t xml:space="preserve">PROPOSED</w:t>
            </w:r>
          </w:p>
        </w:tc>
        <w:tc>
          <w:tcPr>
            <w:tcW w:type="dxa" w:w="426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Refractive organic world — light-through-matter at landscape scale</w:t>
            </w:r>
          </w:p>
        </w:tc>
      </w:tr>
      <w:tr>
        <w:tc>
          <w:tcPr>
            <w:tcW w:type="dxa" w:w="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04</w:t>
            </w:r>
          </w:p>
        </w:tc>
        <w:tc>
          <w:tcPr>
            <w:tcW w:type="dxa" w:w="28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b/>
                <w:bCs/>
                <w:color w:val="E8ECF0"/>
                <w:sz w:val="20"/>
                <w:szCs w:val="20"/>
              </w:rPr>
              <w:t xml:space="preserve">Obsidian Coast</w:t>
            </w:r>
          </w:p>
        </w:tc>
        <w:tc>
          <w:tcPr>
            <w:tcW w:type="dxa" w:w="1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b/>
                <w:bCs/>
                <w:color w:val="C8A84B"/>
                <w:sz w:val="20"/>
                <w:szCs w:val="20"/>
              </w:rPr>
              <w:t xml:space="preserve">PROPOSED</w:t>
            </w:r>
          </w:p>
        </w:tc>
        <w:tc>
          <w:tcPr>
            <w:tcW w:type="dxa" w:w="426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Volcanic-glass shoreline — Blackrock material signature as terrain</w:t>
            </w:r>
          </w:p>
        </w:tc>
      </w:tr>
      <w:tr>
        <w:tc>
          <w:tcPr>
            <w:tcW w:type="dxa" w:w="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05</w:t>
            </w:r>
          </w:p>
        </w:tc>
        <w:tc>
          <w:tcPr>
            <w:tcW w:type="dxa" w:w="28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b/>
                <w:bCs/>
                <w:color w:val="E8ECF0"/>
                <w:sz w:val="20"/>
                <w:szCs w:val="20"/>
              </w:rPr>
              <w:t xml:space="preserve">Pearl Atrium</w:t>
            </w:r>
          </w:p>
        </w:tc>
        <w:tc>
          <w:tcPr>
            <w:tcW w:type="dxa" w:w="1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b/>
                <w:bCs/>
                <w:color w:val="C8A84B"/>
                <w:sz w:val="20"/>
                <w:szCs w:val="20"/>
              </w:rPr>
              <w:t xml:space="preserve">PROPOSED</w:t>
            </w:r>
          </w:p>
        </w:tc>
        <w:tc>
          <w:tcPr>
            <w:tcW w:type="dxa" w:w="426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Interior world of iridescent nacre — the soft counterweight to Obsidian Coast</w:t>
            </w:r>
          </w:p>
        </w:tc>
      </w:tr>
      <w:tr>
        <w:tc>
          <w:tcPr>
            <w:tcW w:type="dxa" w:w="6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06–10</w:t>
            </w:r>
          </w:p>
        </w:tc>
        <w:tc>
          <w:tcPr>
            <w:tcW w:type="dxa" w:w="28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i/>
                <w:iCs/>
                <w:color w:val="9AA4AE"/>
                <w:sz w:val="20"/>
                <w:szCs w:val="20"/>
              </w:rPr>
              <w:t xml:space="preserve">Director assignment</w:t>
            </w:r>
          </w:p>
        </w:tc>
        <w:tc>
          <w:tcPr>
            <w:tcW w:type="dxa" w:w="170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b/>
                <w:bCs/>
                <w:color w:val="5A646E"/>
                <w:sz w:val="20"/>
                <w:szCs w:val="20"/>
              </w:rPr>
              <w:t xml:space="preserve">OPEN</w:t>
            </w:r>
          </w:p>
        </w:tc>
        <w:tc>
          <w:tcPr>
            <w:tcW w:type="dxa" w:w="4260"/>
            <w:tcBorders>
              <w:top w:val="single" w:color="8A742E" w:sz="1"/>
              <w:left w:val="single" w:color="8A742E" w:sz="1"/>
              <w:bottom w:val="single" w:color="8A742E" w:sz="1"/>
              <w:right w:val="single" w:color="8A742E" w:sz="1"/>
            </w:tcBorders>
            <w:shd w:fill="14161A" w:val="clear"/>
            <w:tcMar>
              <w:top w:type="dxa" w:w="100"/>
              <w:left w:type="dxa" w:w="140"/>
              <w:bottom w:type="dxa" w:w="100"/>
              <w:right w:type="dxa" w:w="140"/>
            </w:tcMar>
          </w:tcPr>
          <w:p>
            <w:r>
              <w:rPr>
                <w:color w:val="9AA4AE"/>
                <w:sz w:val="20"/>
                <w:szCs w:val="20"/>
              </w:rPr>
              <w:t xml:space="preserve">Five origin-layer worlds; at least one Dragon Dynasty seat to enable the Dynasty Rivalry format against Mirror Cathedral</w:t>
            </w:r>
          </w:p>
        </w:tc>
      </w:tr>
    </w:tbl>
    <w:p>
      <w:pPr>
        <w:spacing w:after="160"/>
      </w:pPr>
    </w:p>
    <w:p>
      <w:pPr>
        <w:spacing w:after="160"/>
      </w:pPr>
      <w:r>
        <w:rPr>
          <w:b/>
          <w:bCs/>
          <w:color w:val="E8ECF0"/>
        </w:rPr>
        <w:t xml:space="preserve">Combinatorics at launch: </w:t>
      </w:r>
      <w:r>
        <w:rPr>
          <w:color w:val="9AA4AE"/>
        </w:rPr>
        <w:t xml:space="preserve">10 characters × 10 scenes × legal artifact stacks (1–3 operators, one per domain, max one Dominant) yields well over twenty thousand legal Assemblies from thirty cards. The Foundation Set is small; the universe it generates is not.</w:t>
      </w:r>
    </w:p>
    <w:p>
      <w:r>
        <w:br w:type="page"/>
      </w:r>
    </w:p>
    <w:p>
      <w:pPr>
        <w:pStyle w:val="Heading1"/>
      </w:pPr>
      <w:r>
        <w:rPr>
          <w:color w:val="C8A84B"/>
        </w:rPr>
        <w:t xml:space="preserve">Part III — Grok Production Direction (Canon/Build Line)</w:t>
      </w:r>
    </w:p>
    <w:p>
      <w:pPr>
        <w:pStyle w:val="Heading2"/>
      </w:pPr>
      <w:r>
        <w:rPr>
          <w:color w:val="C8A84B"/>
        </w:rPr>
        <w:t xml:space="preserve">3.1 Card-Face Production Standard</w:t>
      </w:r>
    </w:p>
    <w:p>
      <w:pPr>
        <w:pStyle w:val="ListParagraph"/>
        <w:numPr>
          <w:ilvl w:val="0"/>
          <w:numId w:val="2"/>
        </w:numPr>
        <w:spacing w:after="100"/>
      </w:pPr>
      <w:r>
        <w:rPr>
          <w:b/>
          <w:bCs/>
          <w:color w:val="E8ECF0"/>
        </w:rPr>
        <w:t xml:space="preserve">Aspect &amp; resolution: </w:t>
      </w:r>
      <w:r>
        <w:rPr>
          <w:color w:val="9AA4AE"/>
        </w:rPr>
        <w:t xml:space="preserve">2:3 portrait, minimum 1536 × 2304 px at generation; Enhancement Pass upscales to print track per the Canonical Render Pipeline.</w:t>
      </w:r>
    </w:p>
    <w:p>
      <w:pPr>
        <w:pStyle w:val="ListParagraph"/>
        <w:numPr>
          <w:ilvl w:val="0"/>
          <w:numId w:val="2"/>
        </w:numPr>
        <w:spacing w:after="100"/>
      </w:pPr>
      <w:r>
        <w:rPr>
          <w:b/>
          <w:bCs/>
          <w:color w:val="E8ECF0"/>
        </w:rPr>
        <w:t xml:space="preserve">Art panel only: </w:t>
      </w:r>
      <w:r>
        <w:rPr>
          <w:color w:val="9AA4AE"/>
        </w:rPr>
        <w:t xml:space="preserve">Grok renders the image. No text, no titles, no numbers, no frames in generation — AI-rendered typography is unreliable and unbrandable. Title band, gold frame, tier glyphs, and provenance line are applied in a deterministic composition pass after Canon Review.</w:t>
      </w:r>
    </w:p>
    <w:p>
      <w:pPr>
        <w:pStyle w:val="ListParagraph"/>
        <w:numPr>
          <w:ilvl w:val="0"/>
          <w:numId w:val="2"/>
        </w:numPr>
        <w:spacing w:after="100"/>
      </w:pPr>
      <w:r>
        <w:rPr>
          <w:b/>
          <w:bCs/>
          <w:color w:val="E8ECF0"/>
        </w:rPr>
        <w:t xml:space="preserve">Field: </w:t>
      </w:r>
      <w:r>
        <w:rPr>
          <w:color w:val="9AA4AE"/>
        </w:rPr>
        <w:t xml:space="preserve">obsidian-black ground, tenebrist single-source lighting, material rendered hyperreal. Every card face must pass the wallworthiness test alone, before any frame is applied.</w:t>
      </w:r>
    </w:p>
    <w:p>
      <w:pPr>
        <w:pStyle w:val="ListParagraph"/>
        <w:numPr>
          <w:ilvl w:val="0"/>
          <w:numId w:val="2"/>
        </w:numPr>
        <w:spacing w:after="100"/>
      </w:pPr>
      <w:r>
        <w:rPr>
          <w:b/>
          <w:bCs/>
          <w:color w:val="E8ECF0"/>
        </w:rPr>
        <w:t xml:space="preserve">Two-line discipline: </w:t>
      </w:r>
      <w:r>
        <w:rPr>
          <w:color w:val="9AA4AE"/>
        </w:rPr>
        <w:t xml:space="preserve">canon line (Grok website) establishes each card’s anchor render; production line (SuperGrok) executes variants within rolling-window budgets. Drift flags escalate through the registry, never resolved locally.</w:t>
      </w:r>
    </w:p>
    <w:p>
      <w:pPr>
        <w:pStyle w:val="Heading2"/>
      </w:pPr>
      <w:r>
        <w:rPr>
          <w:color w:val="C8A84B"/>
        </w:rPr>
        <w:t xml:space="preserve">3.2 Character Card Prompt Scaffold</w:t>
      </w:r>
    </w:p>
    <w:p>
      <w:pPr>
        <w:spacing w:after="160"/>
      </w:pPr>
      <w:r>
        <w:rPr>
          <w:color w:val="9AA4AE"/>
        </w:rPr>
        <w:t xml:space="preserve">Character prompts are never written fresh — they wrap the existing Master Anchor. Structure:</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[MASTER ANCHOR PROMPT — verbatim, from locked dossier]</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 CARD FACE DIRECTIVES: 2:3 portrait, subject centered, chest-up</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  totemic composition, gaze direct to camera, obsidian-black void</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  ground, single cold key light upper-left, tenebrist falloff,</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  hyperreal material skin rendering, no text, no frame, no logo.</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 LOCK CLAUSES: [auto-inserted from Lock Manifest — e.g. for Isolde:</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  uniform green eyes, exact; black hair, precise center part,</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  single signature lock; no heterochromia; no silver-dominant</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  hair read; faint perpetual smile.]</w:t>
      </w:r>
    </w:p>
    <w:p>
      <w:pPr>
        <w:spacing w:after="160"/>
      </w:pPr>
    </w:p>
    <w:p>
      <w:pPr>
        <w:pStyle w:val="Heading2"/>
      </w:pPr>
      <w:r>
        <w:rPr>
          <w:color w:val="C8A84B"/>
        </w:rPr>
        <w:t xml:space="preserve">3.3 Artifact Card Prompts (Ready for Canon Line)</w:t>
      </w:r>
    </w:p>
    <w:p>
      <w:pPr>
        <w:spacing w:after="160"/>
      </w:pPr>
      <w:r>
        <w:rPr>
          <w:color w:val="9AA4AE"/>
        </w:rPr>
        <w:t xml:space="preserve">Artifact card faces depict the operator as a totemic object or force in void — no characters, so no lock exposure. These four are generation-ready; the remaining six follow the same grammar.</w:t>
      </w:r>
    </w:p>
    <w:p>
      <w:pPr>
        <w:pStyle w:val="Heading3"/>
      </w:pPr>
      <w:r>
        <w:rPr>
          <w:color w:val="E8ECF0"/>
        </w:rPr>
        <w:t xml:space="preserve">ART-01 · Mirror Fracture (Material · Dominant)</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FGE Artifact card face — MIRROR FRACTURE. A monolithic shard of</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fractured mirror-glass suspended in absolute black void, fracture</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lines propagating in 1:3 branching ratio, every crack seam catching</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a cold edge light, faint molten gold beginning to bleed into the</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deepest fractures, thin-film iridescence ghosting across the mirror</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surface, tenebrist single-source lighting, hyperreal material</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rendering, centered totemic composition, 2:3 portrait, no text.</w:t>
      </w:r>
    </w:p>
    <w:p>
      <w:pPr>
        <w:pStyle w:val="Heading3"/>
      </w:pPr>
      <w:r>
        <w:rPr>
          <w:color w:val="E8ECF0"/>
        </w:rPr>
        <w:t xml:space="preserve">ART-02 · Kintsugi Ascension (Material · Supporting)</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FGE Artifact card face — KINTSUGI ASCENSION. A shattered slab of</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cracked Calacatta marble suspended in black void, every fracture</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filled with luminous molten gold, the gold seams glowing from</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within as the slab’s fragments lift and separate slightly in</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ascension, warm metallic gold against cold white stone, tenebrist</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lighting, hyperreal material rendering, centered totemic</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composition, 2:3 portrait, no text.</w:t>
      </w:r>
    </w:p>
    <w:p>
      <w:pPr>
        <w:pStyle w:val="Heading3"/>
      </w:pPr>
      <w:r>
        <w:rPr>
          <w:color w:val="E8ECF0"/>
        </w:rPr>
        <w:t xml:space="preserve">ART-04 · Pearl Bloom (Material · Supporting)</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FGE Artifact card face — PEARL BLOOM. A sphere of clear nacre in</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black void, thin-film iridescence blooming across its surface in</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slow waves of rose, teal, and gold interference color, internal</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light diffusing through translucent pearl layers, soft single key</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light, hyperreal thin-film optics, centered totemic composition,</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2:3 portrait, no text.</w:t>
      </w:r>
    </w:p>
    <w:p>
      <w:pPr>
        <w:pStyle w:val="Heading3"/>
      </w:pPr>
      <w:r>
        <w:rPr>
          <w:color w:val="E8ECF0"/>
        </w:rPr>
        <w:t xml:space="preserve">ART-10 · Dust Corruption (Environment · Dominant)</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FGE Artifact card face — DUST CORRUPTION. A horizon line</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dissolving into crimson particulate ash, the air itself thick with</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suspended dust catching a dying light, ground surfaces crumbling</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to powder mid-frame, deep obsidian shadow consuming the lower</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third, oppressive atmospheric density, tenebrist palette of</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crimson and black, 2:3 portrait, no text.</w:t>
      </w:r>
    </w:p>
    <w:p>
      <w:pPr>
        <w:spacing w:after="160"/>
      </w:pPr>
    </w:p>
    <w:p>
      <w:pPr>
        <w:pStyle w:val="Heading2"/>
      </w:pPr>
      <w:r>
        <w:rPr>
          <w:color w:val="C8A84B"/>
        </w:rPr>
        <w:t xml:space="preserve">3.4 Scene Card Prompt Grammar</w:t>
      </w:r>
    </w:p>
    <w:p>
      <w:pPr>
        <w:spacing w:after="160"/>
      </w:pPr>
      <w:r>
        <w:rPr>
          <w:color w:val="9AA4AE"/>
        </w:rPr>
        <w:t xml:space="preserve">Scene faces are worlds without subjects — a place that implies its stories. One generation-ready example; the grammar generalizes.</w:t>
      </w:r>
    </w:p>
    <w:p>
      <w:pPr>
        <w:pStyle w:val="Heading3"/>
      </w:pPr>
      <w:r>
        <w:rPr>
          <w:color w:val="E8ECF0"/>
        </w:rPr>
        <w:t xml:space="preserve">SCN-02 · Mirror Cathedral</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FGE Scene card face — MIRROR CATHEDRAL. A vast gothic interior</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built entirely of mirrored planes, columns and vaulting reflecting</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each other into infinite recursive depth, a single cold shaft of</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light descending through the central vault, every reflective</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surface edged with hairline gold seams, empty of figures, immense</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scale, tenebrist lighting, hyperreal architectural rendering,</w:t>
      </w:r>
    </w:p>
    <w:p>
      <w:pPr>
        <w:pBdr>
          <w:left w:val="single" w:color="8A742E" w:sz="12" w:space="8"/>
        </w:pBdr>
        <w:shd w:fill="101216" w:val="clear"/>
        <w:spacing w:after="60"/>
        <w:ind w:left="360"/>
      </w:pPr>
      <w:r>
        <w:rPr>
          <w:rFonts w:ascii="Courier New" w:cs="Courier New" w:eastAsia="Courier New" w:hAnsi="Courier New"/>
          <w:color w:val="B8C4CE"/>
          <w:sz w:val="18"/>
          <w:szCs w:val="18"/>
        </w:rPr>
        <w:t xml:space="preserve">2:3 portrait, no text.</w:t>
      </w:r>
    </w:p>
    <w:p>
      <w:pPr>
        <w:spacing w:after="160"/>
      </w:pPr>
    </w:p>
    <w:p>
      <w:pPr>
        <w:pStyle w:val="Heading2"/>
      </w:pPr>
      <w:r>
        <w:rPr>
          <w:color w:val="C8A84B"/>
        </w:rPr>
        <w:t xml:space="preserve">3.5 Production Sequence (Rolling-Window Aware)</w:t>
      </w:r>
    </w:p>
    <w:p>
      <w:pPr>
        <w:pStyle w:val="ListParagraph"/>
        <w:numPr>
          <w:ilvl w:val="0"/>
          <w:numId w:val="4"/>
        </w:numPr>
        <w:spacing w:after="100"/>
      </w:pPr>
      <w:r>
        <w:rPr>
          <w:b/>
          <w:bCs/>
          <w:color w:val="E8ECF0"/>
        </w:rPr>
        <w:t xml:space="preserve">Isolde lookbook completes first</w:t>
      </w:r>
      <w:r>
        <w:rPr>
          <w:color w:val="9AA4AE"/>
        </w:rPr>
        <w:t xml:space="preserve"> (shots 02–08) — existing commitment; window budget priority is unchanged by this instrument.</w:t>
      </w:r>
    </w:p>
    <w:p>
      <w:pPr>
        <w:pStyle w:val="ListParagraph"/>
        <w:numPr>
          <w:ilvl w:val="0"/>
          <w:numId w:val="4"/>
        </w:numPr>
        <w:spacing w:after="100"/>
      </w:pPr>
      <w:r>
        <w:rPr>
          <w:b/>
          <w:bCs/>
          <w:color w:val="E8ECF0"/>
        </w:rPr>
        <w:t xml:space="preserve">Artifact faces next: </w:t>
      </w:r>
      <w:r>
        <w:rPr>
          <w:color w:val="9AA4AE"/>
        </w:rPr>
        <w:t xml:space="preserve">no character locks in scope, cheapest canon review, and they are the Marketing Loop’s teaching assets — ten faces ≈ two to three windows.</w:t>
      </w:r>
    </w:p>
    <w:p>
      <w:pPr>
        <w:pStyle w:val="ListParagraph"/>
        <w:numPr>
          <w:ilvl w:val="0"/>
          <w:numId w:val="4"/>
        </w:numPr>
        <w:spacing w:after="100"/>
      </w:pPr>
      <w:r>
        <w:rPr>
          <w:b/>
          <w:bCs/>
          <w:color w:val="E8ECF0"/>
        </w:rPr>
        <w:t xml:space="preserve">Scene faces: </w:t>
      </w:r>
      <w:r>
        <w:rPr>
          <w:color w:val="9AA4AE"/>
        </w:rPr>
        <w:t xml:space="preserve">five named scenes, then the five Director assignments.</w:t>
      </w:r>
    </w:p>
    <w:p>
      <w:pPr>
        <w:pStyle w:val="ListParagraph"/>
        <w:numPr>
          <w:ilvl w:val="0"/>
          <w:numId w:val="4"/>
        </w:numPr>
        <w:spacing w:after="100"/>
      </w:pPr>
      <w:r>
        <w:rPr>
          <w:b/>
          <w:bCs/>
          <w:color w:val="E8ECF0"/>
        </w:rPr>
        <w:t xml:space="preserve">Character faces last: </w:t>
      </w:r>
      <w:r>
        <w:rPr>
          <w:color w:val="9AA4AE"/>
        </w:rPr>
        <w:t xml:space="preserve">Isolde’s card wraps her anchor; all others wait for dossier + manifest per the Minting Law. Calista’s dossier remains the critical path.</w:t>
      </w:r>
    </w:p>
    <w:p>
      <w:pPr>
        <w:pStyle w:val="ListParagraph"/>
        <w:numPr>
          <w:ilvl w:val="0"/>
          <w:numId w:val="4"/>
        </w:numPr>
        <w:spacing w:after="100"/>
      </w:pPr>
      <w:r>
        <w:rPr>
          <w:b/>
          <w:bCs/>
          <w:color w:val="E8ECF0"/>
        </w:rPr>
        <w:t xml:space="preserve">First public loop: </w:t>
      </w:r>
      <w:r>
        <w:rPr>
          <w:color w:val="9AA4AE"/>
        </w:rPr>
        <w:t xml:space="preserve">Reveal Isolde → Reveal Mirror Fracture → Reveal Mirror Cathedral → Output: “Mirror-Fractured Isolde, Mirror Cathedral” — the inaugural Released State, provenance chain printed.</w:t>
      </w:r>
    </w:p>
    <w:p>
      <w:r>
        <w:br w:type="page"/>
      </w:r>
    </w:p>
    <w:p>
      <w:pPr>
        <w:pStyle w:val="Heading1"/>
      </w:pPr>
      <w:r>
        <w:rPr>
          <w:color w:val="C8A84B"/>
        </w:rPr>
        <w:t xml:space="preserve">Part IV — Director Decision Points</w:t>
      </w:r>
    </w:p>
    <w:p>
      <w:pPr>
        <w:pStyle w:val="ListParagraph"/>
        <w:numPr>
          <w:ilvl w:val="0"/>
          <w:numId w:val="5"/>
        </w:numPr>
        <w:spacing w:after="100"/>
      </w:pPr>
      <w:r>
        <w:rPr>
          <w:b/>
          <w:bCs/>
          <w:color w:val="E8ECF0"/>
        </w:rPr>
        <w:t xml:space="preserve">Character slots 06–10 and Scene slots 06–10. </w:t>
      </w:r>
      <w:r>
        <w:rPr>
          <w:color w:val="9AA4AE"/>
        </w:rPr>
        <w:t xml:space="preserve">Origin-layer selections — the founding gravity statement of the universe.</w:t>
      </w:r>
    </w:p>
    <w:p>
      <w:pPr>
        <w:pStyle w:val="ListParagraph"/>
        <w:numPr>
          <w:ilvl w:val="0"/>
          <w:numId w:val="5"/>
        </w:numPr>
        <w:spacing w:after="100"/>
      </w:pPr>
      <w:r>
        <w:rPr>
          <w:b/>
          <w:bCs/>
          <w:color w:val="E8ECF0"/>
        </w:rPr>
        <w:t xml:space="preserve">Artifact roster confirmation. </w:t>
      </w:r>
      <w:r>
        <w:rPr>
          <w:color w:val="9AA4AE"/>
        </w:rPr>
        <w:t xml:space="preserve">Names, domains, and weights above are proposed; each requires a minting decree.</w:t>
      </w:r>
    </w:p>
    <w:p>
      <w:pPr>
        <w:pStyle w:val="ListParagraph"/>
        <w:numPr>
          <w:ilvl w:val="0"/>
          <w:numId w:val="5"/>
        </w:numPr>
        <w:spacing w:after="100"/>
      </w:pPr>
      <w:r>
        <w:rPr>
          <w:b/>
          <w:bCs/>
          <w:color w:val="E8ECF0"/>
        </w:rPr>
        <w:t xml:space="preserve">Inaugural Assembly. </w:t>
      </w:r>
      <w:r>
        <w:rPr>
          <w:color w:val="9AA4AE"/>
        </w:rPr>
        <w:t xml:space="preserve">Confirm or substitute the proposed first public combination (Isolde × Mirror Fracture × Mirror Cathedral).</w:t>
      </w:r>
    </w:p>
    <w:p>
      <w:pPr>
        <w:pStyle w:val="ListParagraph"/>
        <w:numPr>
          <w:ilvl w:val="0"/>
          <w:numId w:val="5"/>
        </w:numPr>
        <w:spacing w:after="100"/>
      </w:pPr>
      <w:r>
        <w:rPr>
          <w:b/>
          <w:bCs/>
          <w:color w:val="E8ECF0"/>
        </w:rPr>
        <w:t xml:space="preserve">Composition-pass specification. </w:t>
      </w:r>
      <w:r>
        <w:rPr>
          <w:color w:val="9AA4AE"/>
        </w:rPr>
        <w:t xml:space="preserve">Frame, title band, and glyph system for the deterministic layout pass — a small design instrument to be drafted before any card publishes.</w:t>
      </w:r>
    </w:p>
    <w:p>
      <w:pPr>
        <w:pStyle w:val="Heading1"/>
      </w:pPr>
      <w:r>
        <w:rPr>
          <w:color w:val="C8A84B"/>
        </w:rPr>
        <w:t xml:space="preserve">Ratification Block</w:t>
      </w:r>
    </w:p>
    <w:p>
      <w:pPr>
        <w:spacing w:after="160"/>
      </w:pPr>
      <w:r>
        <w:rPr>
          <w:color w:val="9AA4AE"/>
        </w:rPr>
        <w:t xml:space="preserve">This instrument is minted as a companion to FGE-CONST-LOCK-001 v1.1 and inherits its full force: Minting Law, Eligibility Gate, Lock Supremacy, release authority. No card herein exists until its manifest exists. No card publishes until the Director releases it.</w:t>
      </w:r>
    </w:p>
    <w:p>
      <w:pPr>
        <w:spacing w:after="160"/>
      </w:pPr>
      <w:r>
        <w:rPr>
          <w:i/>
          <w:iCs/>
          <w:color w:val="C8A84B"/>
        </w:rPr>
        <w:t xml:space="preserve">The library is ninety. The minted set is thirty. The first Assembly is one.</w:t>
      </w:r>
    </w:p>
    <w:p>
      <w:pPr>
        <w:spacing w:after="160"/>
      </w:pPr>
      <w:r>
        <w:rPr>
          <w:i/>
          <w:iCs/>
          <w:color w:val="5A646E"/>
        </w:rPr>
        <w:t xml:space="preserve">Other substrates propose; the Director disposes.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D-%1"/>
      <w:lvlJc w:val="left"/>
      <w:pPr>
        <w:ind w:left="860" w:hanging="5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9AA4A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20"/>
      <w:outlineLvl w:val="0"/>
    </w:pPr>
    <w:rPr>
      <w:rFonts w:ascii="Arial" w:cs="Arial" w:eastAsia="Arial" w:hAnsi="Arial"/>
      <w:b/>
      <w:bCs/>
      <w:color w:val="C8A84B"/>
      <w:sz w:val="34"/>
      <w:szCs w:val="34"/>
    </w:rPr>
  </w:style>
  <w:style w:type="paragraph" w:styleId="Heading2">
    <w:name w:val="Heading 2"/>
    <w:basedOn w:val="Normal"/>
    <w:next w:val="Normal"/>
    <w:qFormat/>
    <w:pPr>
      <w:spacing w:after="180" w:before="260"/>
      <w:outlineLvl w:val="1"/>
    </w:pPr>
    <w:rPr>
      <w:rFonts w:ascii="Arial" w:cs="Arial" w:eastAsia="Arial" w:hAnsi="Arial"/>
      <w:b/>
      <w:bCs/>
      <w:color w:val="C8A84B"/>
      <w:sz w:val="27"/>
      <w:szCs w:val="27"/>
    </w:rPr>
  </w:style>
  <w:style w:type="paragraph" w:styleId="Heading3">
    <w:name w:val="Heading 3"/>
    <w:basedOn w:val="Normal"/>
    <w:next w:val="Normal"/>
    <w:qFormat/>
    <w:pPr>
      <w:spacing w:after="140" w:before="200"/>
      <w:outlineLvl w:val="2"/>
    </w:pPr>
    <w:rPr>
      <w:rFonts w:ascii="Arial" w:cs="Arial" w:eastAsia="Arial" w:hAnsi="Arial"/>
      <w:b/>
      <w:bCs/>
      <w:color w:val="E8ECF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2026-06-10T19:54:22.759Z</dcterms:created>
  <dcterms:modified xsi:type="dcterms:W3CDTF">2026-06-10T19:54:22.759Z</dcterms:modified>
</cp:coreProperties>
</file>

<file path=docProps/custom.xml><?xml version="1.0" encoding="utf-8"?>
<Properties xmlns="http://schemas.openxmlformats.org/officeDocument/2006/custom-properties" xmlns:vt="http://schemas.openxmlformats.org/officeDocument/2006/docPropsVTypes"/>
</file>