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低資源語音辨識研究</w:t>
      </w:r>
    </w:p>
    <w:p>
      <w:pPr>
        <w:pStyle w:val="TextBody"/>
        <w:bidi w:val="0"/>
        <w:spacing w:before="0" w:after="283"/>
        <w:jc w:val="left"/>
        <w:rPr/>
      </w:pPr>
      <w:r>
        <w:rPr/>
        <w:t>本研究探討</w:t>
      </w:r>
      <w:r>
        <w:rPr>
          <w:b/>
        </w:rPr>
        <w:t>低資源語言</w:t>
      </w:r>
      <w:r>
        <w:rPr/>
        <w:t>的自動語音辨識（</w:t>
      </w:r>
      <w:r>
        <w:rPr/>
        <w:t>ASR</w:t>
      </w:r>
      <w:r>
        <w:rPr/>
        <w:t>），以自監督預訓練模型為基礎，結合資料增強與</w:t>
      </w:r>
      <w:r>
        <w:rPr>
          <w:i/>
        </w:rPr>
        <w:t>跨語言遷移</w:t>
      </w:r>
      <w:r>
        <w:rPr/>
        <w:t>。</w:t>
      </w:r>
    </w:p>
    <w:p>
      <w:pPr>
        <w:pStyle w:val="Heading2"/>
        <w:bidi w:val="0"/>
        <w:jc w:val="left"/>
        <w:rPr/>
      </w:pPr>
      <w:r>
        <w:rPr/>
        <w:t>研究問題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如何在少於 </w:t>
      </w:r>
      <w:r>
        <w:rPr/>
        <w:t xml:space="preserve">10 </w:t>
      </w:r>
      <w:r>
        <w:rPr/>
        <w:t>小時的標註資料下達到可用的辨識率？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Which pretraining objective transfers best to Taiwanese Hokkien?</w:t>
      </w:r>
    </w:p>
    <w:p>
      <w:pPr>
        <w:pStyle w:val="Heading2"/>
        <w:bidi w:val="0"/>
        <w:jc w:val="left"/>
        <w:rPr/>
      </w:pPr>
      <w:r>
        <w:rPr/>
        <w:t>方法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以 </w:t>
      </w:r>
      <w:r>
        <w:rPr/>
        <w:t xml:space="preserve">wav2vec 2.0 </w:t>
      </w:r>
      <w:r>
        <w:rPr/>
        <w:t>進行預訓練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以 </w:t>
      </w:r>
      <w:r>
        <w:rPr/>
        <w:t xml:space="preserve">CTC </w:t>
      </w:r>
      <w:r>
        <w:rPr/>
        <w:t>微調</w:t>
      </w:r>
    </w:p>
    <w:tbl>
      <w:tblPr>
        <w:tblW w:w="169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31"/>
        <w:gridCol w:w="766"/>
      </w:tblGrid>
      <w:tr>
        <w:trPr/>
        <w:tc>
          <w:tcPr>
            <w:tcW w:w="9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模型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CER</w:t>
            </w:r>
          </w:p>
        </w:tc>
      </w:tr>
      <w:tr>
        <w:trPr/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Baseline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23.4%</w:t>
            </w:r>
          </w:p>
        </w:tc>
      </w:tr>
      <w:tr>
        <w:trPr/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Ours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15.1%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預期成果：提出一套可重現的訓練流程。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 Unicode MS">
    <w:charset w:val="00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iberation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/>
    <w:rPr>
      <w:rFonts w:ascii="Liberation Sans Unicode MS" w:hAnsi="Liberation Sans Unicode MS"/>
      <w:b/>
      <w:bCs/>
      <w:sz w:val="48"/>
      <w:szCs w:val="44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iberation Sans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List">
    <w:name w:val="List"/>
    <w:basedOn w:val="TextBody"/>
    <w:pPr/>
    <w:rPr>
      <w:rFonts w:cs="Liberation Sans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研究簡述範例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