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Investment-System1 Frontend Information Architecture</w:t>
      </w:r>
    </w:p>
    <w:p>
      <w:r>
        <w:t>Date: 2026-09-23 12:37 KST · Status: DESIGN PROVISIONAL · Does not amend Frozen Contracts, scoring, Integration v1.2 policy, or C-15 Fusion.</w:t>
      </w:r>
    </w:p>
    <w:p>
      <w:r>
        <w:t>Authority: Handoff 1158, QGV Module Map v1.7, Technical Consolidated v0.1, Macro confirmed v0.1.1, Architecture v1.0, current 17-page HTML prototype.</w:t>
      </w:r>
    </w:p>
    <w:p>
      <w:pPr>
        <w:pStyle w:val="Heading2"/>
      </w:pPr>
      <w:r>
        <w:t>Decision</w:t>
      </w:r>
    </w:p>
    <w:p>
      <w:r>
        <w:t>QGV remains Module Hub → five module pages. Technical becomes one Workspace. Macro becomes one Dashboard. Home becomes the Integration Decision Dashboard. Backend modules stay split for validation even when the UI is one screen.</w:t>
      </w:r>
    </w:p>
    <w:p>
      <w:pPr>
        <w:pStyle w:val="Heading2"/>
      </w:pPr>
      <w:r>
        <w:t>Current vs 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Top nav</w:t>
            </w:r>
          </w:p>
        </w:tc>
        <w:tc>
          <w:tcPr>
            <w:tcW w:type="dxa" w:w="2880"/>
          </w:tcPr>
          <w:p>
            <w:r>
              <w:t>QGV 5 + TA 6 + Macro 3 + Integrated + Lab</w:t>
            </w:r>
          </w:p>
        </w:tc>
        <w:tc>
          <w:tcPr>
            <w:tcW w:type="dxa" w:w="2880"/>
          </w:tcPr>
          <w:p>
            <w:r>
              <w:t>Home / QGV / Technical / Macro / Strategy</w:t>
            </w:r>
          </w:p>
        </w:tc>
      </w:tr>
      <w:tr>
        <w:tc>
          <w:tcPr>
            <w:tcW w:type="dxa" w:w="2880"/>
          </w:tcPr>
          <w:p>
            <w:r>
              <w:t>QGV</w:t>
            </w:r>
          </w:p>
        </w:tc>
        <w:tc>
          <w:tcPr>
            <w:tcW w:type="dxa" w:w="2880"/>
          </w:tcPr>
          <w:p>
            <w:r>
              <w:t>5 pages, no hub</w:t>
            </w:r>
          </w:p>
        </w:tc>
        <w:tc>
          <w:tcPr>
            <w:tcW w:type="dxa" w:w="2880"/>
          </w:tcPr>
          <w:p>
            <w:r>
              <w:t>Hub cards then 5 pages</w:t>
            </w:r>
          </w:p>
        </w:tc>
      </w:tr>
      <w:tr>
        <w:tc>
          <w:tcPr>
            <w:tcW w:type="dxa" w:w="2880"/>
          </w:tcPr>
          <w:p>
            <w:r>
              <w:t>Technical</w:t>
            </w:r>
          </w:p>
        </w:tc>
        <w:tc>
          <w:tcPr>
            <w:tcW w:type="dxa" w:w="2880"/>
          </w:tcPr>
          <w:p>
            <w:r>
              <w:t>6 pages</w:t>
            </w:r>
          </w:p>
        </w:tc>
        <w:tc>
          <w:tcPr>
            <w:tcW w:type="dxa" w:w="2880"/>
          </w:tcPr>
          <w:p>
            <w:r>
              <w:t>Single workspace, sectioned</w:t>
            </w:r>
          </w:p>
        </w:tc>
      </w:tr>
      <w:tr>
        <w:tc>
          <w:tcPr>
            <w:tcW w:type="dxa" w:w="2880"/>
          </w:tcPr>
          <w:p>
            <w:r>
              <w:t>Macro</w:t>
            </w:r>
          </w:p>
        </w:tc>
        <w:tc>
          <w:tcPr>
            <w:tcW w:type="dxa" w:w="2880"/>
          </w:tcPr>
          <w:p>
            <w:r>
              <w:t>3 pages</w:t>
            </w:r>
          </w:p>
        </w:tc>
        <w:tc>
          <w:tcPr>
            <w:tcW w:type="dxa" w:w="2880"/>
          </w:tcPr>
          <w:p>
            <w:r>
              <w:t>Single dashboard</w:t>
            </w:r>
          </w:p>
        </w:tc>
      </w:tr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Static cards</w:t>
            </w:r>
          </w:p>
        </w:tc>
        <w:tc>
          <w:tcPr>
            <w:tcW w:type="dxa" w:w="2880"/>
          </w:tcPr>
          <w:p>
            <w:r>
              <w:t>Integration dashboard</w:t>
            </w:r>
          </w:p>
        </w:tc>
      </w:tr>
    </w:tbl>
    <w:p/>
    <w:p>
      <w:pPr>
        <w:pStyle w:val="Heading2"/>
      </w:pPr>
      <w:r>
        <w:t>Screen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Job</w:t>
            </w:r>
          </w:p>
        </w:tc>
      </w:tr>
      <w:tr>
        <w:tc>
          <w:tcPr>
            <w:tcW w:type="dxa" w:w="2880"/>
          </w:tcPr>
          <w:p>
            <w:r>
              <w:t>IS-HOME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Integration decision</w:t>
            </w:r>
          </w:p>
        </w:tc>
      </w:tr>
      <w:tr>
        <w:tc>
          <w:tcPr>
            <w:tcW w:type="dxa" w:w="2880"/>
          </w:tcPr>
          <w:p>
            <w:r>
              <w:t>QGV-HUB</w:t>
            </w:r>
          </w:p>
        </w:tc>
        <w:tc>
          <w:tcPr>
            <w:tcW w:type="dxa" w:w="2880"/>
          </w:tcPr>
          <w:p>
            <w:r>
              <w:t>/qgv</w:t>
            </w:r>
          </w:p>
        </w:tc>
        <w:tc>
          <w:tcPr>
            <w:tcW w:type="dxa" w:w="2880"/>
          </w:tcPr>
          <w:p>
            <w:r>
              <w:t>Choose QGV purpose</w:t>
            </w:r>
          </w:p>
        </w:tc>
      </w:tr>
      <w:tr>
        <w:tc>
          <w:tcPr>
            <w:tcW w:type="dxa" w:w="2880"/>
          </w:tcPr>
          <w:p>
            <w:r>
              <w:t>QGV-AN/SIM/PF/LB/TR</w:t>
            </w:r>
          </w:p>
        </w:tc>
        <w:tc>
          <w:tcPr>
            <w:tcW w:type="dxa" w:w="2880"/>
          </w:tcPr>
          <w:p>
            <w:r>
              <w:t>/qgv/*</w:t>
            </w:r>
          </w:p>
        </w:tc>
        <w:tc>
          <w:tcPr>
            <w:tcW w:type="dxa" w:w="2880"/>
          </w:tcPr>
          <w:p>
            <w:r>
              <w:t>Five official QGV modules</w:t>
            </w:r>
          </w:p>
        </w:tc>
      </w:tr>
      <w:tr>
        <w:tc>
          <w:tcPr>
            <w:tcW w:type="dxa" w:w="2880"/>
          </w:tcPr>
          <w:p>
            <w:r>
              <w:t>TA-WS</w:t>
            </w:r>
          </w:p>
        </w:tc>
        <w:tc>
          <w:tcPr>
            <w:tcW w:type="dxa" w:w="2880"/>
          </w:tcPr>
          <w:p>
            <w:r>
              <w:t>/technical</w:t>
            </w:r>
          </w:p>
        </w:tc>
        <w:tc>
          <w:tcPr>
            <w:tcW w:type="dxa" w:w="2880"/>
          </w:tcPr>
          <w:p>
            <w:r>
              <w:t>One-name technical flow</w:t>
            </w:r>
          </w:p>
        </w:tc>
      </w:tr>
      <w:tr>
        <w:tc>
          <w:tcPr>
            <w:tcW w:type="dxa" w:w="2880"/>
          </w:tcPr>
          <w:p>
            <w:r>
              <w:t>MAC-DB</w:t>
            </w:r>
          </w:p>
        </w:tc>
        <w:tc>
          <w:tcPr>
            <w:tcW w:type="dxa" w:w="2880"/>
          </w:tcPr>
          <w:p>
            <w:r>
              <w:t>/macro</w:t>
            </w:r>
          </w:p>
        </w:tc>
        <w:tc>
          <w:tcPr>
            <w:tcW w:type="dxa" w:w="2880"/>
          </w:tcPr>
          <w:p>
            <w:r>
              <w:t>Market regime dashboard</w:t>
            </w:r>
          </w:p>
        </w:tc>
      </w:tr>
      <w:tr>
        <w:tc>
          <w:tcPr>
            <w:tcW w:type="dxa" w:w="2880"/>
          </w:tcPr>
          <w:p>
            <w:r>
              <w:t>ST-LAB</w:t>
            </w:r>
          </w:p>
        </w:tc>
        <w:tc>
          <w:tcPr>
            <w:tcW w:type="dxa" w:w="2880"/>
          </w:tcPr>
          <w:p>
            <w:r>
              <w:t>/settings</w:t>
            </w:r>
          </w:p>
        </w:tc>
        <w:tc>
          <w:tcPr>
            <w:tcW w:type="dxa" w:w="2880"/>
          </w:tcPr>
          <w:p>
            <w:r>
              <w:t>Profile; frozen keys locked</w:t>
            </w:r>
          </w:p>
        </w:tc>
      </w:tr>
    </w:tbl>
    <w:p/>
    <w:p>
      <w:pPr>
        <w:pStyle w:val="Heading2"/>
      </w:pPr>
      <w:r>
        <w:t>Security context</w:t>
      </w:r>
    </w:p>
    <w:p>
      <w:r>
        <w:t>Persist company_id, ticker, as_of, profile_id, parameter_set_hash. QGV ↔ Technical must not require a second search. Macro stays market-level and may only read context for Transmission. security_id is not invented (C-06). TEL stays AMBIGUOUS (C-08).</w:t>
      </w:r>
    </w:p>
    <w:p>
      <w:pPr>
        <w:pStyle w:val="Heading2"/>
      </w:pPr>
      <w:r>
        <w:t>Technical workspace stack</w:t>
      </w:r>
    </w:p>
    <w:p>
      <w:r>
        <w:t>Sticky header (name, ticker, price, as_of, freshness, profile, range) → Chart + State → Indicator summary cards → Regime + Scenarios → Probability (never as VERIFIED) → Execution zone (not system order) → Technical Track Record. Fusion control is omitted while C-15 is open.</w:t>
      </w:r>
    </w:p>
    <w:p>
      <w:pPr>
        <w:pStyle w:val="Heading2"/>
      </w:pPr>
      <w:r>
        <w:t>Macro dashboard stack</w:t>
      </w:r>
    </w:p>
    <w:p>
      <w:r>
        <w:t>Status header (v0.1.1 only) → Current Regime → Indicator grid → Signal/Evidence → VMR labeled ownership unconfirmed → Scenarios → Transmission → Macro Track Record. If FRED is missing, show UNAVAILABLE. Do not fill synthetic macro as live.</w:t>
      </w:r>
    </w:p>
    <w:p>
      <w:pPr>
        <w:pStyle w:val="Heading2"/>
      </w:pPr>
      <w:r>
        <w:t>Home stack</w:t>
      </w:r>
    </w:p>
    <w:p>
      <w:r>
        <w:t>Portfolio summary → QGV / Technical / Macro snapshot cards (deep-link) → Risk → Integration gate + profile hash → Target weights → Integrated Track Record. No module-level final order.</w:t>
      </w:r>
    </w:p>
    <w:p>
      <w:pPr>
        <w:pStyle w:val="Heading2"/>
      </w:pPr>
      <w:r>
        <w:t>Responsive</w:t>
      </w:r>
    </w:p>
    <w:p>
      <w:r>
        <w:t>≥960px: left rail. &lt;960px: vertical stack by importance, sticky context, bottom quick nav on Technical (Chart / State / Execute / Record). Do not scale six Technical columns onto a phone.</w:t>
      </w:r>
    </w:p>
    <w:p>
      <w:pPr>
        <w:pStyle w:val="Heading2"/>
      </w:pPr>
      <w:r>
        <w:t>Migration (not executed now)</w:t>
      </w:r>
    </w:p>
    <w:p>
      <w:r>
        <w:t>Keep the 17 HTML files. When UI work resumes: add QGV hub; redirect technical/* and extra macro pages to section anchors; put context in the query string before any SPA rewrite.</w:t>
      </w:r>
    </w:p>
    <w:p>
      <w:pPr>
        <w:pStyle w:val="Heading2"/>
      </w:pPr>
      <w:r>
        <w:t>Frontend priority versus Validation</w:t>
      </w:r>
    </w:p>
    <w:p>
      <w:r>
        <w:t>P0 remains PIT / factor coverage / real-data integrity. UI order after that: evidence badges + context bar, Home as Integration view, Technical collapse, Macro collapse, QGV hub, chart polish last.</w:t>
      </w:r>
    </w:p>
    <w:p>
      <w:pPr>
        <w:pStyle w:val="Heading2"/>
      </w:pPr>
      <w:r>
        <w:t>System progress (conservative)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Approx maturity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Investment System</w:t>
            </w:r>
          </w:p>
        </w:tc>
        <w:tc>
          <w:tcPr>
            <w:tcW w:type="dxa" w:w="2880"/>
          </w:tcPr>
          <w:p>
            <w:r>
              <w:t>~33%</w:t>
            </w:r>
          </w:p>
        </w:tc>
        <w:tc>
          <w:tcPr>
            <w:tcW w:type="dxa" w:w="2880"/>
          </w:tcPr>
          <w:p>
            <w:r>
              <w:t>Design+impl+synthetic; integration partial; real-data 0</w:t>
            </w:r>
          </w:p>
        </w:tc>
      </w:tr>
      <w:tr>
        <w:tc>
          <w:tcPr>
            <w:tcW w:type="dxa" w:w="2880"/>
          </w:tcPr>
          <w:p>
            <w:r>
              <w:t>QGV</w:t>
            </w:r>
          </w:p>
        </w:tc>
        <w:tc>
          <w:tcPr>
            <w:tcW w:type="dxa" w:w="2880"/>
          </w:tcPr>
          <w:p>
            <w:r>
              <w:t>~33%</w:t>
            </w:r>
          </w:p>
        </w:tc>
        <w:tc>
          <w:tcPr>
            <w:tcW w:type="dxa" w:w="2880"/>
          </w:tcPr>
          <w:p>
            <w:r>
              <w:t>Frozen design; vintage PARTIAL</w:t>
            </w:r>
          </w:p>
        </w:tc>
      </w:tr>
      <w:tr>
        <w:tc>
          <w:tcPr>
            <w:tcW w:type="dxa" w:w="2880"/>
          </w:tcPr>
          <w:p>
            <w:r>
              <w:t>Technical</w:t>
            </w:r>
          </w:p>
        </w:tc>
        <w:tc>
          <w:tcPr>
            <w:tcW w:type="dxa" w:w="2880"/>
          </w:tcPr>
          <w:p>
            <w:r>
              <w:t>~22%</w:t>
            </w:r>
          </w:p>
        </w:tc>
        <w:tc>
          <w:tcPr>
            <w:tcW w:type="dxa" w:w="2880"/>
          </w:tcPr>
          <w:p>
            <w:r>
              <w:t>Thin engine; LIVE_FETCH prices only</w:t>
            </w:r>
          </w:p>
        </w:tc>
      </w:tr>
      <w:tr>
        <w:tc>
          <w:tcPr>
            <w:tcW w:type="dxa" w:w="2880"/>
          </w:tcPr>
          <w:p>
            <w:r>
              <w:t>Macro</w:t>
            </w:r>
          </w:p>
        </w:tc>
        <w:tc>
          <w:tcPr>
            <w:tcW w:type="dxa" w:w="2880"/>
          </w:tcPr>
          <w:p>
            <w:r>
              <w:t>~22%</w:t>
            </w:r>
          </w:p>
        </w:tc>
        <w:tc>
          <w:tcPr>
            <w:tcW w:type="dxa" w:w="2880"/>
          </w:tcPr>
          <w:p>
            <w:r>
              <w:t>v0.1.1; FRED blocked</w:t>
            </w:r>
          </w:p>
        </w:tc>
      </w:tr>
      <w:tr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~33%</w:t>
            </w:r>
          </w:p>
        </w:tc>
        <w:tc>
          <w:tcPr>
            <w:tcW w:type="dxa" w:w="2880"/>
          </w:tcPr>
          <w:p>
            <w:r>
              <w:t>E2E synthetic; PIT candidate</w:t>
            </w:r>
          </w:p>
        </w:tc>
      </w:tr>
    </w:tbl>
    <w:p/>
    <w:p>
      <w:r>
        <w:t>Backend module scores stay separate from the single Technical/Macro screens. See the markdown companion in the package for the full module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