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2" w14:textId="77777777" w:rsidR="008F49C7" w:rsidRDefault="008F49C7" w:rsidP="008B744F">
      <w:pPr>
        <w:spacing w:line="480" w:lineRule="auto"/>
        <w:ind w:firstLine="0"/>
        <w:rPr>
          <w:rFonts w:ascii="Times New Roman" w:eastAsia="Times New Roman" w:hAnsi="Times New Roman" w:cs="Times New Roman"/>
        </w:rPr>
      </w:pPr>
    </w:p>
    <w:p w14:paraId="00000003" w14:textId="154F89D7" w:rsidR="008F49C7" w:rsidRDefault="007E3E5B">
      <w:pPr>
        <w:spacing w:line="480" w:lineRule="auto"/>
        <w:jc w:val="center"/>
        <w:rPr>
          <w:rFonts w:ascii="Times New Roman" w:eastAsia="Times New Roman" w:hAnsi="Times New Roman" w:cs="Times New Roman"/>
        </w:rPr>
      </w:pPr>
      <w:r>
        <w:rPr>
          <w:rFonts w:ascii="Times New Roman" w:eastAsia="Times New Roman" w:hAnsi="Times New Roman" w:cs="Times New Roman"/>
        </w:rPr>
        <w:t>Effects of Opportunity Zones</w:t>
      </w:r>
      <w:r w:rsidR="00BD3BB7">
        <w:rPr>
          <w:rFonts w:ascii="Times New Roman" w:eastAsia="Times New Roman" w:hAnsi="Times New Roman" w:cs="Times New Roman"/>
        </w:rPr>
        <w:t xml:space="preserve"> (OZ</w:t>
      </w:r>
      <w:r w:rsidR="008F160F">
        <w:rPr>
          <w:rFonts w:ascii="Times New Roman" w:eastAsia="Times New Roman" w:hAnsi="Times New Roman" w:cs="Times New Roman"/>
        </w:rPr>
        <w:t>s</w:t>
      </w:r>
      <w:r w:rsidR="00BD3BB7">
        <w:rPr>
          <w:rFonts w:ascii="Times New Roman" w:eastAsia="Times New Roman" w:hAnsi="Times New Roman" w:cs="Times New Roman"/>
        </w:rPr>
        <w:t>)</w:t>
      </w:r>
      <w:r>
        <w:rPr>
          <w:rFonts w:ascii="Times New Roman" w:eastAsia="Times New Roman" w:hAnsi="Times New Roman" w:cs="Times New Roman"/>
        </w:rPr>
        <w:t xml:space="preserve"> on</w:t>
      </w:r>
      <w:r w:rsidR="00761F2C">
        <w:rPr>
          <w:rFonts w:ascii="Times New Roman" w:eastAsia="Times New Roman" w:hAnsi="Times New Roman" w:cs="Times New Roman"/>
        </w:rPr>
        <w:t xml:space="preserve"> Census</w:t>
      </w:r>
      <w:r>
        <w:rPr>
          <w:rFonts w:ascii="Times New Roman" w:eastAsia="Times New Roman" w:hAnsi="Times New Roman" w:cs="Times New Roman"/>
        </w:rPr>
        <w:t xml:space="preserve"> Tract Economic Well-Being</w:t>
      </w:r>
    </w:p>
    <w:p w14:paraId="00000004" w14:textId="77777777" w:rsidR="008F49C7" w:rsidRDefault="008F49C7">
      <w:pPr>
        <w:spacing w:line="480" w:lineRule="auto"/>
        <w:jc w:val="center"/>
        <w:rPr>
          <w:rFonts w:ascii="Times New Roman" w:eastAsia="Times New Roman" w:hAnsi="Times New Roman" w:cs="Times New Roman"/>
        </w:rPr>
      </w:pPr>
    </w:p>
    <w:p w14:paraId="00000005" w14:textId="77777777" w:rsidR="008F49C7" w:rsidRDefault="008F49C7">
      <w:pPr>
        <w:spacing w:line="480" w:lineRule="auto"/>
        <w:jc w:val="center"/>
        <w:rPr>
          <w:rFonts w:ascii="Times New Roman" w:eastAsia="Times New Roman" w:hAnsi="Times New Roman" w:cs="Times New Roman"/>
        </w:rPr>
      </w:pPr>
    </w:p>
    <w:p w14:paraId="2D6A83BA" w14:textId="77777777" w:rsidR="008B744F" w:rsidRDefault="008B744F">
      <w:pPr>
        <w:spacing w:line="480" w:lineRule="auto"/>
        <w:jc w:val="center"/>
        <w:rPr>
          <w:rFonts w:ascii="Times New Roman" w:eastAsia="Times New Roman" w:hAnsi="Times New Roman" w:cs="Times New Roman"/>
        </w:rPr>
      </w:pPr>
    </w:p>
    <w:p w14:paraId="5759B886" w14:textId="77777777" w:rsidR="008B744F" w:rsidRDefault="008B744F">
      <w:pPr>
        <w:spacing w:line="480" w:lineRule="auto"/>
        <w:jc w:val="center"/>
        <w:rPr>
          <w:rFonts w:ascii="Times New Roman" w:eastAsia="Times New Roman" w:hAnsi="Times New Roman" w:cs="Times New Roman"/>
        </w:rPr>
      </w:pPr>
    </w:p>
    <w:p w14:paraId="00000006" w14:textId="77777777" w:rsidR="008F49C7" w:rsidRDefault="00000000" w:rsidP="00BE23EE">
      <w:pPr>
        <w:spacing w:line="240" w:lineRule="auto"/>
        <w:jc w:val="center"/>
        <w:rPr>
          <w:rFonts w:ascii="Times New Roman" w:eastAsia="Times New Roman" w:hAnsi="Times New Roman" w:cs="Times New Roman"/>
        </w:rPr>
      </w:pPr>
      <w:r>
        <w:rPr>
          <w:rFonts w:ascii="Times New Roman" w:eastAsia="Times New Roman" w:hAnsi="Times New Roman" w:cs="Times New Roman"/>
        </w:rPr>
        <w:t>by</w:t>
      </w:r>
    </w:p>
    <w:p w14:paraId="00000007" w14:textId="77777777" w:rsidR="008F49C7" w:rsidRDefault="00000000" w:rsidP="00BE23EE">
      <w:pPr>
        <w:spacing w:line="240" w:lineRule="auto"/>
        <w:jc w:val="center"/>
        <w:rPr>
          <w:rFonts w:ascii="Times New Roman" w:eastAsia="Times New Roman" w:hAnsi="Times New Roman" w:cs="Times New Roman"/>
        </w:rPr>
      </w:pPr>
      <w:r>
        <w:rPr>
          <w:rFonts w:ascii="Times New Roman" w:eastAsia="Times New Roman" w:hAnsi="Times New Roman" w:cs="Times New Roman"/>
        </w:rPr>
        <w:t>Kevin Coleman</w:t>
      </w:r>
    </w:p>
    <w:p w14:paraId="00000008" w14:textId="77777777" w:rsidR="008F49C7" w:rsidRDefault="008F49C7">
      <w:pPr>
        <w:spacing w:line="240" w:lineRule="auto"/>
        <w:jc w:val="center"/>
        <w:rPr>
          <w:rFonts w:ascii="Times New Roman" w:eastAsia="Times New Roman" w:hAnsi="Times New Roman" w:cs="Times New Roman"/>
        </w:rPr>
      </w:pPr>
    </w:p>
    <w:p w14:paraId="00000009" w14:textId="77777777" w:rsidR="008F49C7" w:rsidRDefault="008F49C7">
      <w:pPr>
        <w:spacing w:line="240" w:lineRule="auto"/>
        <w:jc w:val="center"/>
        <w:rPr>
          <w:rFonts w:ascii="Times New Roman" w:eastAsia="Times New Roman" w:hAnsi="Times New Roman" w:cs="Times New Roman"/>
        </w:rPr>
      </w:pPr>
    </w:p>
    <w:p w14:paraId="0000000A" w14:textId="77777777" w:rsidR="008F49C7" w:rsidRDefault="008F49C7">
      <w:pPr>
        <w:spacing w:line="240" w:lineRule="auto"/>
        <w:jc w:val="center"/>
        <w:rPr>
          <w:rFonts w:ascii="Times New Roman" w:eastAsia="Times New Roman" w:hAnsi="Times New Roman" w:cs="Times New Roman"/>
        </w:rPr>
      </w:pPr>
    </w:p>
    <w:p w14:paraId="0000000B" w14:textId="77777777" w:rsidR="008F49C7" w:rsidRDefault="008F49C7">
      <w:pPr>
        <w:spacing w:line="240" w:lineRule="auto"/>
        <w:jc w:val="center"/>
        <w:rPr>
          <w:rFonts w:ascii="Times New Roman" w:eastAsia="Times New Roman" w:hAnsi="Times New Roman" w:cs="Times New Roman"/>
        </w:rPr>
      </w:pPr>
    </w:p>
    <w:p w14:paraId="0000000C" w14:textId="77777777" w:rsidR="008F49C7" w:rsidRDefault="008F49C7">
      <w:pPr>
        <w:spacing w:line="240" w:lineRule="auto"/>
        <w:jc w:val="center"/>
        <w:rPr>
          <w:rFonts w:ascii="Times New Roman" w:eastAsia="Times New Roman" w:hAnsi="Times New Roman" w:cs="Times New Roman"/>
        </w:rPr>
      </w:pPr>
    </w:p>
    <w:p w14:paraId="115D5C28" w14:textId="77777777" w:rsidR="00792E2C" w:rsidRDefault="00792E2C">
      <w:pPr>
        <w:spacing w:line="240" w:lineRule="auto"/>
        <w:jc w:val="center"/>
        <w:rPr>
          <w:rFonts w:ascii="Times New Roman" w:eastAsia="Times New Roman" w:hAnsi="Times New Roman" w:cs="Times New Roman"/>
        </w:rPr>
      </w:pPr>
    </w:p>
    <w:p w14:paraId="68DC5CAB" w14:textId="77777777" w:rsidR="008B744F" w:rsidRDefault="008B744F">
      <w:pPr>
        <w:spacing w:line="240" w:lineRule="auto"/>
        <w:jc w:val="center"/>
        <w:rPr>
          <w:rFonts w:ascii="Times New Roman" w:eastAsia="Times New Roman" w:hAnsi="Times New Roman" w:cs="Times New Roman"/>
        </w:rPr>
      </w:pPr>
    </w:p>
    <w:p w14:paraId="5895EE94" w14:textId="77777777" w:rsidR="008B744F" w:rsidRDefault="008B744F">
      <w:pPr>
        <w:spacing w:line="240" w:lineRule="auto"/>
        <w:jc w:val="center"/>
        <w:rPr>
          <w:rFonts w:ascii="Times New Roman" w:eastAsia="Times New Roman" w:hAnsi="Times New Roman" w:cs="Times New Roman"/>
        </w:rPr>
      </w:pPr>
    </w:p>
    <w:p w14:paraId="7D2134C6" w14:textId="77777777" w:rsidR="008B744F" w:rsidRDefault="008B744F">
      <w:pPr>
        <w:spacing w:line="240" w:lineRule="auto"/>
        <w:jc w:val="center"/>
        <w:rPr>
          <w:rFonts w:ascii="Times New Roman" w:eastAsia="Times New Roman" w:hAnsi="Times New Roman" w:cs="Times New Roman"/>
        </w:rPr>
      </w:pPr>
    </w:p>
    <w:p w14:paraId="5EF1CA44" w14:textId="77777777" w:rsidR="008B744F" w:rsidRDefault="008B744F">
      <w:pPr>
        <w:spacing w:line="240" w:lineRule="auto"/>
        <w:jc w:val="center"/>
        <w:rPr>
          <w:rFonts w:ascii="Times New Roman" w:eastAsia="Times New Roman" w:hAnsi="Times New Roman" w:cs="Times New Roman"/>
        </w:rPr>
      </w:pPr>
    </w:p>
    <w:p w14:paraId="22C4D8DC" w14:textId="77777777" w:rsidR="008B744F" w:rsidRDefault="008B744F">
      <w:pPr>
        <w:spacing w:line="240" w:lineRule="auto"/>
        <w:jc w:val="center"/>
        <w:rPr>
          <w:rFonts w:ascii="Times New Roman" w:eastAsia="Times New Roman" w:hAnsi="Times New Roman" w:cs="Times New Roman"/>
        </w:rPr>
      </w:pPr>
    </w:p>
    <w:p w14:paraId="0B9640A9" w14:textId="77777777" w:rsidR="008B744F" w:rsidRDefault="008B744F">
      <w:pPr>
        <w:spacing w:line="240" w:lineRule="auto"/>
        <w:jc w:val="center"/>
        <w:rPr>
          <w:rFonts w:ascii="Times New Roman" w:eastAsia="Times New Roman" w:hAnsi="Times New Roman" w:cs="Times New Roman"/>
        </w:rPr>
      </w:pPr>
    </w:p>
    <w:p w14:paraId="6206B719" w14:textId="77777777" w:rsidR="008B744F" w:rsidRDefault="008B744F">
      <w:pPr>
        <w:spacing w:line="240" w:lineRule="auto"/>
        <w:jc w:val="center"/>
        <w:rPr>
          <w:rFonts w:ascii="Times New Roman" w:eastAsia="Times New Roman" w:hAnsi="Times New Roman" w:cs="Times New Roman"/>
        </w:rPr>
      </w:pPr>
    </w:p>
    <w:p w14:paraId="5DE2C27D" w14:textId="77777777" w:rsidR="008B744F" w:rsidRDefault="008B744F">
      <w:pPr>
        <w:spacing w:line="240" w:lineRule="auto"/>
        <w:jc w:val="center"/>
        <w:rPr>
          <w:rFonts w:ascii="Times New Roman" w:eastAsia="Times New Roman" w:hAnsi="Times New Roman" w:cs="Times New Roman"/>
        </w:rPr>
      </w:pPr>
    </w:p>
    <w:p w14:paraId="06813E70" w14:textId="77777777" w:rsidR="008B744F" w:rsidRDefault="008B744F">
      <w:pPr>
        <w:spacing w:line="240" w:lineRule="auto"/>
        <w:jc w:val="center"/>
        <w:rPr>
          <w:rFonts w:ascii="Times New Roman" w:eastAsia="Times New Roman" w:hAnsi="Times New Roman" w:cs="Times New Roman"/>
        </w:rPr>
      </w:pPr>
    </w:p>
    <w:p w14:paraId="204AF615" w14:textId="77777777" w:rsidR="008B744F" w:rsidRDefault="008B744F">
      <w:pPr>
        <w:spacing w:line="240" w:lineRule="auto"/>
        <w:jc w:val="center"/>
        <w:rPr>
          <w:rFonts w:ascii="Times New Roman" w:eastAsia="Times New Roman" w:hAnsi="Times New Roman" w:cs="Times New Roman"/>
        </w:rPr>
      </w:pPr>
    </w:p>
    <w:p w14:paraId="0A8CA9ED" w14:textId="77777777" w:rsidR="008B744F" w:rsidRDefault="008B744F">
      <w:pPr>
        <w:spacing w:line="240" w:lineRule="auto"/>
        <w:jc w:val="center"/>
        <w:rPr>
          <w:rFonts w:ascii="Times New Roman" w:eastAsia="Times New Roman" w:hAnsi="Times New Roman" w:cs="Times New Roman"/>
        </w:rPr>
      </w:pPr>
    </w:p>
    <w:p w14:paraId="5DDDEFDD" w14:textId="77777777" w:rsidR="008B744F" w:rsidRDefault="008B744F">
      <w:pPr>
        <w:spacing w:line="240" w:lineRule="auto"/>
        <w:jc w:val="center"/>
        <w:rPr>
          <w:rFonts w:ascii="Times New Roman" w:eastAsia="Times New Roman" w:hAnsi="Times New Roman" w:cs="Times New Roman"/>
        </w:rPr>
      </w:pPr>
    </w:p>
    <w:p w14:paraId="1DB3CBC8" w14:textId="77777777" w:rsidR="008B744F" w:rsidRDefault="008B744F">
      <w:pPr>
        <w:spacing w:line="240" w:lineRule="auto"/>
        <w:jc w:val="center"/>
        <w:rPr>
          <w:rFonts w:ascii="Times New Roman" w:eastAsia="Times New Roman" w:hAnsi="Times New Roman" w:cs="Times New Roman"/>
        </w:rPr>
      </w:pPr>
    </w:p>
    <w:p w14:paraId="0000000D" w14:textId="77777777" w:rsidR="008F49C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A capstone submitted to Johns Hopkins University in conformity with the</w:t>
      </w:r>
    </w:p>
    <w:p w14:paraId="0000000E" w14:textId="77777777" w:rsidR="008F49C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requirements for the degree of Master of Science in Data Analytics and Policy</w:t>
      </w:r>
    </w:p>
    <w:p w14:paraId="0000000F" w14:textId="77777777" w:rsidR="008F49C7" w:rsidRDefault="008F49C7">
      <w:pPr>
        <w:spacing w:line="240" w:lineRule="auto"/>
        <w:jc w:val="center"/>
        <w:rPr>
          <w:rFonts w:ascii="Times New Roman" w:eastAsia="Times New Roman" w:hAnsi="Times New Roman" w:cs="Times New Roman"/>
        </w:rPr>
      </w:pPr>
    </w:p>
    <w:p w14:paraId="6E6163AC" w14:textId="77777777" w:rsidR="001663E8" w:rsidRDefault="001663E8">
      <w:pPr>
        <w:spacing w:line="240" w:lineRule="auto"/>
        <w:jc w:val="center"/>
        <w:rPr>
          <w:rFonts w:ascii="Times New Roman" w:eastAsia="Times New Roman" w:hAnsi="Times New Roman" w:cs="Times New Roman"/>
        </w:rPr>
      </w:pPr>
    </w:p>
    <w:p w14:paraId="231E550B" w14:textId="77777777" w:rsidR="001663E8" w:rsidRDefault="001663E8">
      <w:pPr>
        <w:spacing w:line="240" w:lineRule="auto"/>
        <w:jc w:val="center"/>
        <w:rPr>
          <w:rFonts w:ascii="Times New Roman" w:eastAsia="Times New Roman" w:hAnsi="Times New Roman" w:cs="Times New Roman"/>
        </w:rPr>
      </w:pPr>
    </w:p>
    <w:p w14:paraId="734823B0" w14:textId="77777777" w:rsidR="001663E8" w:rsidRDefault="001663E8">
      <w:pPr>
        <w:spacing w:line="240" w:lineRule="auto"/>
        <w:jc w:val="center"/>
        <w:rPr>
          <w:rFonts w:ascii="Times New Roman" w:eastAsia="Times New Roman" w:hAnsi="Times New Roman" w:cs="Times New Roman"/>
        </w:rPr>
      </w:pPr>
    </w:p>
    <w:p w14:paraId="2F859B02" w14:textId="77777777" w:rsidR="001663E8" w:rsidRDefault="001663E8">
      <w:pPr>
        <w:spacing w:line="240" w:lineRule="auto"/>
        <w:jc w:val="center"/>
        <w:rPr>
          <w:rFonts w:ascii="Times New Roman" w:eastAsia="Times New Roman" w:hAnsi="Times New Roman" w:cs="Times New Roman"/>
        </w:rPr>
      </w:pPr>
    </w:p>
    <w:p w14:paraId="769BDE9E" w14:textId="77777777" w:rsidR="001663E8" w:rsidRDefault="001663E8">
      <w:pPr>
        <w:spacing w:line="240" w:lineRule="auto"/>
        <w:jc w:val="center"/>
        <w:rPr>
          <w:rFonts w:ascii="Times New Roman" w:eastAsia="Times New Roman" w:hAnsi="Times New Roman" w:cs="Times New Roman"/>
        </w:rPr>
      </w:pPr>
    </w:p>
    <w:p w14:paraId="3DF0722E" w14:textId="0085CBA0" w:rsidR="001663E8" w:rsidRDefault="008363D1" w:rsidP="00AB48A1">
      <w:pPr>
        <w:tabs>
          <w:tab w:val="left" w:pos="2040"/>
          <w:tab w:val="left" w:pos="3300"/>
        </w:tabs>
        <w:spacing w:line="240" w:lineRule="auto"/>
        <w:rPr>
          <w:rFonts w:ascii="Times New Roman" w:eastAsia="Times New Roman" w:hAnsi="Times New Roman" w:cs="Times New Roman"/>
        </w:rPr>
      </w:pPr>
      <w:r>
        <w:rPr>
          <w:rFonts w:ascii="Times New Roman" w:eastAsia="Times New Roman" w:hAnsi="Times New Roman" w:cs="Times New Roman"/>
        </w:rPr>
        <w:tab/>
      </w:r>
      <w:r w:rsidR="00AB48A1">
        <w:rPr>
          <w:rFonts w:ascii="Times New Roman" w:eastAsia="Times New Roman" w:hAnsi="Times New Roman" w:cs="Times New Roman"/>
        </w:rPr>
        <w:tab/>
      </w:r>
    </w:p>
    <w:p w14:paraId="1133B4E4" w14:textId="77777777" w:rsidR="001663E8" w:rsidRDefault="001663E8">
      <w:pPr>
        <w:spacing w:line="240" w:lineRule="auto"/>
        <w:jc w:val="center"/>
        <w:rPr>
          <w:rFonts w:ascii="Times New Roman" w:eastAsia="Times New Roman" w:hAnsi="Times New Roman" w:cs="Times New Roman"/>
        </w:rPr>
      </w:pPr>
    </w:p>
    <w:p w14:paraId="6B1B4573" w14:textId="77777777" w:rsidR="001663E8" w:rsidRDefault="001663E8" w:rsidP="008B744F">
      <w:pPr>
        <w:spacing w:line="240" w:lineRule="auto"/>
        <w:ind w:firstLine="0"/>
        <w:rPr>
          <w:rFonts w:ascii="Times New Roman" w:eastAsia="Times New Roman" w:hAnsi="Times New Roman" w:cs="Times New Roman"/>
        </w:rPr>
      </w:pPr>
    </w:p>
    <w:p w14:paraId="00000010" w14:textId="6EB4F906" w:rsidR="008F49C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Baltimore, Maryland</w:t>
      </w:r>
    </w:p>
    <w:p w14:paraId="0A48B9C1" w14:textId="68D78C62" w:rsidR="008B744F" w:rsidRDefault="00000000" w:rsidP="001B59C0">
      <w:pPr>
        <w:spacing w:line="240" w:lineRule="auto"/>
        <w:jc w:val="center"/>
        <w:rPr>
          <w:rFonts w:ascii="Times New Roman" w:eastAsia="Times New Roman" w:hAnsi="Times New Roman" w:cs="Times New Roman"/>
        </w:rPr>
      </w:pPr>
      <w:r>
        <w:rPr>
          <w:rFonts w:ascii="Times New Roman" w:eastAsia="Times New Roman" w:hAnsi="Times New Roman" w:cs="Times New Roman"/>
        </w:rPr>
        <w:t>May 2025</w:t>
      </w:r>
    </w:p>
    <w:p w14:paraId="1FF5A915" w14:textId="380EB353" w:rsidR="00B20AC3" w:rsidRDefault="007E72D5" w:rsidP="00C041C7">
      <w:pPr>
        <w:pStyle w:val="ListParagraph"/>
        <w:spacing w:line="240" w:lineRule="auto"/>
        <w:ind w:left="0" w:firstLine="0"/>
        <w:rPr>
          <w:rFonts w:ascii="Times New Roman" w:eastAsia="Times New Roman" w:hAnsi="Times New Roman" w:cs="Times New Roman"/>
          <w:sz w:val="20"/>
          <w:szCs w:val="20"/>
        </w:rPr>
      </w:pPr>
      <w:r w:rsidRPr="007E72D5">
        <w:rPr>
          <w:rFonts w:ascii="Times New Roman" w:eastAsia="Times New Roman" w:hAnsi="Times New Roman" w:cs="Times New Roman"/>
          <w:sz w:val="20"/>
          <w:szCs w:val="20"/>
        </w:rPr>
        <w:tab/>
      </w:r>
      <w:r w:rsidRPr="007E72D5">
        <w:rPr>
          <w:rFonts w:ascii="Times New Roman" w:eastAsia="Times New Roman" w:hAnsi="Times New Roman" w:cs="Times New Roman"/>
          <w:sz w:val="20"/>
          <w:szCs w:val="20"/>
        </w:rPr>
        <w:tab/>
      </w:r>
      <w:r w:rsidR="00B20AC3" w:rsidRPr="007E72D5">
        <w:rPr>
          <w:rFonts w:ascii="Times New Roman" w:eastAsia="Times New Roman" w:hAnsi="Times New Roman" w:cs="Times New Roman"/>
          <w:sz w:val="20"/>
          <w:szCs w:val="20"/>
        </w:rPr>
        <w:tab/>
      </w:r>
      <w:r w:rsidR="00B20AC3" w:rsidRPr="007E72D5">
        <w:rPr>
          <w:rFonts w:ascii="Times New Roman" w:eastAsia="Times New Roman" w:hAnsi="Times New Roman" w:cs="Times New Roman"/>
          <w:sz w:val="20"/>
          <w:szCs w:val="20"/>
        </w:rPr>
        <w:tab/>
      </w:r>
      <w:r w:rsidR="00B20AC3" w:rsidRPr="007E72D5">
        <w:rPr>
          <w:rFonts w:ascii="Times New Roman" w:eastAsia="Times New Roman" w:hAnsi="Times New Roman" w:cs="Times New Roman"/>
          <w:sz w:val="20"/>
          <w:szCs w:val="20"/>
        </w:rPr>
        <w:tab/>
      </w:r>
    </w:p>
    <w:p w14:paraId="4FFC8B38" w14:textId="5A39E83E" w:rsidR="006F449D" w:rsidRDefault="006F449D" w:rsidP="00902346">
      <w:pPr>
        <w:pStyle w:val="TOC1"/>
      </w:pPr>
      <w:r w:rsidRPr="00353E8D">
        <w:lastRenderedPageBreak/>
        <w:t>Table of Contents</w:t>
      </w:r>
    </w:p>
    <w:p w14:paraId="46FD4E9D" w14:textId="77777777" w:rsidR="006F4147" w:rsidRPr="006F4147" w:rsidRDefault="006F4147" w:rsidP="006F4147"/>
    <w:p w14:paraId="67317457" w14:textId="4C725137" w:rsidR="00E8642B" w:rsidRPr="00E8642B" w:rsidRDefault="009E1DA5">
      <w:pPr>
        <w:pStyle w:val="TOC1"/>
        <w:rPr>
          <w:rFonts w:eastAsiaTheme="minorEastAsia"/>
          <w:b w:val="0"/>
          <w:bCs w:val="0"/>
          <w:kern w:val="2"/>
          <w:sz w:val="24"/>
          <w:szCs w:val="24"/>
          <w14:ligatures w14:val="standardContextual"/>
        </w:rPr>
      </w:pPr>
      <w:r w:rsidRPr="00E8642B">
        <w:fldChar w:fldCharType="begin"/>
      </w:r>
      <w:r w:rsidRPr="00E8642B">
        <w:instrText xml:space="preserve"> TOC \o "1-3" \h \z \u </w:instrText>
      </w:r>
      <w:r w:rsidRPr="00E8642B">
        <w:fldChar w:fldCharType="separate"/>
      </w:r>
      <w:hyperlink w:anchor="_Toc197889214" w:history="1">
        <w:r w:rsidR="00E8642B" w:rsidRPr="00E8642B">
          <w:rPr>
            <w:rStyle w:val="Hyperlink"/>
          </w:rPr>
          <w:t>1.</w:t>
        </w:r>
        <w:r w:rsidR="00E8642B" w:rsidRPr="00E8642B">
          <w:rPr>
            <w:rFonts w:eastAsiaTheme="minorEastAsia"/>
            <w:b w:val="0"/>
            <w:bCs w:val="0"/>
            <w:kern w:val="2"/>
            <w:sz w:val="24"/>
            <w:szCs w:val="24"/>
            <w14:ligatures w14:val="standardContextual"/>
          </w:rPr>
          <w:tab/>
        </w:r>
        <w:r w:rsidR="00E8642B" w:rsidRPr="00E8642B">
          <w:rPr>
            <w:rStyle w:val="Hyperlink"/>
          </w:rPr>
          <w:t>Abstract</w:t>
        </w:r>
        <w:r w:rsidR="00E8642B" w:rsidRPr="00E8642B">
          <w:rPr>
            <w:webHidden/>
          </w:rPr>
          <w:tab/>
        </w:r>
        <w:r w:rsidR="00E8642B" w:rsidRPr="00E8642B">
          <w:rPr>
            <w:webHidden/>
          </w:rPr>
          <w:fldChar w:fldCharType="begin"/>
        </w:r>
        <w:r w:rsidR="00E8642B" w:rsidRPr="00E8642B">
          <w:rPr>
            <w:webHidden/>
          </w:rPr>
          <w:instrText xml:space="preserve"> PAGEREF _Toc197889214 \h </w:instrText>
        </w:r>
        <w:r w:rsidR="00E8642B" w:rsidRPr="00E8642B">
          <w:rPr>
            <w:webHidden/>
          </w:rPr>
        </w:r>
        <w:r w:rsidR="00E8642B" w:rsidRPr="00E8642B">
          <w:rPr>
            <w:webHidden/>
          </w:rPr>
          <w:fldChar w:fldCharType="separate"/>
        </w:r>
        <w:r w:rsidR="00E8642B" w:rsidRPr="00E8642B">
          <w:rPr>
            <w:webHidden/>
          </w:rPr>
          <w:t>3</w:t>
        </w:r>
        <w:r w:rsidR="00E8642B" w:rsidRPr="00E8642B">
          <w:rPr>
            <w:webHidden/>
          </w:rPr>
          <w:fldChar w:fldCharType="end"/>
        </w:r>
      </w:hyperlink>
    </w:p>
    <w:p w14:paraId="6F491DC5" w14:textId="7C867BAA" w:rsidR="00E8642B" w:rsidRPr="00E8642B" w:rsidRDefault="00E8642B">
      <w:pPr>
        <w:pStyle w:val="TOC1"/>
        <w:rPr>
          <w:rFonts w:eastAsiaTheme="minorEastAsia"/>
          <w:b w:val="0"/>
          <w:bCs w:val="0"/>
          <w:kern w:val="2"/>
          <w:sz w:val="24"/>
          <w:szCs w:val="24"/>
          <w14:ligatures w14:val="standardContextual"/>
        </w:rPr>
      </w:pPr>
      <w:hyperlink w:anchor="_Toc197889215" w:history="1">
        <w:r w:rsidRPr="00E8642B">
          <w:rPr>
            <w:rStyle w:val="Hyperlink"/>
          </w:rPr>
          <w:t>2.</w:t>
        </w:r>
        <w:r w:rsidRPr="00E8642B">
          <w:rPr>
            <w:rFonts w:eastAsiaTheme="minorEastAsia"/>
            <w:b w:val="0"/>
            <w:bCs w:val="0"/>
            <w:kern w:val="2"/>
            <w:sz w:val="24"/>
            <w:szCs w:val="24"/>
            <w14:ligatures w14:val="standardContextual"/>
          </w:rPr>
          <w:tab/>
        </w:r>
        <w:r w:rsidRPr="00E8642B">
          <w:rPr>
            <w:rStyle w:val="Hyperlink"/>
          </w:rPr>
          <w:t>Introduction</w:t>
        </w:r>
        <w:r w:rsidRPr="00E8642B">
          <w:rPr>
            <w:webHidden/>
          </w:rPr>
          <w:tab/>
        </w:r>
        <w:r w:rsidRPr="00E8642B">
          <w:rPr>
            <w:webHidden/>
          </w:rPr>
          <w:fldChar w:fldCharType="begin"/>
        </w:r>
        <w:r w:rsidRPr="00E8642B">
          <w:rPr>
            <w:webHidden/>
          </w:rPr>
          <w:instrText xml:space="preserve"> PAGEREF _Toc197889215 \h </w:instrText>
        </w:r>
        <w:r w:rsidRPr="00E8642B">
          <w:rPr>
            <w:webHidden/>
          </w:rPr>
        </w:r>
        <w:r w:rsidRPr="00E8642B">
          <w:rPr>
            <w:webHidden/>
          </w:rPr>
          <w:fldChar w:fldCharType="separate"/>
        </w:r>
        <w:r w:rsidRPr="00E8642B">
          <w:rPr>
            <w:webHidden/>
          </w:rPr>
          <w:t>3</w:t>
        </w:r>
        <w:r w:rsidRPr="00E8642B">
          <w:rPr>
            <w:webHidden/>
          </w:rPr>
          <w:fldChar w:fldCharType="end"/>
        </w:r>
      </w:hyperlink>
    </w:p>
    <w:p w14:paraId="63080B8C" w14:textId="39EFC442" w:rsidR="00E8642B" w:rsidRPr="00E8642B" w:rsidRDefault="00E8642B">
      <w:pPr>
        <w:pStyle w:val="TOC1"/>
        <w:rPr>
          <w:rFonts w:eastAsiaTheme="minorEastAsia"/>
          <w:b w:val="0"/>
          <w:bCs w:val="0"/>
          <w:kern w:val="2"/>
          <w:sz w:val="24"/>
          <w:szCs w:val="24"/>
          <w14:ligatures w14:val="standardContextual"/>
        </w:rPr>
      </w:pPr>
      <w:hyperlink w:anchor="_Toc197889216" w:history="1">
        <w:r w:rsidRPr="00E8642B">
          <w:rPr>
            <w:rStyle w:val="Hyperlink"/>
          </w:rPr>
          <w:t>3.</w:t>
        </w:r>
        <w:r w:rsidRPr="00E8642B">
          <w:rPr>
            <w:rFonts w:eastAsiaTheme="minorEastAsia"/>
            <w:b w:val="0"/>
            <w:bCs w:val="0"/>
            <w:kern w:val="2"/>
            <w:sz w:val="24"/>
            <w:szCs w:val="24"/>
            <w14:ligatures w14:val="standardContextual"/>
          </w:rPr>
          <w:tab/>
        </w:r>
        <w:r w:rsidRPr="00E8642B">
          <w:rPr>
            <w:rStyle w:val="Hyperlink"/>
          </w:rPr>
          <w:t>Background and Previous Literature</w:t>
        </w:r>
        <w:r w:rsidRPr="00E8642B">
          <w:rPr>
            <w:webHidden/>
          </w:rPr>
          <w:tab/>
        </w:r>
        <w:r w:rsidRPr="00E8642B">
          <w:rPr>
            <w:webHidden/>
          </w:rPr>
          <w:fldChar w:fldCharType="begin"/>
        </w:r>
        <w:r w:rsidRPr="00E8642B">
          <w:rPr>
            <w:webHidden/>
          </w:rPr>
          <w:instrText xml:space="preserve"> PAGEREF _Toc197889216 \h </w:instrText>
        </w:r>
        <w:r w:rsidRPr="00E8642B">
          <w:rPr>
            <w:webHidden/>
          </w:rPr>
        </w:r>
        <w:r w:rsidRPr="00E8642B">
          <w:rPr>
            <w:webHidden/>
          </w:rPr>
          <w:fldChar w:fldCharType="separate"/>
        </w:r>
        <w:r w:rsidRPr="00E8642B">
          <w:rPr>
            <w:webHidden/>
          </w:rPr>
          <w:t>6</w:t>
        </w:r>
        <w:r w:rsidRPr="00E8642B">
          <w:rPr>
            <w:webHidden/>
          </w:rPr>
          <w:fldChar w:fldCharType="end"/>
        </w:r>
      </w:hyperlink>
    </w:p>
    <w:p w14:paraId="46AFD2CD" w14:textId="1DC1D798" w:rsidR="00E8642B" w:rsidRPr="00E8642B" w:rsidRDefault="00E8642B">
      <w:pPr>
        <w:pStyle w:val="TOC2"/>
        <w:rPr>
          <w:rFonts w:ascii="Times New Roman" w:eastAsiaTheme="minorEastAsia" w:hAnsi="Times New Roman" w:cs="Times New Roman"/>
          <w:noProof/>
          <w:kern w:val="2"/>
          <w14:ligatures w14:val="standardContextual"/>
        </w:rPr>
      </w:pPr>
      <w:hyperlink w:anchor="_Toc197889217" w:history="1">
        <w:r w:rsidRPr="00E8642B">
          <w:rPr>
            <w:rStyle w:val="Hyperlink"/>
            <w:rFonts w:ascii="Times New Roman" w:eastAsia="Times New Roman" w:hAnsi="Times New Roman" w:cs="Times New Roman"/>
            <w:noProof/>
          </w:rPr>
          <w:t>3.1 Economic Impacts</w:t>
        </w:r>
        <w:r w:rsidRPr="00E8642B">
          <w:rPr>
            <w:rFonts w:ascii="Times New Roman" w:hAnsi="Times New Roman" w:cs="Times New Roman"/>
            <w:noProof/>
            <w:webHidden/>
          </w:rPr>
          <w:tab/>
        </w:r>
        <w:r w:rsidRPr="00E8642B">
          <w:rPr>
            <w:rFonts w:ascii="Times New Roman" w:hAnsi="Times New Roman" w:cs="Times New Roman"/>
            <w:noProof/>
            <w:webHidden/>
          </w:rPr>
          <w:fldChar w:fldCharType="begin"/>
        </w:r>
        <w:r w:rsidRPr="00E8642B">
          <w:rPr>
            <w:rFonts w:ascii="Times New Roman" w:hAnsi="Times New Roman" w:cs="Times New Roman"/>
            <w:noProof/>
            <w:webHidden/>
          </w:rPr>
          <w:instrText xml:space="preserve"> PAGEREF _Toc197889217 \h </w:instrText>
        </w:r>
        <w:r w:rsidRPr="00E8642B">
          <w:rPr>
            <w:rFonts w:ascii="Times New Roman" w:hAnsi="Times New Roman" w:cs="Times New Roman"/>
            <w:noProof/>
            <w:webHidden/>
          </w:rPr>
        </w:r>
        <w:r w:rsidRPr="00E8642B">
          <w:rPr>
            <w:rFonts w:ascii="Times New Roman" w:hAnsi="Times New Roman" w:cs="Times New Roman"/>
            <w:noProof/>
            <w:webHidden/>
          </w:rPr>
          <w:fldChar w:fldCharType="separate"/>
        </w:r>
        <w:r w:rsidRPr="00E8642B">
          <w:rPr>
            <w:rFonts w:ascii="Times New Roman" w:hAnsi="Times New Roman" w:cs="Times New Roman"/>
            <w:noProof/>
            <w:webHidden/>
          </w:rPr>
          <w:t>6</w:t>
        </w:r>
        <w:r w:rsidRPr="00E8642B">
          <w:rPr>
            <w:rFonts w:ascii="Times New Roman" w:hAnsi="Times New Roman" w:cs="Times New Roman"/>
            <w:noProof/>
            <w:webHidden/>
          </w:rPr>
          <w:fldChar w:fldCharType="end"/>
        </w:r>
      </w:hyperlink>
    </w:p>
    <w:p w14:paraId="6236CD40" w14:textId="08CF95B8" w:rsidR="00E8642B" w:rsidRPr="00E8642B" w:rsidRDefault="00E8642B">
      <w:pPr>
        <w:pStyle w:val="TOC2"/>
        <w:rPr>
          <w:rFonts w:ascii="Times New Roman" w:eastAsiaTheme="minorEastAsia" w:hAnsi="Times New Roman" w:cs="Times New Roman"/>
          <w:noProof/>
          <w:kern w:val="2"/>
          <w14:ligatures w14:val="standardContextual"/>
        </w:rPr>
      </w:pPr>
      <w:hyperlink w:anchor="_Toc197889218" w:history="1">
        <w:r w:rsidRPr="00E8642B">
          <w:rPr>
            <w:rStyle w:val="Hyperlink"/>
            <w:rFonts w:ascii="Times New Roman" w:eastAsia="Times New Roman" w:hAnsi="Times New Roman" w:cs="Times New Roman"/>
            <w:noProof/>
          </w:rPr>
          <w:t>3.2 Political Literature</w:t>
        </w:r>
        <w:r w:rsidRPr="00E8642B">
          <w:rPr>
            <w:rFonts w:ascii="Times New Roman" w:hAnsi="Times New Roman" w:cs="Times New Roman"/>
            <w:noProof/>
            <w:webHidden/>
          </w:rPr>
          <w:tab/>
        </w:r>
        <w:r w:rsidRPr="00E8642B">
          <w:rPr>
            <w:rFonts w:ascii="Times New Roman" w:hAnsi="Times New Roman" w:cs="Times New Roman"/>
            <w:noProof/>
            <w:webHidden/>
          </w:rPr>
          <w:fldChar w:fldCharType="begin"/>
        </w:r>
        <w:r w:rsidRPr="00E8642B">
          <w:rPr>
            <w:rFonts w:ascii="Times New Roman" w:hAnsi="Times New Roman" w:cs="Times New Roman"/>
            <w:noProof/>
            <w:webHidden/>
          </w:rPr>
          <w:instrText xml:space="preserve"> PAGEREF _Toc197889218 \h </w:instrText>
        </w:r>
        <w:r w:rsidRPr="00E8642B">
          <w:rPr>
            <w:rFonts w:ascii="Times New Roman" w:hAnsi="Times New Roman" w:cs="Times New Roman"/>
            <w:noProof/>
            <w:webHidden/>
          </w:rPr>
        </w:r>
        <w:r w:rsidRPr="00E8642B">
          <w:rPr>
            <w:rFonts w:ascii="Times New Roman" w:hAnsi="Times New Roman" w:cs="Times New Roman"/>
            <w:noProof/>
            <w:webHidden/>
          </w:rPr>
          <w:fldChar w:fldCharType="separate"/>
        </w:r>
        <w:r w:rsidRPr="00E8642B">
          <w:rPr>
            <w:rFonts w:ascii="Times New Roman" w:hAnsi="Times New Roman" w:cs="Times New Roman"/>
            <w:noProof/>
            <w:webHidden/>
          </w:rPr>
          <w:t>7</w:t>
        </w:r>
        <w:r w:rsidRPr="00E8642B">
          <w:rPr>
            <w:rFonts w:ascii="Times New Roman" w:hAnsi="Times New Roman" w:cs="Times New Roman"/>
            <w:noProof/>
            <w:webHidden/>
          </w:rPr>
          <w:fldChar w:fldCharType="end"/>
        </w:r>
      </w:hyperlink>
    </w:p>
    <w:p w14:paraId="6B6CF4BA" w14:textId="0F73BF99" w:rsidR="00E8642B" w:rsidRPr="00E8642B" w:rsidRDefault="00E8642B">
      <w:pPr>
        <w:pStyle w:val="TOC2"/>
        <w:rPr>
          <w:rFonts w:ascii="Times New Roman" w:eastAsiaTheme="minorEastAsia" w:hAnsi="Times New Roman" w:cs="Times New Roman"/>
          <w:noProof/>
          <w:kern w:val="2"/>
          <w14:ligatures w14:val="standardContextual"/>
        </w:rPr>
      </w:pPr>
      <w:hyperlink w:anchor="_Toc197889219" w:history="1">
        <w:r w:rsidRPr="00E8642B">
          <w:rPr>
            <w:rStyle w:val="Hyperlink"/>
            <w:rFonts w:ascii="Times New Roman" w:eastAsia="Times New Roman" w:hAnsi="Times New Roman" w:cs="Times New Roman"/>
            <w:noProof/>
          </w:rPr>
          <w:t>3.3 Investment Impacts</w:t>
        </w:r>
        <w:r w:rsidRPr="00E8642B">
          <w:rPr>
            <w:rFonts w:ascii="Times New Roman" w:hAnsi="Times New Roman" w:cs="Times New Roman"/>
            <w:noProof/>
            <w:webHidden/>
          </w:rPr>
          <w:tab/>
        </w:r>
        <w:r w:rsidRPr="00E8642B">
          <w:rPr>
            <w:rFonts w:ascii="Times New Roman" w:hAnsi="Times New Roman" w:cs="Times New Roman"/>
            <w:noProof/>
            <w:webHidden/>
          </w:rPr>
          <w:fldChar w:fldCharType="begin"/>
        </w:r>
        <w:r w:rsidRPr="00E8642B">
          <w:rPr>
            <w:rFonts w:ascii="Times New Roman" w:hAnsi="Times New Roman" w:cs="Times New Roman"/>
            <w:noProof/>
            <w:webHidden/>
          </w:rPr>
          <w:instrText xml:space="preserve"> PAGEREF _Toc197889219 \h </w:instrText>
        </w:r>
        <w:r w:rsidRPr="00E8642B">
          <w:rPr>
            <w:rFonts w:ascii="Times New Roman" w:hAnsi="Times New Roman" w:cs="Times New Roman"/>
            <w:noProof/>
            <w:webHidden/>
          </w:rPr>
        </w:r>
        <w:r w:rsidRPr="00E8642B">
          <w:rPr>
            <w:rFonts w:ascii="Times New Roman" w:hAnsi="Times New Roman" w:cs="Times New Roman"/>
            <w:noProof/>
            <w:webHidden/>
          </w:rPr>
          <w:fldChar w:fldCharType="separate"/>
        </w:r>
        <w:r w:rsidRPr="00E8642B">
          <w:rPr>
            <w:rFonts w:ascii="Times New Roman" w:hAnsi="Times New Roman" w:cs="Times New Roman"/>
            <w:noProof/>
            <w:webHidden/>
          </w:rPr>
          <w:t>8</w:t>
        </w:r>
        <w:r w:rsidRPr="00E8642B">
          <w:rPr>
            <w:rFonts w:ascii="Times New Roman" w:hAnsi="Times New Roman" w:cs="Times New Roman"/>
            <w:noProof/>
            <w:webHidden/>
          </w:rPr>
          <w:fldChar w:fldCharType="end"/>
        </w:r>
      </w:hyperlink>
    </w:p>
    <w:p w14:paraId="4DF573AA" w14:textId="209EF156" w:rsidR="00E8642B" w:rsidRPr="00E8642B" w:rsidRDefault="00E8642B">
      <w:pPr>
        <w:pStyle w:val="TOC2"/>
        <w:rPr>
          <w:rFonts w:ascii="Times New Roman" w:eastAsiaTheme="minorEastAsia" w:hAnsi="Times New Roman" w:cs="Times New Roman"/>
          <w:noProof/>
          <w:kern w:val="2"/>
          <w14:ligatures w14:val="standardContextual"/>
        </w:rPr>
      </w:pPr>
      <w:hyperlink w:anchor="_Toc197889220" w:history="1">
        <w:r w:rsidRPr="00E8642B">
          <w:rPr>
            <w:rStyle w:val="Hyperlink"/>
            <w:rFonts w:ascii="Times New Roman" w:eastAsia="Times New Roman" w:hAnsi="Times New Roman" w:cs="Times New Roman"/>
            <w:noProof/>
          </w:rPr>
          <w:t>3.4 Economic Distress Index</w:t>
        </w:r>
        <w:r w:rsidRPr="00E8642B">
          <w:rPr>
            <w:rFonts w:ascii="Times New Roman" w:hAnsi="Times New Roman" w:cs="Times New Roman"/>
            <w:noProof/>
            <w:webHidden/>
          </w:rPr>
          <w:tab/>
        </w:r>
        <w:r w:rsidRPr="00E8642B">
          <w:rPr>
            <w:rFonts w:ascii="Times New Roman" w:hAnsi="Times New Roman" w:cs="Times New Roman"/>
            <w:noProof/>
            <w:webHidden/>
          </w:rPr>
          <w:fldChar w:fldCharType="begin"/>
        </w:r>
        <w:r w:rsidRPr="00E8642B">
          <w:rPr>
            <w:rFonts w:ascii="Times New Roman" w:hAnsi="Times New Roman" w:cs="Times New Roman"/>
            <w:noProof/>
            <w:webHidden/>
          </w:rPr>
          <w:instrText xml:space="preserve"> PAGEREF _Toc197889220 \h </w:instrText>
        </w:r>
        <w:r w:rsidRPr="00E8642B">
          <w:rPr>
            <w:rFonts w:ascii="Times New Roman" w:hAnsi="Times New Roman" w:cs="Times New Roman"/>
            <w:noProof/>
            <w:webHidden/>
          </w:rPr>
        </w:r>
        <w:r w:rsidRPr="00E8642B">
          <w:rPr>
            <w:rFonts w:ascii="Times New Roman" w:hAnsi="Times New Roman" w:cs="Times New Roman"/>
            <w:noProof/>
            <w:webHidden/>
          </w:rPr>
          <w:fldChar w:fldCharType="separate"/>
        </w:r>
        <w:r w:rsidRPr="00E8642B">
          <w:rPr>
            <w:rFonts w:ascii="Times New Roman" w:hAnsi="Times New Roman" w:cs="Times New Roman"/>
            <w:noProof/>
            <w:webHidden/>
          </w:rPr>
          <w:t>9</w:t>
        </w:r>
        <w:r w:rsidRPr="00E8642B">
          <w:rPr>
            <w:rFonts w:ascii="Times New Roman" w:hAnsi="Times New Roman" w:cs="Times New Roman"/>
            <w:noProof/>
            <w:webHidden/>
          </w:rPr>
          <w:fldChar w:fldCharType="end"/>
        </w:r>
      </w:hyperlink>
    </w:p>
    <w:p w14:paraId="5C631068" w14:textId="76C46BA8" w:rsidR="00E8642B" w:rsidRPr="00E8642B" w:rsidRDefault="00E8642B">
      <w:pPr>
        <w:pStyle w:val="TOC2"/>
        <w:rPr>
          <w:rFonts w:ascii="Times New Roman" w:eastAsiaTheme="minorEastAsia" w:hAnsi="Times New Roman" w:cs="Times New Roman"/>
          <w:noProof/>
          <w:kern w:val="2"/>
          <w14:ligatures w14:val="standardContextual"/>
        </w:rPr>
      </w:pPr>
      <w:hyperlink w:anchor="_Toc197889221" w:history="1">
        <w:r w:rsidRPr="00E8642B">
          <w:rPr>
            <w:rStyle w:val="Hyperlink"/>
            <w:rFonts w:ascii="Times New Roman" w:eastAsia="Times New Roman" w:hAnsi="Times New Roman" w:cs="Times New Roman"/>
            <w:noProof/>
          </w:rPr>
          <w:t>3.5 Literature Critiques</w:t>
        </w:r>
        <w:r w:rsidRPr="00E8642B">
          <w:rPr>
            <w:rFonts w:ascii="Times New Roman" w:hAnsi="Times New Roman" w:cs="Times New Roman"/>
            <w:noProof/>
            <w:webHidden/>
          </w:rPr>
          <w:tab/>
        </w:r>
        <w:r w:rsidRPr="00E8642B">
          <w:rPr>
            <w:rFonts w:ascii="Times New Roman" w:hAnsi="Times New Roman" w:cs="Times New Roman"/>
            <w:noProof/>
            <w:webHidden/>
          </w:rPr>
          <w:fldChar w:fldCharType="begin"/>
        </w:r>
        <w:r w:rsidRPr="00E8642B">
          <w:rPr>
            <w:rFonts w:ascii="Times New Roman" w:hAnsi="Times New Roman" w:cs="Times New Roman"/>
            <w:noProof/>
            <w:webHidden/>
          </w:rPr>
          <w:instrText xml:space="preserve"> PAGEREF _Toc197889221 \h </w:instrText>
        </w:r>
        <w:r w:rsidRPr="00E8642B">
          <w:rPr>
            <w:rFonts w:ascii="Times New Roman" w:hAnsi="Times New Roman" w:cs="Times New Roman"/>
            <w:noProof/>
            <w:webHidden/>
          </w:rPr>
        </w:r>
        <w:r w:rsidRPr="00E8642B">
          <w:rPr>
            <w:rFonts w:ascii="Times New Roman" w:hAnsi="Times New Roman" w:cs="Times New Roman"/>
            <w:noProof/>
            <w:webHidden/>
          </w:rPr>
          <w:fldChar w:fldCharType="separate"/>
        </w:r>
        <w:r w:rsidRPr="00E8642B">
          <w:rPr>
            <w:rFonts w:ascii="Times New Roman" w:hAnsi="Times New Roman" w:cs="Times New Roman"/>
            <w:noProof/>
            <w:webHidden/>
          </w:rPr>
          <w:t>10</w:t>
        </w:r>
        <w:r w:rsidRPr="00E8642B">
          <w:rPr>
            <w:rFonts w:ascii="Times New Roman" w:hAnsi="Times New Roman" w:cs="Times New Roman"/>
            <w:noProof/>
            <w:webHidden/>
          </w:rPr>
          <w:fldChar w:fldCharType="end"/>
        </w:r>
      </w:hyperlink>
    </w:p>
    <w:p w14:paraId="5F7942D7" w14:textId="3E77777F" w:rsidR="00E8642B" w:rsidRPr="00E8642B" w:rsidRDefault="00E8642B">
      <w:pPr>
        <w:pStyle w:val="TOC1"/>
        <w:rPr>
          <w:rFonts w:eastAsiaTheme="minorEastAsia"/>
          <w:b w:val="0"/>
          <w:bCs w:val="0"/>
          <w:kern w:val="2"/>
          <w:sz w:val="24"/>
          <w:szCs w:val="24"/>
          <w14:ligatures w14:val="standardContextual"/>
        </w:rPr>
      </w:pPr>
      <w:hyperlink w:anchor="_Toc197889222" w:history="1">
        <w:r w:rsidRPr="00E8642B">
          <w:rPr>
            <w:rStyle w:val="Hyperlink"/>
          </w:rPr>
          <w:t>4.</w:t>
        </w:r>
        <w:r w:rsidRPr="00E8642B">
          <w:rPr>
            <w:rFonts w:eastAsiaTheme="minorEastAsia"/>
            <w:b w:val="0"/>
            <w:bCs w:val="0"/>
            <w:kern w:val="2"/>
            <w:sz w:val="24"/>
            <w:szCs w:val="24"/>
            <w14:ligatures w14:val="standardContextual"/>
          </w:rPr>
          <w:tab/>
        </w:r>
        <w:r w:rsidRPr="00E8642B">
          <w:rPr>
            <w:rStyle w:val="Hyperlink"/>
          </w:rPr>
          <w:t>Theoretical Development and Hypotheses</w:t>
        </w:r>
        <w:r w:rsidRPr="00E8642B">
          <w:rPr>
            <w:webHidden/>
          </w:rPr>
          <w:tab/>
        </w:r>
        <w:r w:rsidRPr="00E8642B">
          <w:rPr>
            <w:webHidden/>
          </w:rPr>
          <w:fldChar w:fldCharType="begin"/>
        </w:r>
        <w:r w:rsidRPr="00E8642B">
          <w:rPr>
            <w:webHidden/>
          </w:rPr>
          <w:instrText xml:space="preserve"> PAGEREF _Toc197889222 \h </w:instrText>
        </w:r>
        <w:r w:rsidRPr="00E8642B">
          <w:rPr>
            <w:webHidden/>
          </w:rPr>
        </w:r>
        <w:r w:rsidRPr="00E8642B">
          <w:rPr>
            <w:webHidden/>
          </w:rPr>
          <w:fldChar w:fldCharType="separate"/>
        </w:r>
        <w:r w:rsidRPr="00E8642B">
          <w:rPr>
            <w:webHidden/>
          </w:rPr>
          <w:t>11</w:t>
        </w:r>
        <w:r w:rsidRPr="00E8642B">
          <w:rPr>
            <w:webHidden/>
          </w:rPr>
          <w:fldChar w:fldCharType="end"/>
        </w:r>
      </w:hyperlink>
    </w:p>
    <w:p w14:paraId="4A0622DF" w14:textId="30119BB1" w:rsidR="00E8642B" w:rsidRPr="00E8642B" w:rsidRDefault="00E8642B">
      <w:pPr>
        <w:pStyle w:val="TOC2"/>
        <w:rPr>
          <w:rFonts w:ascii="Times New Roman" w:eastAsiaTheme="minorEastAsia" w:hAnsi="Times New Roman" w:cs="Times New Roman"/>
          <w:noProof/>
          <w:kern w:val="2"/>
          <w14:ligatures w14:val="standardContextual"/>
        </w:rPr>
      </w:pPr>
      <w:hyperlink w:anchor="_Toc197889223" w:history="1">
        <w:r w:rsidRPr="00E8642B">
          <w:rPr>
            <w:rStyle w:val="Hyperlink"/>
            <w:rFonts w:ascii="Times New Roman" w:eastAsia="Times New Roman" w:hAnsi="Times New Roman" w:cs="Times New Roman"/>
            <w:noProof/>
          </w:rPr>
          <w:t>4.1 Economic Index Concept</w:t>
        </w:r>
        <w:r w:rsidRPr="00E8642B">
          <w:rPr>
            <w:rFonts w:ascii="Times New Roman" w:hAnsi="Times New Roman" w:cs="Times New Roman"/>
            <w:noProof/>
            <w:webHidden/>
          </w:rPr>
          <w:tab/>
        </w:r>
        <w:r w:rsidRPr="00E8642B">
          <w:rPr>
            <w:rFonts w:ascii="Times New Roman" w:hAnsi="Times New Roman" w:cs="Times New Roman"/>
            <w:noProof/>
            <w:webHidden/>
          </w:rPr>
          <w:fldChar w:fldCharType="begin"/>
        </w:r>
        <w:r w:rsidRPr="00E8642B">
          <w:rPr>
            <w:rFonts w:ascii="Times New Roman" w:hAnsi="Times New Roman" w:cs="Times New Roman"/>
            <w:noProof/>
            <w:webHidden/>
          </w:rPr>
          <w:instrText xml:space="preserve"> PAGEREF _Toc197889223 \h </w:instrText>
        </w:r>
        <w:r w:rsidRPr="00E8642B">
          <w:rPr>
            <w:rFonts w:ascii="Times New Roman" w:hAnsi="Times New Roman" w:cs="Times New Roman"/>
            <w:noProof/>
            <w:webHidden/>
          </w:rPr>
        </w:r>
        <w:r w:rsidRPr="00E8642B">
          <w:rPr>
            <w:rFonts w:ascii="Times New Roman" w:hAnsi="Times New Roman" w:cs="Times New Roman"/>
            <w:noProof/>
            <w:webHidden/>
          </w:rPr>
          <w:fldChar w:fldCharType="separate"/>
        </w:r>
        <w:r w:rsidRPr="00E8642B">
          <w:rPr>
            <w:rFonts w:ascii="Times New Roman" w:hAnsi="Times New Roman" w:cs="Times New Roman"/>
            <w:noProof/>
            <w:webHidden/>
          </w:rPr>
          <w:t>11</w:t>
        </w:r>
        <w:r w:rsidRPr="00E8642B">
          <w:rPr>
            <w:rFonts w:ascii="Times New Roman" w:hAnsi="Times New Roman" w:cs="Times New Roman"/>
            <w:noProof/>
            <w:webHidden/>
          </w:rPr>
          <w:fldChar w:fldCharType="end"/>
        </w:r>
      </w:hyperlink>
    </w:p>
    <w:p w14:paraId="6874AD03" w14:textId="63F1FDBF" w:rsidR="00E8642B" w:rsidRPr="00E8642B" w:rsidRDefault="00E8642B">
      <w:pPr>
        <w:pStyle w:val="TOC2"/>
        <w:rPr>
          <w:rFonts w:ascii="Times New Roman" w:eastAsiaTheme="minorEastAsia" w:hAnsi="Times New Roman" w:cs="Times New Roman"/>
          <w:noProof/>
          <w:kern w:val="2"/>
          <w14:ligatures w14:val="standardContextual"/>
        </w:rPr>
      </w:pPr>
      <w:hyperlink w:anchor="_Toc197889224" w:history="1">
        <w:r w:rsidRPr="00E8642B">
          <w:rPr>
            <w:rStyle w:val="Hyperlink"/>
            <w:rFonts w:ascii="Times New Roman" w:eastAsia="Times New Roman" w:hAnsi="Times New Roman" w:cs="Times New Roman"/>
            <w:noProof/>
          </w:rPr>
          <w:t>4.2 DiD and IPW</w:t>
        </w:r>
        <w:r w:rsidRPr="00E8642B">
          <w:rPr>
            <w:rFonts w:ascii="Times New Roman" w:hAnsi="Times New Roman" w:cs="Times New Roman"/>
            <w:noProof/>
            <w:webHidden/>
          </w:rPr>
          <w:tab/>
        </w:r>
        <w:r w:rsidRPr="00E8642B">
          <w:rPr>
            <w:rFonts w:ascii="Times New Roman" w:hAnsi="Times New Roman" w:cs="Times New Roman"/>
            <w:noProof/>
            <w:webHidden/>
          </w:rPr>
          <w:fldChar w:fldCharType="begin"/>
        </w:r>
        <w:r w:rsidRPr="00E8642B">
          <w:rPr>
            <w:rFonts w:ascii="Times New Roman" w:hAnsi="Times New Roman" w:cs="Times New Roman"/>
            <w:noProof/>
            <w:webHidden/>
          </w:rPr>
          <w:instrText xml:space="preserve"> PAGEREF _Toc197889224 \h </w:instrText>
        </w:r>
        <w:r w:rsidRPr="00E8642B">
          <w:rPr>
            <w:rFonts w:ascii="Times New Roman" w:hAnsi="Times New Roman" w:cs="Times New Roman"/>
            <w:noProof/>
            <w:webHidden/>
          </w:rPr>
        </w:r>
        <w:r w:rsidRPr="00E8642B">
          <w:rPr>
            <w:rFonts w:ascii="Times New Roman" w:hAnsi="Times New Roman" w:cs="Times New Roman"/>
            <w:noProof/>
            <w:webHidden/>
          </w:rPr>
          <w:fldChar w:fldCharType="separate"/>
        </w:r>
        <w:r w:rsidRPr="00E8642B">
          <w:rPr>
            <w:rFonts w:ascii="Times New Roman" w:hAnsi="Times New Roman" w:cs="Times New Roman"/>
            <w:noProof/>
            <w:webHidden/>
          </w:rPr>
          <w:t>12</w:t>
        </w:r>
        <w:r w:rsidRPr="00E8642B">
          <w:rPr>
            <w:rFonts w:ascii="Times New Roman" w:hAnsi="Times New Roman" w:cs="Times New Roman"/>
            <w:noProof/>
            <w:webHidden/>
          </w:rPr>
          <w:fldChar w:fldCharType="end"/>
        </w:r>
      </w:hyperlink>
    </w:p>
    <w:p w14:paraId="5F1E2A6C" w14:textId="195BE96C" w:rsidR="00E8642B" w:rsidRPr="00E8642B" w:rsidRDefault="00E8642B">
      <w:pPr>
        <w:pStyle w:val="TOC1"/>
        <w:rPr>
          <w:rFonts w:eastAsiaTheme="minorEastAsia"/>
          <w:b w:val="0"/>
          <w:bCs w:val="0"/>
          <w:kern w:val="2"/>
          <w:sz w:val="24"/>
          <w:szCs w:val="24"/>
          <w14:ligatures w14:val="standardContextual"/>
        </w:rPr>
      </w:pPr>
      <w:hyperlink w:anchor="_Toc197889225" w:history="1">
        <w:r w:rsidRPr="00E8642B">
          <w:rPr>
            <w:rStyle w:val="Hyperlink"/>
          </w:rPr>
          <w:t>5.</w:t>
        </w:r>
        <w:r w:rsidRPr="00E8642B">
          <w:rPr>
            <w:rFonts w:eastAsiaTheme="minorEastAsia"/>
            <w:b w:val="0"/>
            <w:bCs w:val="0"/>
            <w:kern w:val="2"/>
            <w:sz w:val="24"/>
            <w:szCs w:val="24"/>
            <w14:ligatures w14:val="standardContextual"/>
          </w:rPr>
          <w:tab/>
        </w:r>
        <w:r w:rsidRPr="00E8642B">
          <w:rPr>
            <w:rStyle w:val="Hyperlink"/>
          </w:rPr>
          <w:t>Data Methods and Discussion</w:t>
        </w:r>
        <w:r w:rsidRPr="00E8642B">
          <w:rPr>
            <w:webHidden/>
          </w:rPr>
          <w:tab/>
        </w:r>
        <w:r w:rsidRPr="00E8642B">
          <w:rPr>
            <w:webHidden/>
          </w:rPr>
          <w:fldChar w:fldCharType="begin"/>
        </w:r>
        <w:r w:rsidRPr="00E8642B">
          <w:rPr>
            <w:webHidden/>
          </w:rPr>
          <w:instrText xml:space="preserve"> PAGEREF _Toc197889225 \h </w:instrText>
        </w:r>
        <w:r w:rsidRPr="00E8642B">
          <w:rPr>
            <w:webHidden/>
          </w:rPr>
        </w:r>
        <w:r w:rsidRPr="00E8642B">
          <w:rPr>
            <w:webHidden/>
          </w:rPr>
          <w:fldChar w:fldCharType="separate"/>
        </w:r>
        <w:r w:rsidRPr="00E8642B">
          <w:rPr>
            <w:webHidden/>
          </w:rPr>
          <w:t>13</w:t>
        </w:r>
        <w:r w:rsidRPr="00E8642B">
          <w:rPr>
            <w:webHidden/>
          </w:rPr>
          <w:fldChar w:fldCharType="end"/>
        </w:r>
      </w:hyperlink>
    </w:p>
    <w:p w14:paraId="234E6560" w14:textId="3517AAD0" w:rsidR="00E8642B" w:rsidRPr="00E8642B" w:rsidRDefault="00E8642B">
      <w:pPr>
        <w:pStyle w:val="TOC2"/>
        <w:rPr>
          <w:rFonts w:ascii="Times New Roman" w:eastAsiaTheme="minorEastAsia" w:hAnsi="Times New Roman" w:cs="Times New Roman"/>
          <w:noProof/>
          <w:kern w:val="2"/>
          <w14:ligatures w14:val="standardContextual"/>
        </w:rPr>
      </w:pPr>
      <w:hyperlink w:anchor="_Toc197889226" w:history="1">
        <w:r w:rsidRPr="00E8642B">
          <w:rPr>
            <w:rStyle w:val="Hyperlink"/>
            <w:rFonts w:ascii="Times New Roman" w:eastAsia="Times New Roman" w:hAnsi="Times New Roman" w:cs="Times New Roman"/>
            <w:noProof/>
          </w:rPr>
          <w:t>5.1 Software</w:t>
        </w:r>
        <w:r w:rsidRPr="00E8642B">
          <w:rPr>
            <w:rFonts w:ascii="Times New Roman" w:hAnsi="Times New Roman" w:cs="Times New Roman"/>
            <w:noProof/>
            <w:webHidden/>
          </w:rPr>
          <w:tab/>
        </w:r>
        <w:r w:rsidRPr="00E8642B">
          <w:rPr>
            <w:rFonts w:ascii="Times New Roman" w:hAnsi="Times New Roman" w:cs="Times New Roman"/>
            <w:noProof/>
            <w:webHidden/>
          </w:rPr>
          <w:fldChar w:fldCharType="begin"/>
        </w:r>
        <w:r w:rsidRPr="00E8642B">
          <w:rPr>
            <w:rFonts w:ascii="Times New Roman" w:hAnsi="Times New Roman" w:cs="Times New Roman"/>
            <w:noProof/>
            <w:webHidden/>
          </w:rPr>
          <w:instrText xml:space="preserve"> PAGEREF _Toc197889226 \h </w:instrText>
        </w:r>
        <w:r w:rsidRPr="00E8642B">
          <w:rPr>
            <w:rFonts w:ascii="Times New Roman" w:hAnsi="Times New Roman" w:cs="Times New Roman"/>
            <w:noProof/>
            <w:webHidden/>
          </w:rPr>
        </w:r>
        <w:r w:rsidRPr="00E8642B">
          <w:rPr>
            <w:rFonts w:ascii="Times New Roman" w:hAnsi="Times New Roman" w:cs="Times New Roman"/>
            <w:noProof/>
            <w:webHidden/>
          </w:rPr>
          <w:fldChar w:fldCharType="separate"/>
        </w:r>
        <w:r w:rsidRPr="00E8642B">
          <w:rPr>
            <w:rFonts w:ascii="Times New Roman" w:hAnsi="Times New Roman" w:cs="Times New Roman"/>
            <w:noProof/>
            <w:webHidden/>
          </w:rPr>
          <w:t>14</w:t>
        </w:r>
        <w:r w:rsidRPr="00E8642B">
          <w:rPr>
            <w:rFonts w:ascii="Times New Roman" w:hAnsi="Times New Roman" w:cs="Times New Roman"/>
            <w:noProof/>
            <w:webHidden/>
          </w:rPr>
          <w:fldChar w:fldCharType="end"/>
        </w:r>
      </w:hyperlink>
    </w:p>
    <w:p w14:paraId="1193DC2F" w14:textId="0FEC244A" w:rsidR="00E8642B" w:rsidRPr="00E8642B" w:rsidRDefault="00E8642B">
      <w:pPr>
        <w:pStyle w:val="TOC2"/>
        <w:rPr>
          <w:rFonts w:ascii="Times New Roman" w:eastAsiaTheme="minorEastAsia" w:hAnsi="Times New Roman" w:cs="Times New Roman"/>
          <w:noProof/>
          <w:kern w:val="2"/>
          <w14:ligatures w14:val="standardContextual"/>
        </w:rPr>
      </w:pPr>
      <w:hyperlink w:anchor="_Toc197889227" w:history="1">
        <w:r w:rsidRPr="00E8642B">
          <w:rPr>
            <w:rStyle w:val="Hyperlink"/>
            <w:rFonts w:ascii="Times New Roman" w:eastAsia="Times New Roman" w:hAnsi="Times New Roman" w:cs="Times New Roman"/>
            <w:noProof/>
          </w:rPr>
          <w:t>5.2 Covariates</w:t>
        </w:r>
        <w:r w:rsidRPr="00E8642B">
          <w:rPr>
            <w:rFonts w:ascii="Times New Roman" w:hAnsi="Times New Roman" w:cs="Times New Roman"/>
            <w:noProof/>
            <w:webHidden/>
          </w:rPr>
          <w:tab/>
        </w:r>
        <w:r w:rsidRPr="00E8642B">
          <w:rPr>
            <w:rFonts w:ascii="Times New Roman" w:hAnsi="Times New Roman" w:cs="Times New Roman"/>
            <w:noProof/>
            <w:webHidden/>
          </w:rPr>
          <w:fldChar w:fldCharType="begin"/>
        </w:r>
        <w:r w:rsidRPr="00E8642B">
          <w:rPr>
            <w:rFonts w:ascii="Times New Roman" w:hAnsi="Times New Roman" w:cs="Times New Roman"/>
            <w:noProof/>
            <w:webHidden/>
          </w:rPr>
          <w:instrText xml:space="preserve"> PAGEREF _Toc197889227 \h </w:instrText>
        </w:r>
        <w:r w:rsidRPr="00E8642B">
          <w:rPr>
            <w:rFonts w:ascii="Times New Roman" w:hAnsi="Times New Roman" w:cs="Times New Roman"/>
            <w:noProof/>
            <w:webHidden/>
          </w:rPr>
        </w:r>
        <w:r w:rsidRPr="00E8642B">
          <w:rPr>
            <w:rFonts w:ascii="Times New Roman" w:hAnsi="Times New Roman" w:cs="Times New Roman"/>
            <w:noProof/>
            <w:webHidden/>
          </w:rPr>
          <w:fldChar w:fldCharType="separate"/>
        </w:r>
        <w:r w:rsidRPr="00E8642B">
          <w:rPr>
            <w:rFonts w:ascii="Times New Roman" w:hAnsi="Times New Roman" w:cs="Times New Roman"/>
            <w:noProof/>
            <w:webHidden/>
          </w:rPr>
          <w:t>14</w:t>
        </w:r>
        <w:r w:rsidRPr="00E8642B">
          <w:rPr>
            <w:rFonts w:ascii="Times New Roman" w:hAnsi="Times New Roman" w:cs="Times New Roman"/>
            <w:noProof/>
            <w:webHidden/>
          </w:rPr>
          <w:fldChar w:fldCharType="end"/>
        </w:r>
      </w:hyperlink>
    </w:p>
    <w:p w14:paraId="7072B569" w14:textId="4A6570F4" w:rsidR="00E8642B" w:rsidRPr="00E8642B" w:rsidRDefault="00E8642B">
      <w:pPr>
        <w:pStyle w:val="TOC2"/>
        <w:rPr>
          <w:rFonts w:ascii="Times New Roman" w:eastAsiaTheme="minorEastAsia" w:hAnsi="Times New Roman" w:cs="Times New Roman"/>
          <w:noProof/>
          <w:kern w:val="2"/>
          <w14:ligatures w14:val="standardContextual"/>
        </w:rPr>
      </w:pPr>
      <w:hyperlink w:anchor="_Toc197889228" w:history="1">
        <w:r w:rsidRPr="00E8642B">
          <w:rPr>
            <w:rStyle w:val="Hyperlink"/>
            <w:rFonts w:ascii="Times New Roman" w:eastAsia="Times New Roman" w:hAnsi="Times New Roman" w:cs="Times New Roman"/>
            <w:noProof/>
          </w:rPr>
          <w:t>5.3 Economic Well-being Index DV</w:t>
        </w:r>
        <w:r w:rsidRPr="00E8642B">
          <w:rPr>
            <w:rFonts w:ascii="Times New Roman" w:hAnsi="Times New Roman" w:cs="Times New Roman"/>
            <w:noProof/>
            <w:webHidden/>
          </w:rPr>
          <w:tab/>
        </w:r>
        <w:r w:rsidRPr="00E8642B">
          <w:rPr>
            <w:rFonts w:ascii="Times New Roman" w:hAnsi="Times New Roman" w:cs="Times New Roman"/>
            <w:noProof/>
            <w:webHidden/>
          </w:rPr>
          <w:fldChar w:fldCharType="begin"/>
        </w:r>
        <w:r w:rsidRPr="00E8642B">
          <w:rPr>
            <w:rFonts w:ascii="Times New Roman" w:hAnsi="Times New Roman" w:cs="Times New Roman"/>
            <w:noProof/>
            <w:webHidden/>
          </w:rPr>
          <w:instrText xml:space="preserve"> PAGEREF _Toc197889228 \h </w:instrText>
        </w:r>
        <w:r w:rsidRPr="00E8642B">
          <w:rPr>
            <w:rFonts w:ascii="Times New Roman" w:hAnsi="Times New Roman" w:cs="Times New Roman"/>
            <w:noProof/>
            <w:webHidden/>
          </w:rPr>
        </w:r>
        <w:r w:rsidRPr="00E8642B">
          <w:rPr>
            <w:rFonts w:ascii="Times New Roman" w:hAnsi="Times New Roman" w:cs="Times New Roman"/>
            <w:noProof/>
            <w:webHidden/>
          </w:rPr>
          <w:fldChar w:fldCharType="separate"/>
        </w:r>
        <w:r w:rsidRPr="00E8642B">
          <w:rPr>
            <w:rFonts w:ascii="Times New Roman" w:hAnsi="Times New Roman" w:cs="Times New Roman"/>
            <w:noProof/>
            <w:webHidden/>
          </w:rPr>
          <w:t>15</w:t>
        </w:r>
        <w:r w:rsidRPr="00E8642B">
          <w:rPr>
            <w:rFonts w:ascii="Times New Roman" w:hAnsi="Times New Roman" w:cs="Times New Roman"/>
            <w:noProof/>
            <w:webHidden/>
          </w:rPr>
          <w:fldChar w:fldCharType="end"/>
        </w:r>
      </w:hyperlink>
    </w:p>
    <w:p w14:paraId="7BA68224" w14:textId="28EB517F" w:rsidR="00E8642B" w:rsidRPr="00E8642B" w:rsidRDefault="00E8642B">
      <w:pPr>
        <w:pStyle w:val="TOC2"/>
        <w:rPr>
          <w:rFonts w:ascii="Times New Roman" w:eastAsiaTheme="minorEastAsia" w:hAnsi="Times New Roman" w:cs="Times New Roman"/>
          <w:noProof/>
          <w:kern w:val="2"/>
          <w14:ligatures w14:val="standardContextual"/>
        </w:rPr>
      </w:pPr>
      <w:hyperlink w:anchor="_Toc197889229" w:history="1">
        <w:r w:rsidRPr="00E8642B">
          <w:rPr>
            <w:rStyle w:val="Hyperlink"/>
            <w:rFonts w:ascii="Times New Roman" w:eastAsia="Times New Roman" w:hAnsi="Times New Roman" w:cs="Times New Roman"/>
            <w:noProof/>
          </w:rPr>
          <w:t>5.4 Modeling</w:t>
        </w:r>
        <w:r w:rsidRPr="00E8642B">
          <w:rPr>
            <w:rFonts w:ascii="Times New Roman" w:hAnsi="Times New Roman" w:cs="Times New Roman"/>
            <w:noProof/>
            <w:webHidden/>
          </w:rPr>
          <w:tab/>
        </w:r>
        <w:r w:rsidRPr="00E8642B">
          <w:rPr>
            <w:rFonts w:ascii="Times New Roman" w:hAnsi="Times New Roman" w:cs="Times New Roman"/>
            <w:noProof/>
            <w:webHidden/>
          </w:rPr>
          <w:fldChar w:fldCharType="begin"/>
        </w:r>
        <w:r w:rsidRPr="00E8642B">
          <w:rPr>
            <w:rFonts w:ascii="Times New Roman" w:hAnsi="Times New Roman" w:cs="Times New Roman"/>
            <w:noProof/>
            <w:webHidden/>
          </w:rPr>
          <w:instrText xml:space="preserve"> PAGEREF _Toc197889229 \h </w:instrText>
        </w:r>
        <w:r w:rsidRPr="00E8642B">
          <w:rPr>
            <w:rFonts w:ascii="Times New Roman" w:hAnsi="Times New Roman" w:cs="Times New Roman"/>
            <w:noProof/>
            <w:webHidden/>
          </w:rPr>
        </w:r>
        <w:r w:rsidRPr="00E8642B">
          <w:rPr>
            <w:rFonts w:ascii="Times New Roman" w:hAnsi="Times New Roman" w:cs="Times New Roman"/>
            <w:noProof/>
            <w:webHidden/>
          </w:rPr>
          <w:fldChar w:fldCharType="separate"/>
        </w:r>
        <w:r w:rsidRPr="00E8642B">
          <w:rPr>
            <w:rFonts w:ascii="Times New Roman" w:hAnsi="Times New Roman" w:cs="Times New Roman"/>
            <w:noProof/>
            <w:webHidden/>
          </w:rPr>
          <w:t>15</w:t>
        </w:r>
        <w:r w:rsidRPr="00E8642B">
          <w:rPr>
            <w:rFonts w:ascii="Times New Roman" w:hAnsi="Times New Roman" w:cs="Times New Roman"/>
            <w:noProof/>
            <w:webHidden/>
          </w:rPr>
          <w:fldChar w:fldCharType="end"/>
        </w:r>
      </w:hyperlink>
    </w:p>
    <w:p w14:paraId="3DDB88CD" w14:textId="7098DB59" w:rsidR="00E8642B" w:rsidRPr="00E8642B" w:rsidRDefault="00E8642B">
      <w:pPr>
        <w:pStyle w:val="TOC2"/>
        <w:rPr>
          <w:rFonts w:ascii="Times New Roman" w:eastAsiaTheme="minorEastAsia" w:hAnsi="Times New Roman" w:cs="Times New Roman"/>
          <w:noProof/>
          <w:kern w:val="2"/>
          <w14:ligatures w14:val="standardContextual"/>
        </w:rPr>
      </w:pPr>
      <w:hyperlink w:anchor="_Toc197889230" w:history="1">
        <w:r w:rsidRPr="00E8642B">
          <w:rPr>
            <w:rStyle w:val="Hyperlink"/>
            <w:rFonts w:ascii="Times New Roman" w:hAnsi="Times New Roman" w:cs="Times New Roman"/>
            <w:noProof/>
          </w:rPr>
          <w:t>5.5 Results</w:t>
        </w:r>
        <w:r w:rsidRPr="00E8642B">
          <w:rPr>
            <w:rFonts w:ascii="Times New Roman" w:hAnsi="Times New Roman" w:cs="Times New Roman"/>
            <w:noProof/>
            <w:webHidden/>
          </w:rPr>
          <w:tab/>
        </w:r>
        <w:r w:rsidRPr="00E8642B">
          <w:rPr>
            <w:rFonts w:ascii="Times New Roman" w:hAnsi="Times New Roman" w:cs="Times New Roman"/>
            <w:noProof/>
            <w:webHidden/>
          </w:rPr>
          <w:fldChar w:fldCharType="begin"/>
        </w:r>
        <w:r w:rsidRPr="00E8642B">
          <w:rPr>
            <w:rFonts w:ascii="Times New Roman" w:hAnsi="Times New Roman" w:cs="Times New Roman"/>
            <w:noProof/>
            <w:webHidden/>
          </w:rPr>
          <w:instrText xml:space="preserve"> PAGEREF _Toc197889230 \h </w:instrText>
        </w:r>
        <w:r w:rsidRPr="00E8642B">
          <w:rPr>
            <w:rFonts w:ascii="Times New Roman" w:hAnsi="Times New Roman" w:cs="Times New Roman"/>
            <w:noProof/>
            <w:webHidden/>
          </w:rPr>
        </w:r>
        <w:r w:rsidRPr="00E8642B">
          <w:rPr>
            <w:rFonts w:ascii="Times New Roman" w:hAnsi="Times New Roman" w:cs="Times New Roman"/>
            <w:noProof/>
            <w:webHidden/>
          </w:rPr>
          <w:fldChar w:fldCharType="separate"/>
        </w:r>
        <w:r w:rsidRPr="00E8642B">
          <w:rPr>
            <w:rFonts w:ascii="Times New Roman" w:hAnsi="Times New Roman" w:cs="Times New Roman"/>
            <w:noProof/>
            <w:webHidden/>
          </w:rPr>
          <w:t>16</w:t>
        </w:r>
        <w:r w:rsidRPr="00E8642B">
          <w:rPr>
            <w:rFonts w:ascii="Times New Roman" w:hAnsi="Times New Roman" w:cs="Times New Roman"/>
            <w:noProof/>
            <w:webHidden/>
          </w:rPr>
          <w:fldChar w:fldCharType="end"/>
        </w:r>
      </w:hyperlink>
    </w:p>
    <w:p w14:paraId="2461BA1A" w14:textId="517B83AB" w:rsidR="00E8642B" w:rsidRPr="00E8642B" w:rsidRDefault="00E8642B">
      <w:pPr>
        <w:pStyle w:val="TOC1"/>
        <w:rPr>
          <w:rFonts w:eastAsiaTheme="minorEastAsia"/>
          <w:b w:val="0"/>
          <w:bCs w:val="0"/>
          <w:kern w:val="2"/>
          <w:sz w:val="24"/>
          <w:szCs w:val="24"/>
          <w14:ligatures w14:val="standardContextual"/>
        </w:rPr>
      </w:pPr>
      <w:hyperlink w:anchor="_Toc197889235" w:history="1">
        <w:r w:rsidRPr="00E8642B">
          <w:rPr>
            <w:rStyle w:val="Hyperlink"/>
          </w:rPr>
          <w:t>6.</w:t>
        </w:r>
        <w:r w:rsidRPr="00E8642B">
          <w:rPr>
            <w:rFonts w:eastAsiaTheme="minorEastAsia"/>
            <w:b w:val="0"/>
            <w:bCs w:val="0"/>
            <w:kern w:val="2"/>
            <w:sz w:val="24"/>
            <w:szCs w:val="24"/>
            <w14:ligatures w14:val="standardContextual"/>
          </w:rPr>
          <w:tab/>
        </w:r>
        <w:r w:rsidRPr="00E8642B">
          <w:rPr>
            <w:rStyle w:val="Hyperlink"/>
          </w:rPr>
          <w:t>Conclusion</w:t>
        </w:r>
        <w:r w:rsidRPr="00E8642B">
          <w:rPr>
            <w:webHidden/>
          </w:rPr>
          <w:tab/>
        </w:r>
        <w:r w:rsidRPr="00E8642B">
          <w:rPr>
            <w:webHidden/>
          </w:rPr>
          <w:fldChar w:fldCharType="begin"/>
        </w:r>
        <w:r w:rsidRPr="00E8642B">
          <w:rPr>
            <w:webHidden/>
          </w:rPr>
          <w:instrText xml:space="preserve"> PAGEREF _Toc197889235 \h </w:instrText>
        </w:r>
        <w:r w:rsidRPr="00E8642B">
          <w:rPr>
            <w:webHidden/>
          </w:rPr>
        </w:r>
        <w:r w:rsidRPr="00E8642B">
          <w:rPr>
            <w:webHidden/>
          </w:rPr>
          <w:fldChar w:fldCharType="separate"/>
        </w:r>
        <w:r w:rsidRPr="00E8642B">
          <w:rPr>
            <w:webHidden/>
          </w:rPr>
          <w:t>27</w:t>
        </w:r>
        <w:r w:rsidRPr="00E8642B">
          <w:rPr>
            <w:webHidden/>
          </w:rPr>
          <w:fldChar w:fldCharType="end"/>
        </w:r>
      </w:hyperlink>
    </w:p>
    <w:p w14:paraId="542D2AD8" w14:textId="3C910FBD" w:rsidR="00E8642B" w:rsidRPr="00E8642B" w:rsidRDefault="00E8642B">
      <w:pPr>
        <w:pStyle w:val="TOC1"/>
        <w:rPr>
          <w:rFonts w:eastAsiaTheme="minorEastAsia"/>
          <w:b w:val="0"/>
          <w:bCs w:val="0"/>
          <w:kern w:val="2"/>
          <w:sz w:val="24"/>
          <w:szCs w:val="24"/>
          <w14:ligatures w14:val="standardContextual"/>
        </w:rPr>
      </w:pPr>
      <w:hyperlink w:anchor="_Toc197889236" w:history="1">
        <w:r w:rsidRPr="00E8642B">
          <w:rPr>
            <w:rStyle w:val="Hyperlink"/>
          </w:rPr>
          <w:t>7.</w:t>
        </w:r>
        <w:r w:rsidRPr="00E8642B">
          <w:rPr>
            <w:rFonts w:eastAsiaTheme="minorEastAsia"/>
            <w:b w:val="0"/>
            <w:bCs w:val="0"/>
            <w:kern w:val="2"/>
            <w:sz w:val="24"/>
            <w:szCs w:val="24"/>
            <w14:ligatures w14:val="standardContextual"/>
          </w:rPr>
          <w:tab/>
        </w:r>
        <w:r w:rsidRPr="00E8642B">
          <w:rPr>
            <w:rStyle w:val="Hyperlink"/>
          </w:rPr>
          <w:t>References</w:t>
        </w:r>
        <w:r w:rsidRPr="00E8642B">
          <w:rPr>
            <w:webHidden/>
          </w:rPr>
          <w:tab/>
        </w:r>
        <w:r w:rsidRPr="00E8642B">
          <w:rPr>
            <w:webHidden/>
          </w:rPr>
          <w:fldChar w:fldCharType="begin"/>
        </w:r>
        <w:r w:rsidRPr="00E8642B">
          <w:rPr>
            <w:webHidden/>
          </w:rPr>
          <w:instrText xml:space="preserve"> PAGEREF _Toc197889236 \h </w:instrText>
        </w:r>
        <w:r w:rsidRPr="00E8642B">
          <w:rPr>
            <w:webHidden/>
          </w:rPr>
        </w:r>
        <w:r w:rsidRPr="00E8642B">
          <w:rPr>
            <w:webHidden/>
          </w:rPr>
          <w:fldChar w:fldCharType="separate"/>
        </w:r>
        <w:r w:rsidRPr="00E8642B">
          <w:rPr>
            <w:webHidden/>
          </w:rPr>
          <w:t>29</w:t>
        </w:r>
        <w:r w:rsidRPr="00E8642B">
          <w:rPr>
            <w:webHidden/>
          </w:rPr>
          <w:fldChar w:fldCharType="end"/>
        </w:r>
      </w:hyperlink>
    </w:p>
    <w:p w14:paraId="1E49E786" w14:textId="63D19189" w:rsidR="007E366C" w:rsidRDefault="009E1DA5" w:rsidP="007E366C">
      <w:pPr>
        <w:pStyle w:val="ListParagraph"/>
        <w:spacing w:line="276" w:lineRule="auto"/>
        <w:ind w:left="0" w:firstLine="0"/>
        <w:rPr>
          <w:rFonts w:ascii="Times New Roman" w:eastAsia="Times New Roman" w:hAnsi="Times New Roman" w:cs="Times New Roman"/>
        </w:rPr>
      </w:pPr>
      <w:r w:rsidRPr="00E8642B">
        <w:rPr>
          <w:rFonts w:ascii="Times New Roman" w:eastAsia="Times New Roman" w:hAnsi="Times New Roman" w:cs="Times New Roman"/>
        </w:rPr>
        <w:fldChar w:fldCharType="end"/>
      </w:r>
    </w:p>
    <w:p w14:paraId="5A76CC1E" w14:textId="77777777" w:rsidR="00745047" w:rsidRDefault="00745047" w:rsidP="007E366C">
      <w:pPr>
        <w:pStyle w:val="ListParagraph"/>
        <w:spacing w:line="276" w:lineRule="auto"/>
        <w:ind w:left="0" w:firstLine="0"/>
        <w:rPr>
          <w:rFonts w:ascii="Times New Roman" w:eastAsia="Times New Roman" w:hAnsi="Times New Roman" w:cs="Times New Roman"/>
        </w:rPr>
      </w:pPr>
    </w:p>
    <w:p w14:paraId="737C676D" w14:textId="77777777" w:rsidR="00745047" w:rsidRDefault="00745047" w:rsidP="007E366C">
      <w:pPr>
        <w:pStyle w:val="ListParagraph"/>
        <w:spacing w:line="276" w:lineRule="auto"/>
        <w:ind w:left="0" w:firstLine="0"/>
        <w:rPr>
          <w:rFonts w:ascii="Times New Roman" w:eastAsia="Times New Roman" w:hAnsi="Times New Roman" w:cs="Times New Roman"/>
        </w:rPr>
      </w:pPr>
    </w:p>
    <w:p w14:paraId="11133FC9" w14:textId="77777777" w:rsidR="00745047" w:rsidRDefault="00745047" w:rsidP="007E366C">
      <w:pPr>
        <w:pStyle w:val="ListParagraph"/>
        <w:spacing w:line="276" w:lineRule="auto"/>
        <w:ind w:left="0" w:firstLine="0"/>
        <w:rPr>
          <w:rFonts w:ascii="Times New Roman" w:eastAsia="Times New Roman" w:hAnsi="Times New Roman" w:cs="Times New Roman"/>
        </w:rPr>
      </w:pPr>
    </w:p>
    <w:p w14:paraId="5C0AC2C2" w14:textId="77777777" w:rsidR="00745047" w:rsidRDefault="00745047" w:rsidP="007E366C">
      <w:pPr>
        <w:pStyle w:val="ListParagraph"/>
        <w:spacing w:line="276" w:lineRule="auto"/>
        <w:ind w:left="0" w:firstLine="0"/>
        <w:rPr>
          <w:rFonts w:ascii="Times New Roman" w:eastAsia="Times New Roman" w:hAnsi="Times New Roman" w:cs="Times New Roman"/>
        </w:rPr>
      </w:pPr>
    </w:p>
    <w:p w14:paraId="4876469E" w14:textId="77777777" w:rsidR="00745047" w:rsidRDefault="00745047" w:rsidP="007E366C">
      <w:pPr>
        <w:pStyle w:val="ListParagraph"/>
        <w:spacing w:line="276" w:lineRule="auto"/>
        <w:ind w:left="0" w:firstLine="0"/>
        <w:rPr>
          <w:rFonts w:ascii="Times New Roman" w:eastAsia="Times New Roman" w:hAnsi="Times New Roman" w:cs="Times New Roman"/>
        </w:rPr>
      </w:pPr>
    </w:p>
    <w:p w14:paraId="70FA3C1A" w14:textId="77777777" w:rsidR="00062D11" w:rsidRDefault="00062D11" w:rsidP="007E366C">
      <w:pPr>
        <w:pStyle w:val="ListParagraph"/>
        <w:spacing w:line="276" w:lineRule="auto"/>
        <w:ind w:left="0" w:firstLine="0"/>
        <w:rPr>
          <w:rFonts w:ascii="Times New Roman" w:eastAsia="Times New Roman" w:hAnsi="Times New Roman" w:cs="Times New Roman"/>
        </w:rPr>
      </w:pPr>
    </w:p>
    <w:p w14:paraId="24BBED3F" w14:textId="52DDB57D" w:rsidR="00E92188" w:rsidRPr="001604C9" w:rsidRDefault="00BD3BB7" w:rsidP="001604C9">
      <w:pPr>
        <w:pStyle w:val="Heading1"/>
        <w:rPr>
          <w:rFonts w:eastAsia="Times New Roman"/>
        </w:rPr>
      </w:pPr>
      <w:bookmarkStart w:id="0" w:name="_Toc197889214"/>
      <w:r w:rsidRPr="00900FAD">
        <w:rPr>
          <w:rFonts w:eastAsia="Times New Roman"/>
        </w:rPr>
        <w:lastRenderedPageBreak/>
        <w:t>Abstract</w:t>
      </w:r>
      <w:bookmarkEnd w:id="0"/>
    </w:p>
    <w:p w14:paraId="517A87FE" w14:textId="7EC095A7" w:rsidR="00D658FA" w:rsidRDefault="00D658FA" w:rsidP="00D658FA">
      <w:pPr>
        <w:spacing w:line="480" w:lineRule="auto"/>
        <w:ind w:firstLine="360"/>
        <w:rPr>
          <w:rFonts w:ascii="Times New Roman" w:eastAsia="Times New Roman" w:hAnsi="Times New Roman" w:cs="Times New Roman"/>
        </w:rPr>
      </w:pPr>
      <w:r w:rsidRPr="00D658FA">
        <w:rPr>
          <w:rFonts w:ascii="Times New Roman" w:eastAsia="Times New Roman" w:hAnsi="Times New Roman" w:cs="Times New Roman"/>
        </w:rPr>
        <w:t xml:space="preserve">This study assesses the Opportunity Zone (OZ) program’s impact on census tract–level economic well-being, addressing a gap in prior research </w:t>
      </w:r>
      <w:r w:rsidR="00BE6088">
        <w:rPr>
          <w:rFonts w:ascii="Times New Roman" w:eastAsia="Times New Roman" w:hAnsi="Times New Roman" w:cs="Times New Roman"/>
        </w:rPr>
        <w:t>that was focused on</w:t>
      </w:r>
      <w:r w:rsidRPr="00D658FA">
        <w:rPr>
          <w:rFonts w:ascii="Times New Roman" w:eastAsia="Times New Roman" w:hAnsi="Times New Roman" w:cs="Times New Roman"/>
        </w:rPr>
        <w:t xml:space="preserve"> investment</w:t>
      </w:r>
      <w:r w:rsidR="00BE6088">
        <w:rPr>
          <w:rFonts w:ascii="Times New Roman" w:eastAsia="Times New Roman" w:hAnsi="Times New Roman" w:cs="Times New Roman"/>
        </w:rPr>
        <w:t xml:space="preserve"> and market</w:t>
      </w:r>
      <w:r w:rsidRPr="00D658FA">
        <w:rPr>
          <w:rFonts w:ascii="Times New Roman" w:eastAsia="Times New Roman" w:hAnsi="Times New Roman" w:cs="Times New Roman"/>
        </w:rPr>
        <w:t xml:space="preserve"> trends using </w:t>
      </w:r>
      <w:r w:rsidR="00527846">
        <w:rPr>
          <w:rFonts w:ascii="Times New Roman" w:eastAsia="Times New Roman" w:hAnsi="Times New Roman" w:cs="Times New Roman"/>
        </w:rPr>
        <w:t>early</w:t>
      </w:r>
      <w:r w:rsidR="00BE6088">
        <w:rPr>
          <w:rFonts w:ascii="Times New Roman" w:eastAsia="Times New Roman" w:hAnsi="Times New Roman" w:cs="Times New Roman"/>
        </w:rPr>
        <w:t xml:space="preserve"> OZ</w:t>
      </w:r>
      <w:r w:rsidRPr="00D658FA">
        <w:rPr>
          <w:rFonts w:ascii="Times New Roman" w:eastAsia="Times New Roman" w:hAnsi="Times New Roman" w:cs="Times New Roman"/>
        </w:rPr>
        <w:t xml:space="preserve"> data. A custom economic well-being index</w:t>
      </w:r>
      <w:r w:rsidR="001776B5">
        <w:rPr>
          <w:rFonts w:ascii="Times New Roman" w:eastAsia="Times New Roman" w:hAnsi="Times New Roman" w:cs="Times New Roman"/>
        </w:rPr>
        <w:t xml:space="preserve"> </w:t>
      </w:r>
      <w:r w:rsidRPr="00D658FA">
        <w:rPr>
          <w:rFonts w:ascii="Times New Roman" w:eastAsia="Times New Roman" w:hAnsi="Times New Roman" w:cs="Times New Roman"/>
        </w:rPr>
        <w:t>based on median income, the employment-to-population ratio, and median housing costs</w:t>
      </w:r>
      <w:r w:rsidR="001776B5">
        <w:rPr>
          <w:rFonts w:ascii="Times New Roman" w:eastAsia="Times New Roman" w:hAnsi="Times New Roman" w:cs="Times New Roman"/>
        </w:rPr>
        <w:t xml:space="preserve"> </w:t>
      </w:r>
      <w:r w:rsidRPr="00D658FA">
        <w:rPr>
          <w:rFonts w:ascii="Times New Roman" w:eastAsia="Times New Roman" w:hAnsi="Times New Roman" w:cs="Times New Roman"/>
        </w:rPr>
        <w:t>was constructed</w:t>
      </w:r>
      <w:r w:rsidR="001776B5">
        <w:rPr>
          <w:rFonts w:ascii="Times New Roman" w:eastAsia="Times New Roman" w:hAnsi="Times New Roman" w:cs="Times New Roman"/>
        </w:rPr>
        <w:t xml:space="preserve"> to </w:t>
      </w:r>
      <w:r w:rsidR="00343102">
        <w:rPr>
          <w:rFonts w:ascii="Times New Roman" w:eastAsia="Times New Roman" w:hAnsi="Times New Roman" w:cs="Times New Roman"/>
        </w:rPr>
        <w:t>measure the</w:t>
      </w:r>
      <w:r w:rsidR="001776B5">
        <w:rPr>
          <w:rFonts w:ascii="Times New Roman" w:eastAsia="Times New Roman" w:hAnsi="Times New Roman" w:cs="Times New Roman"/>
        </w:rPr>
        <w:t xml:space="preserve"> OZ</w:t>
      </w:r>
      <w:r w:rsidR="00343102">
        <w:rPr>
          <w:rFonts w:ascii="Times New Roman" w:eastAsia="Times New Roman" w:hAnsi="Times New Roman" w:cs="Times New Roman"/>
        </w:rPr>
        <w:t xml:space="preserve"> program’s</w:t>
      </w:r>
      <w:r w:rsidR="001776B5">
        <w:rPr>
          <w:rFonts w:ascii="Times New Roman" w:eastAsia="Times New Roman" w:hAnsi="Times New Roman" w:cs="Times New Roman"/>
        </w:rPr>
        <w:t xml:space="preserve"> impact.</w:t>
      </w:r>
      <w:r w:rsidR="00D6363E">
        <w:rPr>
          <w:rFonts w:ascii="Times New Roman" w:eastAsia="Times New Roman" w:hAnsi="Times New Roman" w:cs="Times New Roman"/>
        </w:rPr>
        <w:t xml:space="preserve"> To estimate the OZ program’s impact, the study applied</w:t>
      </w:r>
      <w:r w:rsidR="001776B5">
        <w:rPr>
          <w:rFonts w:ascii="Times New Roman" w:eastAsia="Times New Roman" w:hAnsi="Times New Roman" w:cs="Times New Roman"/>
        </w:rPr>
        <w:t xml:space="preserve"> </w:t>
      </w:r>
      <w:r w:rsidR="00D6363E">
        <w:rPr>
          <w:rFonts w:ascii="Times New Roman" w:eastAsia="Times New Roman" w:hAnsi="Times New Roman" w:cs="Times New Roman"/>
        </w:rPr>
        <w:t>i</w:t>
      </w:r>
      <w:r w:rsidRPr="00D658FA">
        <w:rPr>
          <w:rFonts w:ascii="Times New Roman" w:eastAsia="Times New Roman" w:hAnsi="Times New Roman" w:cs="Times New Roman"/>
        </w:rPr>
        <w:t>nverse-probability-weighted Difference-in-Differences and quantile regression models to tract-level</w:t>
      </w:r>
      <w:r w:rsidR="00D0039C">
        <w:rPr>
          <w:rFonts w:ascii="Times New Roman" w:eastAsia="Times New Roman" w:hAnsi="Times New Roman" w:cs="Times New Roman"/>
        </w:rPr>
        <w:t xml:space="preserve"> American Community Survey</w:t>
      </w:r>
      <w:r w:rsidRPr="00D658FA">
        <w:rPr>
          <w:rFonts w:ascii="Times New Roman" w:eastAsia="Times New Roman" w:hAnsi="Times New Roman" w:cs="Times New Roman"/>
        </w:rPr>
        <w:t xml:space="preserve"> </w:t>
      </w:r>
      <w:r w:rsidR="00D0039C">
        <w:rPr>
          <w:rFonts w:ascii="Times New Roman" w:eastAsia="Times New Roman" w:hAnsi="Times New Roman" w:cs="Times New Roman"/>
        </w:rPr>
        <w:t>(</w:t>
      </w:r>
      <w:r w:rsidRPr="00D658FA">
        <w:rPr>
          <w:rFonts w:ascii="Times New Roman" w:eastAsia="Times New Roman" w:hAnsi="Times New Roman" w:cs="Times New Roman"/>
        </w:rPr>
        <w:t>ACS</w:t>
      </w:r>
      <w:r w:rsidR="00D0039C">
        <w:rPr>
          <w:rFonts w:ascii="Times New Roman" w:eastAsia="Times New Roman" w:hAnsi="Times New Roman" w:cs="Times New Roman"/>
        </w:rPr>
        <w:t>)</w:t>
      </w:r>
      <w:r w:rsidRPr="00D658FA">
        <w:rPr>
          <w:rFonts w:ascii="Times New Roman" w:eastAsia="Times New Roman" w:hAnsi="Times New Roman" w:cs="Times New Roman"/>
        </w:rPr>
        <w:t xml:space="preserve"> 5-year and</w:t>
      </w:r>
      <w:r w:rsidR="00122B64">
        <w:rPr>
          <w:rFonts w:ascii="Times New Roman" w:eastAsia="Times New Roman" w:hAnsi="Times New Roman" w:cs="Times New Roman"/>
        </w:rPr>
        <w:t xml:space="preserve"> Housing and Urban Development</w:t>
      </w:r>
      <w:r w:rsidRPr="00D658FA">
        <w:rPr>
          <w:rFonts w:ascii="Times New Roman" w:eastAsia="Times New Roman" w:hAnsi="Times New Roman" w:cs="Times New Roman"/>
        </w:rPr>
        <w:t xml:space="preserve"> </w:t>
      </w:r>
      <w:r w:rsidR="00122B64">
        <w:rPr>
          <w:rFonts w:ascii="Times New Roman" w:eastAsia="Times New Roman" w:hAnsi="Times New Roman" w:cs="Times New Roman"/>
        </w:rPr>
        <w:t>(</w:t>
      </w:r>
      <w:r w:rsidRPr="00D658FA">
        <w:rPr>
          <w:rFonts w:ascii="Times New Roman" w:eastAsia="Times New Roman" w:hAnsi="Times New Roman" w:cs="Times New Roman"/>
        </w:rPr>
        <w:t>HUD</w:t>
      </w:r>
      <w:r w:rsidR="00122B64">
        <w:rPr>
          <w:rFonts w:ascii="Times New Roman" w:eastAsia="Times New Roman" w:hAnsi="Times New Roman" w:cs="Times New Roman"/>
        </w:rPr>
        <w:t>)</w:t>
      </w:r>
      <w:r w:rsidRPr="00D658FA">
        <w:rPr>
          <w:rFonts w:ascii="Times New Roman" w:eastAsia="Times New Roman" w:hAnsi="Times New Roman" w:cs="Times New Roman"/>
        </w:rPr>
        <w:t xml:space="preserve"> data (2014–2023)</w:t>
      </w:r>
      <w:r w:rsidR="00D6363E">
        <w:rPr>
          <w:rFonts w:ascii="Times New Roman" w:eastAsia="Times New Roman" w:hAnsi="Times New Roman" w:cs="Times New Roman"/>
        </w:rPr>
        <w:t>. The models</w:t>
      </w:r>
      <w:r w:rsidRPr="00D658FA">
        <w:rPr>
          <w:rFonts w:ascii="Times New Roman" w:eastAsia="Times New Roman" w:hAnsi="Times New Roman" w:cs="Times New Roman"/>
        </w:rPr>
        <w:t xml:space="preserve"> controll</w:t>
      </w:r>
      <w:r w:rsidR="00D6363E">
        <w:rPr>
          <w:rFonts w:ascii="Times New Roman" w:eastAsia="Times New Roman" w:hAnsi="Times New Roman" w:cs="Times New Roman"/>
        </w:rPr>
        <w:t>ed</w:t>
      </w:r>
      <w:r w:rsidRPr="00D658FA">
        <w:rPr>
          <w:rFonts w:ascii="Times New Roman" w:eastAsia="Times New Roman" w:hAnsi="Times New Roman" w:cs="Times New Roman"/>
        </w:rPr>
        <w:t xml:space="preserve"> for educational attainment, homeownership, race/</w:t>
      </w:r>
      <w:r w:rsidR="009B6478">
        <w:rPr>
          <w:rFonts w:ascii="Times New Roman" w:eastAsia="Times New Roman" w:hAnsi="Times New Roman" w:cs="Times New Roman"/>
        </w:rPr>
        <w:t>ethnic identity</w:t>
      </w:r>
      <w:r w:rsidRPr="00D658FA">
        <w:rPr>
          <w:rFonts w:ascii="Times New Roman" w:eastAsia="Times New Roman" w:hAnsi="Times New Roman" w:cs="Times New Roman"/>
        </w:rPr>
        <w:t>, and disability</w:t>
      </w:r>
      <w:r w:rsidR="009B6478">
        <w:rPr>
          <w:rFonts w:ascii="Times New Roman" w:eastAsia="Times New Roman" w:hAnsi="Times New Roman" w:cs="Times New Roman"/>
        </w:rPr>
        <w:t xml:space="preserve"> status</w:t>
      </w:r>
      <w:r w:rsidRPr="00D658FA">
        <w:rPr>
          <w:rFonts w:ascii="Times New Roman" w:eastAsia="Times New Roman" w:hAnsi="Times New Roman" w:cs="Times New Roman"/>
        </w:rPr>
        <w:t>. Results show that OZ-designated tracts experienced statistically significant but modest improvements relative to non-OZ tracts, with larger effects at higher quantiles of the distribution. These uneven gains suggest that refining tract nomination procedures and tightening eligibility criteria could better focus OZ</w:t>
      </w:r>
      <w:r w:rsidR="00343102">
        <w:rPr>
          <w:rFonts w:ascii="Times New Roman" w:eastAsia="Times New Roman" w:hAnsi="Times New Roman" w:cs="Times New Roman"/>
        </w:rPr>
        <w:t xml:space="preserve"> tax</w:t>
      </w:r>
      <w:r w:rsidRPr="00D658FA">
        <w:rPr>
          <w:rFonts w:ascii="Times New Roman" w:eastAsia="Times New Roman" w:hAnsi="Times New Roman" w:cs="Times New Roman"/>
        </w:rPr>
        <w:t xml:space="preserve"> incentives on the most economically distressed communities.</w:t>
      </w:r>
    </w:p>
    <w:p w14:paraId="24DB311B" w14:textId="015762B3" w:rsidR="00E92188" w:rsidRPr="001604C9" w:rsidRDefault="000A07EB" w:rsidP="001604C9">
      <w:pPr>
        <w:pStyle w:val="Heading1"/>
        <w:rPr>
          <w:rFonts w:eastAsia="Times New Roman"/>
        </w:rPr>
      </w:pPr>
      <w:bookmarkStart w:id="1" w:name="_Toc197889215"/>
      <w:r w:rsidRPr="00900FAD">
        <w:rPr>
          <w:rFonts w:eastAsia="Times New Roman"/>
        </w:rPr>
        <w:t>Introduction</w:t>
      </w:r>
      <w:bookmarkEnd w:id="1"/>
    </w:p>
    <w:p w14:paraId="6B48E1BD" w14:textId="4D336B02" w:rsidR="0036208B" w:rsidRPr="0036208B" w:rsidRDefault="0036208B" w:rsidP="0036208B">
      <w:pPr>
        <w:spacing w:line="480" w:lineRule="auto"/>
        <w:ind w:firstLine="360"/>
        <w:rPr>
          <w:rFonts w:ascii="Times New Roman" w:eastAsia="Times New Roman" w:hAnsi="Times New Roman" w:cs="Times New Roman"/>
          <w:b/>
          <w:bCs/>
        </w:rPr>
      </w:pPr>
      <w:r w:rsidRPr="0036208B">
        <w:rPr>
          <w:rFonts w:ascii="Times New Roman" w:eastAsia="Times New Roman" w:hAnsi="Times New Roman" w:cs="Times New Roman"/>
        </w:rPr>
        <w:t xml:space="preserve">Opportunity Zones (OZs) were established by the 2017 Tax Cuts and Jobs Act (TCJA) to encourage investment in economically distressed communities. </w:t>
      </w:r>
      <w:r>
        <w:rPr>
          <w:rFonts w:ascii="Times New Roman" w:eastAsia="Times New Roman" w:hAnsi="Times New Roman" w:cs="Times New Roman"/>
        </w:rPr>
        <w:t xml:space="preserve">The OZ program </w:t>
      </w:r>
      <w:r w:rsidR="006B1E14">
        <w:rPr>
          <w:rFonts w:ascii="Times New Roman" w:eastAsia="Times New Roman" w:hAnsi="Times New Roman" w:cs="Times New Roman"/>
        </w:rPr>
        <w:t>offers</w:t>
      </w:r>
      <w:r>
        <w:rPr>
          <w:rFonts w:ascii="Times New Roman" w:eastAsia="Times New Roman" w:hAnsi="Times New Roman" w:cs="Times New Roman"/>
        </w:rPr>
        <w:t xml:space="preserve"> tax incentives to investors who </w:t>
      </w:r>
      <w:r w:rsidR="00200B61">
        <w:rPr>
          <w:rFonts w:ascii="Times New Roman" w:eastAsia="Times New Roman" w:hAnsi="Times New Roman" w:cs="Times New Roman"/>
        </w:rPr>
        <w:t>invest their capital gains</w:t>
      </w:r>
      <w:r>
        <w:rPr>
          <w:rFonts w:ascii="Times New Roman" w:eastAsia="Times New Roman" w:hAnsi="Times New Roman" w:cs="Times New Roman"/>
        </w:rPr>
        <w:t xml:space="preserve"> in designated</w:t>
      </w:r>
      <w:r w:rsidR="006B1E14">
        <w:rPr>
          <w:rFonts w:ascii="Times New Roman" w:eastAsia="Times New Roman" w:hAnsi="Times New Roman" w:cs="Times New Roman"/>
        </w:rPr>
        <w:t xml:space="preserve"> ‘distressed’</w:t>
      </w:r>
      <w:r>
        <w:rPr>
          <w:rFonts w:ascii="Times New Roman" w:eastAsia="Times New Roman" w:hAnsi="Times New Roman" w:cs="Times New Roman"/>
        </w:rPr>
        <w:t xml:space="preserve"> census tracts</w:t>
      </w:r>
      <w:r w:rsidR="00200B61">
        <w:rPr>
          <w:rFonts w:ascii="Times New Roman" w:eastAsia="Times New Roman" w:hAnsi="Times New Roman" w:cs="Times New Roman"/>
        </w:rPr>
        <w:t xml:space="preserve"> (OZs)</w:t>
      </w:r>
      <w:r w:rsidR="00F37280">
        <w:rPr>
          <w:rFonts w:ascii="Times New Roman" w:eastAsia="Times New Roman" w:hAnsi="Times New Roman" w:cs="Times New Roman"/>
        </w:rPr>
        <w:t>. The intent behind the OZ program is to stimulate economic growth and jobs</w:t>
      </w:r>
      <w:r w:rsidR="00607797">
        <w:rPr>
          <w:rFonts w:ascii="Times New Roman" w:eastAsia="Times New Roman" w:hAnsi="Times New Roman" w:cs="Times New Roman"/>
        </w:rPr>
        <w:t xml:space="preserve"> (Internal Revenue Service [IRS] 2022)</w:t>
      </w:r>
      <w:r w:rsidR="00F37280">
        <w:rPr>
          <w:rFonts w:ascii="Times New Roman" w:eastAsia="Times New Roman" w:hAnsi="Times New Roman" w:cs="Times New Roman"/>
        </w:rPr>
        <w:t xml:space="preserve">. Previous research on the topic offered mixed </w:t>
      </w:r>
      <w:r w:rsidR="005F2045">
        <w:rPr>
          <w:rFonts w:ascii="Times New Roman" w:eastAsia="Times New Roman" w:hAnsi="Times New Roman" w:cs="Times New Roman"/>
        </w:rPr>
        <w:t>findings</w:t>
      </w:r>
      <w:r w:rsidR="00F37280">
        <w:rPr>
          <w:rFonts w:ascii="Times New Roman" w:eastAsia="Times New Roman" w:hAnsi="Times New Roman" w:cs="Times New Roman"/>
        </w:rPr>
        <w:t xml:space="preserve">, with some studies suggesting no real change. This study builds </w:t>
      </w:r>
      <w:r w:rsidR="008A3269">
        <w:rPr>
          <w:rFonts w:ascii="Times New Roman" w:eastAsia="Times New Roman" w:hAnsi="Times New Roman" w:cs="Times New Roman"/>
        </w:rPr>
        <w:t>on</w:t>
      </w:r>
      <w:r w:rsidR="00F37280">
        <w:rPr>
          <w:rFonts w:ascii="Times New Roman" w:eastAsia="Times New Roman" w:hAnsi="Times New Roman" w:cs="Times New Roman"/>
        </w:rPr>
        <w:t xml:space="preserve"> previous research by measuring whether OZ designated tracts witnessed economic improvement using a </w:t>
      </w:r>
      <w:r w:rsidR="00645E5E">
        <w:rPr>
          <w:rFonts w:ascii="Times New Roman" w:eastAsia="Times New Roman" w:hAnsi="Times New Roman" w:cs="Times New Roman"/>
        </w:rPr>
        <w:t>d</w:t>
      </w:r>
      <w:r w:rsidR="00F37280">
        <w:rPr>
          <w:rFonts w:ascii="Times New Roman" w:eastAsia="Times New Roman" w:hAnsi="Times New Roman" w:cs="Times New Roman"/>
        </w:rPr>
        <w:t>ifference-in-</w:t>
      </w:r>
      <w:r w:rsidR="00645E5E">
        <w:rPr>
          <w:rFonts w:ascii="Times New Roman" w:eastAsia="Times New Roman" w:hAnsi="Times New Roman" w:cs="Times New Roman"/>
        </w:rPr>
        <w:t>d</w:t>
      </w:r>
      <w:r w:rsidR="00F37280">
        <w:rPr>
          <w:rFonts w:ascii="Times New Roman" w:eastAsia="Times New Roman" w:hAnsi="Times New Roman" w:cs="Times New Roman"/>
        </w:rPr>
        <w:t>ifferences (</w:t>
      </w:r>
      <w:proofErr w:type="spellStart"/>
      <w:r w:rsidR="00F37280">
        <w:rPr>
          <w:rFonts w:ascii="Times New Roman" w:eastAsia="Times New Roman" w:hAnsi="Times New Roman" w:cs="Times New Roman"/>
        </w:rPr>
        <w:t>DiD</w:t>
      </w:r>
      <w:proofErr w:type="spellEnd"/>
      <w:r w:rsidR="00F37280">
        <w:rPr>
          <w:rFonts w:ascii="Times New Roman" w:eastAsia="Times New Roman" w:hAnsi="Times New Roman" w:cs="Times New Roman"/>
        </w:rPr>
        <w:t>) model and quantile regression</w:t>
      </w:r>
      <w:r w:rsidR="00D91586">
        <w:rPr>
          <w:rFonts w:ascii="Times New Roman" w:eastAsia="Times New Roman" w:hAnsi="Times New Roman" w:cs="Times New Roman"/>
        </w:rPr>
        <w:t xml:space="preserve"> at the 25</w:t>
      </w:r>
      <w:r w:rsidR="00D91586" w:rsidRPr="00D91586">
        <w:rPr>
          <w:rFonts w:ascii="Times New Roman" w:eastAsia="Times New Roman" w:hAnsi="Times New Roman" w:cs="Times New Roman"/>
          <w:vertAlign w:val="superscript"/>
        </w:rPr>
        <w:t>th</w:t>
      </w:r>
      <w:r w:rsidR="00D91586">
        <w:rPr>
          <w:rFonts w:ascii="Times New Roman" w:eastAsia="Times New Roman" w:hAnsi="Times New Roman" w:cs="Times New Roman"/>
        </w:rPr>
        <w:t>, 50</w:t>
      </w:r>
      <w:r w:rsidR="00D91586" w:rsidRPr="00D91586">
        <w:rPr>
          <w:rFonts w:ascii="Times New Roman" w:eastAsia="Times New Roman" w:hAnsi="Times New Roman" w:cs="Times New Roman"/>
          <w:vertAlign w:val="superscript"/>
        </w:rPr>
        <w:t>th</w:t>
      </w:r>
      <w:r w:rsidR="00D91586">
        <w:rPr>
          <w:rFonts w:ascii="Times New Roman" w:eastAsia="Times New Roman" w:hAnsi="Times New Roman" w:cs="Times New Roman"/>
        </w:rPr>
        <w:t>, and 75</w:t>
      </w:r>
      <w:r w:rsidR="00D91586" w:rsidRPr="00D91586">
        <w:rPr>
          <w:rFonts w:ascii="Times New Roman" w:eastAsia="Times New Roman" w:hAnsi="Times New Roman" w:cs="Times New Roman"/>
          <w:vertAlign w:val="superscript"/>
        </w:rPr>
        <w:t>th</w:t>
      </w:r>
      <w:r w:rsidR="00D91586">
        <w:rPr>
          <w:rFonts w:ascii="Times New Roman" w:eastAsia="Times New Roman" w:hAnsi="Times New Roman" w:cs="Times New Roman"/>
        </w:rPr>
        <w:t xml:space="preserve"> percentiles</w:t>
      </w:r>
      <w:r w:rsidR="00F37280">
        <w:rPr>
          <w:rFonts w:ascii="Times New Roman" w:eastAsia="Times New Roman" w:hAnsi="Times New Roman" w:cs="Times New Roman"/>
        </w:rPr>
        <w:t>.</w:t>
      </w:r>
    </w:p>
    <w:p w14:paraId="0000001C" w14:textId="47EBD6FF" w:rsidR="008F49C7" w:rsidRDefault="00661B03" w:rsidP="000E5D66">
      <w:pPr>
        <w:spacing w:line="480" w:lineRule="auto"/>
        <w:ind w:firstLine="360"/>
        <w:rPr>
          <w:rFonts w:ascii="Times New Roman" w:eastAsia="Times New Roman" w:hAnsi="Times New Roman" w:cs="Times New Roman"/>
        </w:rPr>
      </w:pPr>
      <w:r w:rsidRPr="00661B03">
        <w:rPr>
          <w:rFonts w:ascii="Times New Roman" w:eastAsia="Times New Roman" w:hAnsi="Times New Roman" w:cs="Times New Roman"/>
        </w:rPr>
        <w:lastRenderedPageBreak/>
        <w:t xml:space="preserve">Amid the re-election of President Donald Trump and a renewed focus on economic policy, </w:t>
      </w:r>
      <w:r w:rsidR="006A13B7">
        <w:rPr>
          <w:rFonts w:ascii="Times New Roman" w:eastAsia="Times New Roman" w:hAnsi="Times New Roman" w:cs="Times New Roman"/>
        </w:rPr>
        <w:t xml:space="preserve">this study seeks to understand how economic policies, such as Opportunity Zones, affect the financial well-being of Americans. </w:t>
      </w:r>
      <w:r w:rsidR="00F3586E" w:rsidRPr="00F3586E">
        <w:rPr>
          <w:rFonts w:ascii="Times New Roman" w:eastAsia="Times New Roman" w:hAnsi="Times New Roman" w:cs="Times New Roman"/>
        </w:rPr>
        <w:t>President Trump has expressed interest in extending the TCJA, which is scheduled to expire on December 31, 2025</w:t>
      </w:r>
      <w:r w:rsidR="005D5BF1">
        <w:rPr>
          <w:rFonts w:ascii="Times New Roman" w:eastAsia="Times New Roman" w:hAnsi="Times New Roman" w:cs="Times New Roman"/>
        </w:rPr>
        <w:t xml:space="preserve"> (</w:t>
      </w:r>
      <w:r w:rsidR="003E74B2" w:rsidRPr="005D5BF1">
        <w:rPr>
          <w:rFonts w:ascii="Times New Roman" w:hAnsi="Times New Roman" w:cs="Times New Roman"/>
        </w:rPr>
        <w:t>Picchi</w:t>
      </w:r>
      <w:r w:rsidR="005D5BF1">
        <w:rPr>
          <w:rFonts w:ascii="Times New Roman" w:eastAsia="Times New Roman" w:hAnsi="Times New Roman" w:cs="Times New Roman"/>
        </w:rPr>
        <w:t xml:space="preserve"> 2024)</w:t>
      </w:r>
      <w:r w:rsidR="00F3586E" w:rsidRPr="00F3586E">
        <w:rPr>
          <w:rFonts w:ascii="Times New Roman" w:eastAsia="Times New Roman" w:hAnsi="Times New Roman" w:cs="Times New Roman"/>
        </w:rPr>
        <w:t>.</w:t>
      </w:r>
      <w:r>
        <w:rPr>
          <w:rFonts w:ascii="Times New Roman" w:eastAsia="Times New Roman" w:hAnsi="Times New Roman" w:cs="Times New Roman"/>
        </w:rPr>
        <w:t xml:space="preserve"> </w:t>
      </w:r>
      <w:r w:rsidR="00993C06" w:rsidRPr="00993C06">
        <w:rPr>
          <w:rFonts w:ascii="Times New Roman" w:eastAsia="Times New Roman" w:hAnsi="Times New Roman" w:cs="Times New Roman"/>
        </w:rPr>
        <w:t>In December 2017, the TCJA was signed into law, establishing Qualified Opportunity Funds (QOFs) as a mechanism to channel investments into designated Opportunity Zones.</w:t>
      </w:r>
      <w:r w:rsidR="00993C06">
        <w:rPr>
          <w:rFonts w:ascii="Times New Roman" w:eastAsia="Times New Roman" w:hAnsi="Times New Roman" w:cs="Times New Roman"/>
        </w:rPr>
        <w:t xml:space="preserve"> The Opportunity Zone (OZ) program was created to stimulate economic growth and job creation in the most economically distressed neighborhoods. As of April 2022, over 8,700 tracts across the U.S. had been designated as OZs</w:t>
      </w:r>
      <w:r w:rsidR="009326AB">
        <w:rPr>
          <w:rFonts w:ascii="Times New Roman" w:eastAsia="Times New Roman" w:hAnsi="Times New Roman" w:cs="Times New Roman"/>
        </w:rPr>
        <w:t xml:space="preserve"> (IRS 2022). </w:t>
      </w:r>
      <w:r w:rsidR="00993C06">
        <w:rPr>
          <w:rFonts w:ascii="Times New Roman" w:eastAsia="Times New Roman" w:hAnsi="Times New Roman" w:cs="Times New Roman"/>
        </w:rPr>
        <w:t xml:space="preserve">The </w:t>
      </w:r>
      <w:r w:rsidR="0041731F">
        <w:rPr>
          <w:rFonts w:ascii="Times New Roman" w:eastAsia="Times New Roman" w:hAnsi="Times New Roman" w:cs="Times New Roman"/>
        </w:rPr>
        <w:t xml:space="preserve">goal of </w:t>
      </w:r>
      <w:r w:rsidR="00993C06">
        <w:rPr>
          <w:rFonts w:ascii="Times New Roman" w:eastAsia="Times New Roman" w:hAnsi="Times New Roman" w:cs="Times New Roman"/>
        </w:rPr>
        <w:t xml:space="preserve">the OZ program was to provide investors an incentive to invest in these economically distressed areas through tax deferments. </w:t>
      </w:r>
      <w:r w:rsidR="00B36C63" w:rsidRPr="00B36C63">
        <w:rPr>
          <w:rFonts w:ascii="Times New Roman" w:eastAsia="Times New Roman" w:hAnsi="Times New Roman" w:cs="Times New Roman"/>
        </w:rPr>
        <w:t>However, these tax deferments remain valid only until either an “inclusion event” occurs—rendering the investment ineligible—or until December 31, 2026.</w:t>
      </w:r>
      <w:r w:rsidR="00993C06">
        <w:rPr>
          <w:rFonts w:ascii="Times New Roman" w:eastAsia="Times New Roman" w:hAnsi="Times New Roman" w:cs="Times New Roman"/>
        </w:rPr>
        <w:t xml:space="preserve"> </w:t>
      </w:r>
      <w:r w:rsidR="003267D8" w:rsidRPr="003267D8">
        <w:rPr>
          <w:rFonts w:ascii="Times New Roman" w:eastAsia="Times New Roman" w:hAnsi="Times New Roman" w:cs="Times New Roman"/>
        </w:rPr>
        <w:t>According to Public Law 115-97, a low-income census tract, along with certain contiguous tracts, may qualify for OZ designation.</w:t>
      </w:r>
      <w:r w:rsidR="003267D8">
        <w:rPr>
          <w:rFonts w:ascii="Times New Roman" w:eastAsia="Times New Roman" w:hAnsi="Times New Roman" w:cs="Times New Roman"/>
        </w:rPr>
        <w:t xml:space="preserve"> </w:t>
      </w:r>
      <w:r w:rsidR="00993C06">
        <w:rPr>
          <w:rFonts w:ascii="Times New Roman" w:eastAsia="Times New Roman" w:hAnsi="Times New Roman" w:cs="Times New Roman"/>
        </w:rPr>
        <w:t>The number of census tracts in a state cannot exceed 25% of the number of low-income tracts</w:t>
      </w:r>
      <w:r w:rsidR="00C439AA">
        <w:rPr>
          <w:rFonts w:ascii="Times New Roman" w:eastAsia="Times New Roman" w:hAnsi="Times New Roman" w:cs="Times New Roman"/>
        </w:rPr>
        <w:t xml:space="preserve"> (115</w:t>
      </w:r>
      <w:r w:rsidR="00C439AA" w:rsidRPr="00C439AA">
        <w:rPr>
          <w:rFonts w:ascii="Times New Roman" w:eastAsia="Times New Roman" w:hAnsi="Times New Roman" w:cs="Times New Roman"/>
          <w:vertAlign w:val="superscript"/>
        </w:rPr>
        <w:t>th</w:t>
      </w:r>
      <w:r w:rsidR="00C439AA">
        <w:rPr>
          <w:rFonts w:ascii="Times New Roman" w:eastAsia="Times New Roman" w:hAnsi="Times New Roman" w:cs="Times New Roman"/>
        </w:rPr>
        <w:t xml:space="preserve"> Congress 2017)</w:t>
      </w:r>
      <w:r w:rsidR="00096C3D">
        <w:rPr>
          <w:rFonts w:ascii="Times New Roman" w:eastAsia="Times New Roman" w:hAnsi="Times New Roman" w:cs="Times New Roman"/>
        </w:rPr>
        <w:t>.</w:t>
      </w:r>
      <w:r w:rsidR="00C439AA">
        <w:rPr>
          <w:rFonts w:ascii="Times New Roman" w:eastAsia="Times New Roman" w:hAnsi="Times New Roman" w:cs="Times New Roman"/>
        </w:rPr>
        <w:t xml:space="preserve"> </w:t>
      </w:r>
      <w:r w:rsidR="00993C06">
        <w:rPr>
          <w:rFonts w:ascii="Times New Roman" w:eastAsia="Times New Roman" w:hAnsi="Times New Roman" w:cs="Times New Roman"/>
        </w:rPr>
        <w:t>Generally, a low-income community is a tract where the poverty rate is at least 20%</w:t>
      </w:r>
      <w:r w:rsidR="00C439AA">
        <w:rPr>
          <w:rFonts w:ascii="Times New Roman" w:eastAsia="Times New Roman" w:hAnsi="Times New Roman" w:cs="Times New Roman"/>
        </w:rPr>
        <w:t xml:space="preserve"> (IRS 2004)</w:t>
      </w:r>
      <w:r w:rsidR="00993C06">
        <w:rPr>
          <w:rFonts w:ascii="Times New Roman" w:eastAsia="Times New Roman" w:hAnsi="Times New Roman" w:cs="Times New Roman"/>
        </w:rPr>
        <w:t>.</w:t>
      </w:r>
      <w:r w:rsidR="00096C3D">
        <w:rPr>
          <w:rFonts w:ascii="Times New Roman" w:eastAsia="Times New Roman" w:hAnsi="Times New Roman" w:cs="Times New Roman"/>
        </w:rPr>
        <w:t xml:space="preserve"> </w:t>
      </w:r>
      <w:r w:rsidR="00993C06">
        <w:rPr>
          <w:rFonts w:ascii="Times New Roman" w:eastAsia="Times New Roman" w:hAnsi="Times New Roman" w:cs="Times New Roman"/>
        </w:rPr>
        <w:t xml:space="preserve">State governors nominate tracts within their state for nomination, provided they meet the baseline requirements and approval by the U.S. Treasury Secretary. </w:t>
      </w:r>
    </w:p>
    <w:p w14:paraId="0000001D" w14:textId="3BFE74A0" w:rsidR="008F49C7" w:rsidRDefault="00F84627" w:rsidP="00BD2FB9">
      <w:pPr>
        <w:spacing w:line="480" w:lineRule="auto"/>
        <w:ind w:firstLine="360"/>
        <w:rPr>
          <w:rFonts w:ascii="Times New Roman" w:eastAsia="Times New Roman" w:hAnsi="Times New Roman" w:cs="Times New Roman"/>
        </w:rPr>
      </w:pPr>
      <w:r w:rsidRPr="00F84627">
        <w:rPr>
          <w:rFonts w:ascii="Times New Roman" w:eastAsia="Times New Roman" w:hAnsi="Times New Roman" w:cs="Times New Roman"/>
        </w:rPr>
        <w:t>Much of the existing literature is dated and acknowledges that early analyses may not fully capture the long-term socio-economic impacts of the OZ program.</w:t>
      </w:r>
      <w:r>
        <w:rPr>
          <w:rFonts w:ascii="Times New Roman" w:eastAsia="Times New Roman" w:hAnsi="Times New Roman" w:cs="Times New Roman"/>
        </w:rPr>
        <w:t xml:space="preserve"> Despite this, the literature focuses on property investments, real estate fluctuations, and other indirect economic conditions that do not directly address the core reason behind the existence of the OZ program. </w:t>
      </w:r>
      <w:r w:rsidRPr="00F84627">
        <w:rPr>
          <w:rFonts w:ascii="Times New Roman" w:eastAsia="Times New Roman" w:hAnsi="Times New Roman" w:cs="Times New Roman"/>
        </w:rPr>
        <w:t xml:space="preserve">By focusing on fundamental indicators of economic growth—median income, employment levels, and housing costs—this analysis offers a more grounded assessment of how OZs have affected the </w:t>
      </w:r>
      <w:r w:rsidRPr="00F84627">
        <w:rPr>
          <w:rFonts w:ascii="Times New Roman" w:eastAsia="Times New Roman" w:hAnsi="Times New Roman" w:cs="Times New Roman"/>
        </w:rPr>
        <w:lastRenderedPageBreak/>
        <w:t>economic well-being of census tracts.</w:t>
      </w:r>
      <w:r>
        <w:rPr>
          <w:rFonts w:ascii="Times New Roman" w:eastAsia="Times New Roman" w:hAnsi="Times New Roman" w:cs="Times New Roman"/>
        </w:rPr>
        <w:t xml:space="preserve"> </w:t>
      </w:r>
      <w:r w:rsidR="003D0B3F">
        <w:rPr>
          <w:rFonts w:ascii="Times New Roman" w:eastAsia="Times New Roman" w:hAnsi="Times New Roman" w:cs="Times New Roman"/>
        </w:rPr>
        <w:t xml:space="preserve">This study </w:t>
      </w:r>
      <w:r>
        <w:rPr>
          <w:rFonts w:ascii="Times New Roman" w:eastAsia="Times New Roman" w:hAnsi="Times New Roman" w:cs="Times New Roman"/>
        </w:rPr>
        <w:t xml:space="preserve">will </w:t>
      </w:r>
      <w:r w:rsidR="003D0B3F">
        <w:rPr>
          <w:rFonts w:ascii="Times New Roman" w:eastAsia="Times New Roman" w:hAnsi="Times New Roman" w:cs="Times New Roman"/>
        </w:rPr>
        <w:t>begin with a</w:t>
      </w:r>
      <w:r>
        <w:rPr>
          <w:rFonts w:ascii="Times New Roman" w:eastAsia="Times New Roman" w:hAnsi="Times New Roman" w:cs="Times New Roman"/>
        </w:rPr>
        <w:t xml:space="preserve"> nationwide analysis on OZ’s impact on economic well-being at the tract level, followed by a localized study focused on the Akron, OH metropolitan area. The localization study will help ground the analysis into something more tangible. Akron, OH is significant for multiple reasons, it represents small to mid-sized cities that are often overshadowed by larger cities, and its struggling transition to a post-industrial economy is key to understanding how economic turmoil affects its citizens. </w:t>
      </w:r>
      <w:r w:rsidR="00F06035" w:rsidRPr="00F06035">
        <w:rPr>
          <w:rFonts w:ascii="Times New Roman" w:eastAsia="Times New Roman" w:hAnsi="Times New Roman" w:cs="Times New Roman"/>
        </w:rPr>
        <w:t>Notably, Akron contains some of the poorest communities in the nation, with an average total annual income of just $25,933</w:t>
      </w:r>
      <w:r w:rsidR="00D93CE5">
        <w:rPr>
          <w:rFonts w:ascii="Times New Roman" w:eastAsia="Times New Roman" w:hAnsi="Times New Roman" w:cs="Times New Roman"/>
        </w:rPr>
        <w:t xml:space="preserve"> (US Census Bureau 2023)</w:t>
      </w:r>
      <w:r>
        <w:rPr>
          <w:rFonts w:ascii="Times New Roman" w:eastAsia="Times New Roman" w:hAnsi="Times New Roman" w:cs="Times New Roman"/>
        </w:rPr>
        <w:t>.</w:t>
      </w:r>
    </w:p>
    <w:p w14:paraId="0000001E" w14:textId="5F00F935" w:rsidR="008F49C7" w:rsidRDefault="004D4E2E" w:rsidP="00FD5CA1">
      <w:pPr>
        <w:spacing w:line="480" w:lineRule="auto"/>
        <w:ind w:firstLine="360"/>
        <w:rPr>
          <w:rFonts w:ascii="Times New Roman" w:eastAsia="Times New Roman" w:hAnsi="Times New Roman" w:cs="Times New Roman"/>
        </w:rPr>
      </w:pPr>
      <w:r w:rsidRPr="00F24174">
        <w:rPr>
          <w:rFonts w:ascii="Times New Roman" w:eastAsia="Times New Roman" w:hAnsi="Times New Roman" w:cs="Times New Roman"/>
        </w:rPr>
        <w:t>This raises an important question: will the expiration of the TCJA have a tangible impact on the average American’s finances, or is the push for its extension primarily political in nature?</w:t>
      </w:r>
      <w:r>
        <w:rPr>
          <w:rFonts w:ascii="Times New Roman" w:eastAsia="Times New Roman" w:hAnsi="Times New Roman" w:cs="Times New Roman"/>
        </w:rPr>
        <w:t xml:space="preserve"> This paper examines the TCJA’s OZ program which was designed to benefit impoverished communities through private investment incentives. </w:t>
      </w:r>
      <w:r w:rsidR="00362B61" w:rsidRPr="00362B61">
        <w:rPr>
          <w:rFonts w:ascii="Times New Roman" w:eastAsia="Times New Roman" w:hAnsi="Times New Roman" w:cs="Times New Roman"/>
        </w:rPr>
        <w:t>This analysis contributes to the existing literature by examining a recent economic policy aimed at disadvantaged communities, using a unique economic well-being indicator to capture everyday impacts, and incorporating both national and localized perspectives with</w:t>
      </w:r>
      <w:r w:rsidR="00B41E38">
        <w:rPr>
          <w:rFonts w:ascii="Times New Roman" w:eastAsia="Times New Roman" w:hAnsi="Times New Roman" w:cs="Times New Roman"/>
        </w:rPr>
        <w:t xml:space="preserve"> ACS and HUD</w:t>
      </w:r>
      <w:r w:rsidR="00362B61" w:rsidRPr="00362B61">
        <w:rPr>
          <w:rFonts w:ascii="Times New Roman" w:eastAsia="Times New Roman" w:hAnsi="Times New Roman" w:cs="Times New Roman"/>
        </w:rPr>
        <w:t xml:space="preserve"> data </w:t>
      </w:r>
      <w:r w:rsidR="00B41E38">
        <w:rPr>
          <w:rFonts w:ascii="Times New Roman" w:eastAsia="Times New Roman" w:hAnsi="Times New Roman" w:cs="Times New Roman"/>
        </w:rPr>
        <w:t>from 2014</w:t>
      </w:r>
      <w:r w:rsidR="00510E16">
        <w:rPr>
          <w:rFonts w:ascii="Times New Roman" w:eastAsia="Times New Roman" w:hAnsi="Times New Roman" w:cs="Times New Roman"/>
        </w:rPr>
        <w:t xml:space="preserve"> to </w:t>
      </w:r>
      <w:r w:rsidR="00362B61" w:rsidRPr="00362B61">
        <w:rPr>
          <w:rFonts w:ascii="Times New Roman" w:eastAsia="Times New Roman" w:hAnsi="Times New Roman" w:cs="Times New Roman"/>
        </w:rPr>
        <w:t>2023.</w:t>
      </w:r>
      <w:r w:rsidR="005C4F5F">
        <w:rPr>
          <w:rFonts w:ascii="Times New Roman" w:eastAsia="Times New Roman" w:hAnsi="Times New Roman" w:cs="Times New Roman"/>
        </w:rPr>
        <w:t xml:space="preserve"> The research question will seek to answer how OZs affect a tract’s well-being, since the premise of the OZ program was to spur job creation and economic activity.</w:t>
      </w:r>
    </w:p>
    <w:p w14:paraId="6A2CA454" w14:textId="5222D04C" w:rsidR="00E92188" w:rsidRPr="001604C9" w:rsidRDefault="00000000" w:rsidP="001604C9">
      <w:pPr>
        <w:pStyle w:val="Heading1"/>
        <w:rPr>
          <w:rFonts w:eastAsia="Times New Roman"/>
        </w:rPr>
      </w:pPr>
      <w:bookmarkStart w:id="2" w:name="_Hlk197866517"/>
      <w:bookmarkStart w:id="3" w:name="_Toc197889216"/>
      <w:r w:rsidRPr="00900FAD">
        <w:rPr>
          <w:rFonts w:eastAsia="Times New Roman"/>
        </w:rPr>
        <w:t>Background and Previous Literature</w:t>
      </w:r>
      <w:bookmarkEnd w:id="3"/>
    </w:p>
    <w:bookmarkEnd w:id="2"/>
    <w:p w14:paraId="00000020" w14:textId="795E383F" w:rsidR="008F49C7" w:rsidRDefault="00000000" w:rsidP="002B2F3D">
      <w:pPr>
        <w:spacing w:line="480" w:lineRule="auto"/>
        <w:ind w:firstLine="360"/>
        <w:rPr>
          <w:rFonts w:ascii="Times New Roman" w:eastAsia="Times New Roman" w:hAnsi="Times New Roman" w:cs="Times New Roman"/>
        </w:rPr>
      </w:pPr>
      <w:r>
        <w:rPr>
          <w:rFonts w:ascii="Times New Roman" w:eastAsia="Times New Roman" w:hAnsi="Times New Roman" w:cs="Times New Roman"/>
        </w:rPr>
        <w:t xml:space="preserve">Previous research and analysis of Opportunity Zones tends to focus on why tracts are selected for OZ status and if the OZ nomination encourages real investment. </w:t>
      </w:r>
      <w:r w:rsidR="00361097">
        <w:rPr>
          <w:rFonts w:ascii="Times New Roman" w:eastAsia="Times New Roman" w:hAnsi="Times New Roman" w:cs="Times New Roman"/>
        </w:rPr>
        <w:t>The OZ literature only contained</w:t>
      </w:r>
      <w:r>
        <w:rPr>
          <w:rFonts w:ascii="Times New Roman" w:eastAsia="Times New Roman" w:hAnsi="Times New Roman" w:cs="Times New Roman"/>
        </w:rPr>
        <w:t xml:space="preserve"> a </w:t>
      </w:r>
      <w:r w:rsidR="002D4DD9">
        <w:rPr>
          <w:rFonts w:ascii="Times New Roman" w:eastAsia="Times New Roman" w:hAnsi="Times New Roman" w:cs="Times New Roman"/>
        </w:rPr>
        <w:t>few</w:t>
      </w:r>
      <w:r>
        <w:rPr>
          <w:rFonts w:ascii="Times New Roman" w:eastAsia="Times New Roman" w:hAnsi="Times New Roman" w:cs="Times New Roman"/>
        </w:rPr>
        <w:t xml:space="preserve"> scholarly articles </w:t>
      </w:r>
      <w:r w:rsidR="002D4DD9">
        <w:rPr>
          <w:rFonts w:ascii="Times New Roman" w:eastAsia="Times New Roman" w:hAnsi="Times New Roman" w:cs="Times New Roman"/>
        </w:rPr>
        <w:t>investigating</w:t>
      </w:r>
      <w:r>
        <w:rPr>
          <w:rFonts w:ascii="Times New Roman" w:eastAsia="Times New Roman" w:hAnsi="Times New Roman" w:cs="Times New Roman"/>
        </w:rPr>
        <w:t xml:space="preserve"> whether OZs generate a positive effect on job creation, median earnings, and poverty rates. Much of the scholarly literature focus</w:t>
      </w:r>
      <w:r w:rsidR="00512E40">
        <w:rPr>
          <w:rFonts w:ascii="Times New Roman" w:eastAsia="Times New Roman" w:hAnsi="Times New Roman" w:cs="Times New Roman"/>
        </w:rPr>
        <w:t>es</w:t>
      </w:r>
      <w:r>
        <w:rPr>
          <w:rFonts w:ascii="Times New Roman" w:eastAsia="Times New Roman" w:hAnsi="Times New Roman" w:cs="Times New Roman"/>
        </w:rPr>
        <w:t xml:space="preserve"> on the political and macro-economic aspects of the OZ program rather than the direct economic impact </w:t>
      </w:r>
      <w:r>
        <w:rPr>
          <w:rFonts w:ascii="Times New Roman" w:eastAsia="Times New Roman" w:hAnsi="Times New Roman" w:cs="Times New Roman"/>
        </w:rPr>
        <w:lastRenderedPageBreak/>
        <w:t>that is felt on everyday Americans. A couple of examples include the political tendencies of governors to pick tracts for OZ designation based on political party affiliation or property and real estate values based on OZ investments</w:t>
      </w:r>
      <w:r w:rsidR="004D0392">
        <w:rPr>
          <w:rFonts w:ascii="Times New Roman" w:eastAsia="Times New Roman" w:hAnsi="Times New Roman" w:cs="Times New Roman"/>
        </w:rPr>
        <w:t xml:space="preserve">. </w:t>
      </w:r>
      <w:r>
        <w:rPr>
          <w:rFonts w:ascii="Times New Roman" w:eastAsia="Times New Roman" w:hAnsi="Times New Roman" w:cs="Times New Roman"/>
        </w:rPr>
        <w:t>However, the literature does provide a baseline and context for other impacts of the OZ program that this study does not cover.</w:t>
      </w:r>
    </w:p>
    <w:p w14:paraId="0DD0598F" w14:textId="1E3CFC0C" w:rsidR="00E92188" w:rsidRPr="00E92188" w:rsidRDefault="00064A4E" w:rsidP="001604C9">
      <w:pPr>
        <w:pStyle w:val="Heading2"/>
      </w:pPr>
      <w:bookmarkStart w:id="4" w:name="_Toc197889217"/>
      <w:r w:rsidRPr="00900FAD">
        <w:rPr>
          <w:rFonts w:eastAsia="Times New Roman"/>
        </w:rPr>
        <w:t>3.1 Economic Impacts</w:t>
      </w:r>
      <w:bookmarkEnd w:id="4"/>
    </w:p>
    <w:p w14:paraId="0AF2CDA2" w14:textId="56B866F3" w:rsidR="00800BC7" w:rsidRDefault="009F0346">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OZ literature on direct economic effects used </w:t>
      </w:r>
      <w:proofErr w:type="spellStart"/>
      <w:r>
        <w:rPr>
          <w:rFonts w:ascii="Times New Roman" w:eastAsia="Times New Roman" w:hAnsi="Times New Roman" w:cs="Times New Roman"/>
        </w:rPr>
        <w:t>DiD</w:t>
      </w:r>
      <w:proofErr w:type="spellEnd"/>
      <w:r>
        <w:rPr>
          <w:rFonts w:ascii="Times New Roman" w:eastAsia="Times New Roman" w:hAnsi="Times New Roman" w:cs="Times New Roman"/>
        </w:rPr>
        <w:t xml:space="preserve"> models to analyze job growth and poverty rates.</w:t>
      </w:r>
      <w:r w:rsidR="00A03C57">
        <w:rPr>
          <w:rFonts w:ascii="Times New Roman" w:eastAsia="Times New Roman" w:hAnsi="Times New Roman" w:cs="Times New Roman"/>
        </w:rPr>
        <w:t xml:space="preserve"> In the</w:t>
      </w:r>
      <w:r>
        <w:rPr>
          <w:rFonts w:ascii="Times New Roman" w:eastAsia="Times New Roman" w:hAnsi="Times New Roman" w:cs="Times New Roman"/>
        </w:rPr>
        <w:t xml:space="preserve"> </w:t>
      </w:r>
      <w:proofErr w:type="spellStart"/>
      <w:r w:rsidR="00800BC7" w:rsidRPr="00800BC7">
        <w:rPr>
          <w:rFonts w:ascii="Times New Roman" w:eastAsia="Times New Roman" w:hAnsi="Times New Roman" w:cs="Times New Roman"/>
        </w:rPr>
        <w:t>Arefeva</w:t>
      </w:r>
      <w:proofErr w:type="spellEnd"/>
      <w:r w:rsidR="00800BC7" w:rsidRPr="00800BC7">
        <w:rPr>
          <w:rFonts w:ascii="Times New Roman" w:eastAsia="Times New Roman" w:hAnsi="Times New Roman" w:cs="Times New Roman"/>
        </w:rPr>
        <w:t xml:space="preserve"> et al. (2024)</w:t>
      </w:r>
      <w:r w:rsidR="00A03C57">
        <w:rPr>
          <w:rFonts w:ascii="Times New Roman" w:eastAsia="Times New Roman" w:hAnsi="Times New Roman" w:cs="Times New Roman"/>
        </w:rPr>
        <w:t xml:space="preserve"> study</w:t>
      </w:r>
      <w:r w:rsidR="00CA7F7C">
        <w:rPr>
          <w:rFonts w:ascii="Times New Roman" w:eastAsia="Times New Roman" w:hAnsi="Times New Roman" w:cs="Times New Roman"/>
        </w:rPr>
        <w:t>,</w:t>
      </w:r>
      <w:r w:rsidR="00A03C57">
        <w:rPr>
          <w:rFonts w:ascii="Times New Roman" w:eastAsia="Times New Roman" w:hAnsi="Times New Roman" w:cs="Times New Roman"/>
        </w:rPr>
        <w:t xml:space="preserve"> t</w:t>
      </w:r>
      <w:r w:rsidR="00A03C57" w:rsidRPr="00800BC7">
        <w:rPr>
          <w:rFonts w:ascii="Times New Roman" w:eastAsia="Times New Roman" w:hAnsi="Times New Roman" w:cs="Times New Roman"/>
        </w:rPr>
        <w:t>he</w:t>
      </w:r>
      <w:r w:rsidR="00E77F5E">
        <w:rPr>
          <w:rFonts w:ascii="Times New Roman" w:eastAsia="Times New Roman" w:hAnsi="Times New Roman" w:cs="Times New Roman"/>
        </w:rPr>
        <w:t xml:space="preserve"> researchers</w:t>
      </w:r>
      <w:r w:rsidR="00A03C57" w:rsidRPr="00800BC7">
        <w:rPr>
          <w:rFonts w:ascii="Times New Roman" w:eastAsia="Times New Roman" w:hAnsi="Times New Roman" w:cs="Times New Roman"/>
        </w:rPr>
        <w:t xml:space="preserve"> found that Opportunity Zones increased job growth by 3–4.5% in metro areas during the program’s first two years</w:t>
      </w:r>
      <w:r w:rsidR="000922E9">
        <w:rPr>
          <w:rFonts w:ascii="Times New Roman" w:eastAsia="Times New Roman" w:hAnsi="Times New Roman" w:cs="Times New Roman"/>
        </w:rPr>
        <w:t>.</w:t>
      </w:r>
      <w:r w:rsidR="00800BC7" w:rsidRPr="00800BC7">
        <w:rPr>
          <w:rFonts w:ascii="Times New Roman" w:eastAsia="Times New Roman" w:hAnsi="Times New Roman" w:cs="Times New Roman"/>
        </w:rPr>
        <w:t xml:space="preserve"> However, most of the observed job growth was attributed to individuals living outside the designated OZ tracts</w:t>
      </w:r>
      <w:r w:rsidR="00A03C57">
        <w:rPr>
          <w:rFonts w:ascii="Times New Roman" w:eastAsia="Times New Roman" w:hAnsi="Times New Roman" w:cs="Times New Roman"/>
        </w:rPr>
        <w:t>, and used data from 2013-2021</w:t>
      </w:r>
      <w:r w:rsidR="000922E9">
        <w:rPr>
          <w:rFonts w:ascii="Times New Roman" w:eastAsia="Times New Roman" w:hAnsi="Times New Roman" w:cs="Times New Roman"/>
        </w:rPr>
        <w:t xml:space="preserve">. </w:t>
      </w:r>
      <w:r w:rsidR="00800BC7" w:rsidRPr="00800BC7">
        <w:rPr>
          <w:rFonts w:ascii="Times New Roman" w:eastAsia="Times New Roman" w:hAnsi="Times New Roman" w:cs="Times New Roman"/>
        </w:rPr>
        <w:t>The study incorporated various socio-economic covariates such as race, education, income, housing tenure, and poverty measures. Freedman et al. (2021)</w:t>
      </w:r>
      <w:r w:rsidR="00800BC7">
        <w:rPr>
          <w:rFonts w:ascii="Times New Roman" w:eastAsia="Times New Roman" w:hAnsi="Times New Roman" w:cs="Times New Roman"/>
        </w:rPr>
        <w:t xml:space="preserve"> </w:t>
      </w:r>
      <w:r w:rsidR="00800BC7" w:rsidRPr="00800BC7">
        <w:rPr>
          <w:rFonts w:ascii="Times New Roman" w:eastAsia="Times New Roman" w:hAnsi="Times New Roman" w:cs="Times New Roman"/>
        </w:rPr>
        <w:t xml:space="preserve">similarly used a </w:t>
      </w:r>
      <w:proofErr w:type="spellStart"/>
      <w:r w:rsidR="00800BC7" w:rsidRPr="00800BC7">
        <w:rPr>
          <w:rFonts w:ascii="Times New Roman" w:eastAsia="Times New Roman" w:hAnsi="Times New Roman" w:cs="Times New Roman"/>
        </w:rPr>
        <w:t>DiD</w:t>
      </w:r>
      <w:proofErr w:type="spellEnd"/>
      <w:r w:rsidR="00800BC7" w:rsidRPr="00800BC7">
        <w:rPr>
          <w:rFonts w:ascii="Times New Roman" w:eastAsia="Times New Roman" w:hAnsi="Times New Roman" w:cs="Times New Roman"/>
        </w:rPr>
        <w:t xml:space="preserve"> framework with ACS micro-data from 2013–2019 to examine OZ effects on employment, earnings, and poverty. Because their </w:t>
      </w:r>
      <w:proofErr w:type="spellStart"/>
      <w:r w:rsidR="00800BC7" w:rsidRPr="00800BC7">
        <w:rPr>
          <w:rFonts w:ascii="Times New Roman" w:eastAsia="Times New Roman" w:hAnsi="Times New Roman" w:cs="Times New Roman"/>
        </w:rPr>
        <w:t>DiD</w:t>
      </w:r>
      <w:proofErr w:type="spellEnd"/>
      <w:r w:rsidR="00800BC7" w:rsidRPr="00800BC7">
        <w:rPr>
          <w:rFonts w:ascii="Times New Roman" w:eastAsia="Times New Roman" w:hAnsi="Times New Roman" w:cs="Times New Roman"/>
        </w:rPr>
        <w:t xml:space="preserve"> model violated the parallel trends assumption, they applied inverse probability weighting (IPW) to construct a more comparable control group. Although their results showed small positive changes in earnings and employment, the effects were statistically insignificant, and poverty rates slightly increased. Both studies highlight</w:t>
      </w:r>
      <w:r>
        <w:rPr>
          <w:rFonts w:ascii="Times New Roman" w:eastAsia="Times New Roman" w:hAnsi="Times New Roman" w:cs="Times New Roman"/>
        </w:rPr>
        <w:t xml:space="preserve"> the</w:t>
      </w:r>
      <w:r w:rsidR="004D0392">
        <w:rPr>
          <w:rFonts w:ascii="Times New Roman" w:eastAsia="Times New Roman" w:hAnsi="Times New Roman" w:cs="Times New Roman"/>
        </w:rPr>
        <w:t xml:space="preserve"> short-term</w:t>
      </w:r>
      <w:r w:rsidR="00800BC7" w:rsidRPr="00800BC7">
        <w:rPr>
          <w:rFonts w:ascii="Times New Roman" w:eastAsia="Times New Roman" w:hAnsi="Times New Roman" w:cs="Times New Roman"/>
        </w:rPr>
        <w:t xml:space="preserve"> </w:t>
      </w:r>
      <w:r w:rsidR="0004078A">
        <w:rPr>
          <w:rFonts w:ascii="Times New Roman" w:eastAsia="Times New Roman" w:hAnsi="Times New Roman" w:cs="Times New Roman"/>
        </w:rPr>
        <w:t>impacts</w:t>
      </w:r>
      <w:r>
        <w:rPr>
          <w:rFonts w:ascii="Times New Roman" w:eastAsia="Times New Roman" w:hAnsi="Times New Roman" w:cs="Times New Roman"/>
        </w:rPr>
        <w:t xml:space="preserve"> of</w:t>
      </w:r>
      <w:r w:rsidR="004D0392">
        <w:rPr>
          <w:rFonts w:ascii="Times New Roman" w:eastAsia="Times New Roman" w:hAnsi="Times New Roman" w:cs="Times New Roman"/>
        </w:rPr>
        <w:t xml:space="preserve"> the OZ program</w:t>
      </w:r>
      <w:r w:rsidR="00800BC7" w:rsidRPr="00800BC7">
        <w:rPr>
          <w:rFonts w:ascii="Times New Roman" w:eastAsia="Times New Roman" w:hAnsi="Times New Roman" w:cs="Times New Roman"/>
        </w:rPr>
        <w:t xml:space="preserve">, </w:t>
      </w:r>
      <w:r w:rsidR="004D0392" w:rsidRPr="00800BC7">
        <w:rPr>
          <w:rFonts w:ascii="Times New Roman" w:eastAsia="Times New Roman" w:hAnsi="Times New Roman" w:cs="Times New Roman"/>
        </w:rPr>
        <w:t xml:space="preserve">yet </w:t>
      </w:r>
      <w:r w:rsidR="004D0392">
        <w:rPr>
          <w:rFonts w:ascii="Times New Roman" w:eastAsia="Times New Roman" w:hAnsi="Times New Roman" w:cs="Times New Roman"/>
        </w:rPr>
        <w:t xml:space="preserve">the studies </w:t>
      </w:r>
      <w:r w:rsidR="00800BC7" w:rsidRPr="00800BC7">
        <w:rPr>
          <w:rFonts w:ascii="Times New Roman" w:eastAsia="Times New Roman" w:hAnsi="Times New Roman" w:cs="Times New Roman"/>
        </w:rPr>
        <w:t>are limited by short post-treatment windows and, in Freedman’s case, restricted data access.</w:t>
      </w:r>
      <w:r w:rsidR="004D0392">
        <w:rPr>
          <w:rFonts w:ascii="Times New Roman" w:eastAsia="Times New Roman" w:hAnsi="Times New Roman" w:cs="Times New Roman"/>
        </w:rPr>
        <w:t xml:space="preserve"> They fail to capture the </w:t>
      </w:r>
      <w:r w:rsidR="005862D5">
        <w:rPr>
          <w:rFonts w:ascii="Times New Roman" w:eastAsia="Times New Roman" w:hAnsi="Times New Roman" w:cs="Times New Roman"/>
        </w:rPr>
        <w:t>longer-term</w:t>
      </w:r>
      <w:r w:rsidR="004D0392">
        <w:rPr>
          <w:rFonts w:ascii="Times New Roman" w:eastAsia="Times New Roman" w:hAnsi="Times New Roman" w:cs="Times New Roman"/>
        </w:rPr>
        <w:t xml:space="preserve"> effects</w:t>
      </w:r>
      <w:r w:rsidR="000E5833">
        <w:rPr>
          <w:rFonts w:ascii="Times New Roman" w:eastAsia="Times New Roman" w:hAnsi="Times New Roman" w:cs="Times New Roman"/>
        </w:rPr>
        <w:t xml:space="preserve"> of the OZ program.</w:t>
      </w:r>
    </w:p>
    <w:p w14:paraId="2FE881A2" w14:textId="22512674" w:rsidR="00E92188" w:rsidRPr="00E92188" w:rsidRDefault="00064A4E" w:rsidP="001604C9">
      <w:pPr>
        <w:pStyle w:val="Heading2"/>
      </w:pPr>
      <w:bookmarkStart w:id="5" w:name="_Toc197889218"/>
      <w:r w:rsidRPr="00900FAD">
        <w:rPr>
          <w:rFonts w:eastAsia="Times New Roman"/>
        </w:rPr>
        <w:t>3.2 Political Literature</w:t>
      </w:r>
      <w:bookmarkEnd w:id="5"/>
    </w:p>
    <w:p w14:paraId="3E7CDDE9" w14:textId="77777777" w:rsidR="00B0139F" w:rsidRDefault="00A06756" w:rsidP="00510C3E">
      <w:pPr>
        <w:spacing w:line="480" w:lineRule="auto"/>
        <w:rPr>
          <w:rFonts w:ascii="Times New Roman" w:eastAsia="Times New Roman" w:hAnsi="Times New Roman" w:cs="Times New Roman"/>
        </w:rPr>
      </w:pPr>
      <w:r>
        <w:rPr>
          <w:rFonts w:ascii="Times New Roman" w:eastAsia="Times New Roman" w:hAnsi="Times New Roman" w:cs="Times New Roman"/>
        </w:rPr>
        <w:t>The following studies show that OZ tracts are selected by both the level of economic distress and political affiliation, with shared party control increasing selection odds. OZ designation was found to mostly align with the goals of the OZ program according to Alm et al</w:t>
      </w:r>
      <w:r w:rsidR="00C311B5">
        <w:rPr>
          <w:rFonts w:ascii="Times New Roman" w:eastAsia="Times New Roman" w:hAnsi="Times New Roman" w:cs="Times New Roman"/>
        </w:rPr>
        <w:t xml:space="preserve">. </w:t>
      </w:r>
      <w:r w:rsidR="00C311B5">
        <w:rPr>
          <w:rFonts w:ascii="Times New Roman" w:eastAsia="Times New Roman" w:hAnsi="Times New Roman" w:cs="Times New Roman"/>
        </w:rPr>
        <w:lastRenderedPageBreak/>
        <w:t>(2021)</w:t>
      </w:r>
      <w:r w:rsidR="00227DB6">
        <w:rPr>
          <w:rFonts w:ascii="Times New Roman" w:eastAsia="Times New Roman" w:hAnsi="Times New Roman" w:cs="Times New Roman"/>
        </w:rPr>
        <w:t xml:space="preserve">. </w:t>
      </w:r>
      <w:r>
        <w:rPr>
          <w:rFonts w:ascii="Times New Roman" w:eastAsia="Times New Roman" w:hAnsi="Times New Roman" w:cs="Times New Roman"/>
        </w:rPr>
        <w:t xml:space="preserve">The strongest determinants of OZ </w:t>
      </w:r>
      <w:r w:rsidR="00EB348E">
        <w:rPr>
          <w:rFonts w:ascii="Times New Roman" w:eastAsia="Times New Roman" w:hAnsi="Times New Roman" w:cs="Times New Roman"/>
        </w:rPr>
        <w:t>selection</w:t>
      </w:r>
      <w:r>
        <w:rPr>
          <w:rFonts w:ascii="Times New Roman" w:eastAsia="Times New Roman" w:hAnsi="Times New Roman" w:cs="Times New Roman"/>
        </w:rPr>
        <w:t xml:space="preserve"> were signs of economic distress such as high rates of unemployment, welfare recipients, low median incomes, etc. </w:t>
      </w:r>
      <w:r w:rsidR="00CF69B2">
        <w:rPr>
          <w:rFonts w:ascii="Times New Roman" w:eastAsia="Times New Roman" w:hAnsi="Times New Roman" w:cs="Times New Roman"/>
        </w:rPr>
        <w:t xml:space="preserve">While economic-distress metrics </w:t>
      </w:r>
      <w:r w:rsidR="00EB348E">
        <w:rPr>
          <w:rFonts w:ascii="Times New Roman" w:eastAsia="Times New Roman" w:hAnsi="Times New Roman" w:cs="Times New Roman"/>
        </w:rPr>
        <w:t>were the strongest determinants</w:t>
      </w:r>
      <w:r w:rsidR="00CF69B2">
        <w:rPr>
          <w:rFonts w:ascii="Times New Roman" w:eastAsia="Times New Roman" w:hAnsi="Times New Roman" w:cs="Times New Roman"/>
        </w:rPr>
        <w:t xml:space="preserve"> </w:t>
      </w:r>
      <w:r w:rsidR="00EB348E">
        <w:rPr>
          <w:rFonts w:ascii="Times New Roman" w:eastAsia="Times New Roman" w:hAnsi="Times New Roman" w:cs="Times New Roman"/>
        </w:rPr>
        <w:t>for</w:t>
      </w:r>
      <w:r w:rsidR="00CF69B2">
        <w:rPr>
          <w:rFonts w:ascii="Times New Roman" w:eastAsia="Times New Roman" w:hAnsi="Times New Roman" w:cs="Times New Roman"/>
        </w:rPr>
        <w:t xml:space="preserve"> OZ selection, political alignment is significant</w:t>
      </w:r>
      <w:r>
        <w:rPr>
          <w:rFonts w:ascii="Times New Roman" w:eastAsia="Times New Roman" w:hAnsi="Times New Roman" w:cs="Times New Roman"/>
        </w:rPr>
        <w:t>. Their study found that tracts with the same political party affiliation in both the state’s lower legislative assembly and executive branch are 2.7 percentage points more likely to be associated with an OZ designation.</w:t>
      </w:r>
      <w:r w:rsidR="000922E9">
        <w:rPr>
          <w:rFonts w:ascii="Times New Roman" w:eastAsia="Times New Roman" w:hAnsi="Times New Roman" w:cs="Times New Roman"/>
        </w:rPr>
        <w:t xml:space="preserve"> </w:t>
      </w:r>
      <w:r>
        <w:rPr>
          <w:rFonts w:ascii="Times New Roman" w:eastAsia="Times New Roman" w:hAnsi="Times New Roman" w:cs="Times New Roman"/>
        </w:rPr>
        <w:t xml:space="preserve">Additionally, Republican governors were more likely to designate OZs that had higher ratios of non-high school graduates, whereas Democrat governors were more likely to designate OZs if the tract contained a higher ratio of bachelor’s degree holders. </w:t>
      </w:r>
    </w:p>
    <w:p w14:paraId="00000022" w14:textId="053C8090" w:rsidR="008F49C7" w:rsidRDefault="00000000" w:rsidP="00510C3E">
      <w:pPr>
        <w:spacing w:line="480" w:lineRule="auto"/>
        <w:rPr>
          <w:rFonts w:ascii="Times New Roman" w:eastAsia="Times New Roman" w:hAnsi="Times New Roman" w:cs="Times New Roman"/>
        </w:rPr>
      </w:pPr>
      <w:r>
        <w:rPr>
          <w:rFonts w:ascii="Times New Roman" w:eastAsia="Times New Roman" w:hAnsi="Times New Roman" w:cs="Times New Roman"/>
        </w:rPr>
        <w:t>A second article by Frank et al</w:t>
      </w:r>
      <w:r w:rsidR="006D3A5A">
        <w:rPr>
          <w:rFonts w:ascii="Times New Roman" w:eastAsia="Times New Roman" w:hAnsi="Times New Roman" w:cs="Times New Roman"/>
        </w:rPr>
        <w:t>.</w:t>
      </w:r>
      <w:r w:rsidR="00683F1A">
        <w:rPr>
          <w:rFonts w:ascii="Times New Roman" w:eastAsia="Times New Roman" w:hAnsi="Times New Roman" w:cs="Times New Roman"/>
        </w:rPr>
        <w:t xml:space="preserve"> (2021)</w:t>
      </w:r>
      <w:r>
        <w:rPr>
          <w:rFonts w:ascii="Times New Roman" w:eastAsia="Times New Roman" w:hAnsi="Times New Roman" w:cs="Times New Roman"/>
        </w:rPr>
        <w:t xml:space="preserve"> </w:t>
      </w:r>
      <w:r w:rsidR="0060673C">
        <w:rPr>
          <w:rFonts w:ascii="Times New Roman" w:eastAsia="Times New Roman" w:hAnsi="Times New Roman" w:cs="Times New Roman"/>
        </w:rPr>
        <w:t xml:space="preserve">shows a </w:t>
      </w:r>
      <w:r>
        <w:rPr>
          <w:rFonts w:ascii="Times New Roman" w:eastAsia="Times New Roman" w:hAnsi="Times New Roman" w:cs="Times New Roman"/>
        </w:rPr>
        <w:t>7.6%</w:t>
      </w:r>
      <w:r w:rsidR="0060673C">
        <w:rPr>
          <w:rFonts w:ascii="Times New Roman" w:eastAsia="Times New Roman" w:hAnsi="Times New Roman" w:cs="Times New Roman"/>
        </w:rPr>
        <w:t xml:space="preserve"> higher probability</w:t>
      </w:r>
      <w:r>
        <w:rPr>
          <w:rFonts w:ascii="Times New Roman" w:eastAsia="Times New Roman" w:hAnsi="Times New Roman" w:cs="Times New Roman"/>
        </w:rPr>
        <w:t xml:space="preserve"> </w:t>
      </w:r>
      <w:r w:rsidR="0060673C">
        <w:rPr>
          <w:rFonts w:ascii="Times New Roman" w:eastAsia="Times New Roman" w:hAnsi="Times New Roman" w:cs="Times New Roman"/>
        </w:rPr>
        <w:t>of</w:t>
      </w:r>
      <w:r>
        <w:rPr>
          <w:rFonts w:ascii="Times New Roman" w:eastAsia="Times New Roman" w:hAnsi="Times New Roman" w:cs="Times New Roman"/>
        </w:rPr>
        <w:t xml:space="preserve"> </w:t>
      </w:r>
      <w:r w:rsidR="0060673C">
        <w:rPr>
          <w:rFonts w:ascii="Times New Roman" w:eastAsia="Times New Roman" w:hAnsi="Times New Roman" w:cs="Times New Roman"/>
        </w:rPr>
        <w:t xml:space="preserve">selection when governors and state representatives share the same political party, with a 13.2% increased probability for Republican-run states. </w:t>
      </w:r>
      <w:r w:rsidR="00DB324E">
        <w:rPr>
          <w:rFonts w:ascii="Times New Roman" w:eastAsia="Times New Roman" w:hAnsi="Times New Roman" w:cs="Times New Roman"/>
        </w:rPr>
        <w:t>Although some governors</w:t>
      </w:r>
      <w:r>
        <w:rPr>
          <w:rFonts w:ascii="Times New Roman" w:eastAsia="Times New Roman" w:hAnsi="Times New Roman" w:cs="Times New Roman"/>
        </w:rPr>
        <w:t xml:space="preserve"> </w:t>
      </w:r>
      <w:r w:rsidR="00DB324E">
        <w:rPr>
          <w:rFonts w:ascii="Times New Roman" w:eastAsia="Times New Roman" w:hAnsi="Times New Roman" w:cs="Times New Roman"/>
        </w:rPr>
        <w:t>sought</w:t>
      </w:r>
      <w:r>
        <w:rPr>
          <w:rFonts w:ascii="Times New Roman" w:eastAsia="Times New Roman" w:hAnsi="Times New Roman" w:cs="Times New Roman"/>
        </w:rPr>
        <w:t xml:space="preserve"> to make the OZ selection process less biased by</w:t>
      </w:r>
      <w:r w:rsidR="00DB324E">
        <w:rPr>
          <w:rFonts w:ascii="Times New Roman" w:eastAsia="Times New Roman" w:hAnsi="Times New Roman" w:cs="Times New Roman"/>
        </w:rPr>
        <w:t xml:space="preserve"> spreading their</w:t>
      </w:r>
      <w:r>
        <w:rPr>
          <w:rFonts w:ascii="Times New Roman" w:eastAsia="Times New Roman" w:hAnsi="Times New Roman" w:cs="Times New Roman"/>
        </w:rPr>
        <w:t xml:space="preserve"> </w:t>
      </w:r>
      <w:r w:rsidR="00DB324E">
        <w:rPr>
          <w:rFonts w:ascii="Times New Roman" w:eastAsia="Times New Roman" w:hAnsi="Times New Roman" w:cs="Times New Roman"/>
        </w:rPr>
        <w:t>selection</w:t>
      </w:r>
      <w:r>
        <w:rPr>
          <w:rFonts w:ascii="Times New Roman" w:eastAsia="Times New Roman" w:hAnsi="Times New Roman" w:cs="Times New Roman"/>
        </w:rPr>
        <w:t xml:space="preserve"> </w:t>
      </w:r>
      <w:r w:rsidR="00DB324E">
        <w:rPr>
          <w:rFonts w:ascii="Times New Roman" w:eastAsia="Times New Roman" w:hAnsi="Times New Roman" w:cs="Times New Roman"/>
        </w:rPr>
        <w:t>geographically across their</w:t>
      </w:r>
      <w:r>
        <w:rPr>
          <w:rFonts w:ascii="Times New Roman" w:eastAsia="Times New Roman" w:hAnsi="Times New Roman" w:cs="Times New Roman"/>
        </w:rPr>
        <w:t xml:space="preserve"> states </w:t>
      </w:r>
      <w:r w:rsidR="00DB324E">
        <w:rPr>
          <w:rFonts w:ascii="Times New Roman" w:eastAsia="Times New Roman" w:hAnsi="Times New Roman" w:cs="Times New Roman"/>
        </w:rPr>
        <w:t>or</w:t>
      </w:r>
      <w:r>
        <w:rPr>
          <w:rFonts w:ascii="Times New Roman" w:eastAsia="Times New Roman" w:hAnsi="Times New Roman" w:cs="Times New Roman"/>
        </w:rPr>
        <w:t xml:space="preserve"> by delegating OZ selection to local </w:t>
      </w:r>
      <w:r w:rsidR="00DB324E">
        <w:rPr>
          <w:rFonts w:ascii="Times New Roman" w:eastAsia="Times New Roman" w:hAnsi="Times New Roman" w:cs="Times New Roman"/>
        </w:rPr>
        <w:t>jurisdictions</w:t>
      </w:r>
      <w:r>
        <w:rPr>
          <w:rFonts w:ascii="Times New Roman" w:eastAsia="Times New Roman" w:hAnsi="Times New Roman" w:cs="Times New Roman"/>
        </w:rPr>
        <w:t>.</w:t>
      </w:r>
      <w:r w:rsidR="007D770A">
        <w:rPr>
          <w:rFonts w:ascii="Times New Roman" w:eastAsia="Times New Roman" w:hAnsi="Times New Roman" w:cs="Times New Roman"/>
        </w:rPr>
        <w:t xml:space="preserve"> The political literature does not account for the economic effects of the OZ program, but rather the selection process, and the studies are limited in scope covering years before the OZ program was implemented. </w:t>
      </w:r>
    </w:p>
    <w:p w14:paraId="422C1BBD" w14:textId="70B67270" w:rsidR="00E92188" w:rsidRPr="00E92188" w:rsidRDefault="00AE66D7" w:rsidP="001604C9">
      <w:pPr>
        <w:pStyle w:val="Heading2"/>
      </w:pPr>
      <w:bookmarkStart w:id="6" w:name="_Toc197889219"/>
      <w:r w:rsidRPr="00900FAD">
        <w:rPr>
          <w:rFonts w:eastAsia="Times New Roman"/>
        </w:rPr>
        <w:t xml:space="preserve">3.3 </w:t>
      </w:r>
      <w:r w:rsidR="00C552D4" w:rsidRPr="00900FAD">
        <w:rPr>
          <w:rFonts w:eastAsia="Times New Roman"/>
        </w:rPr>
        <w:t>Investment Impacts</w:t>
      </w:r>
      <w:bookmarkEnd w:id="6"/>
    </w:p>
    <w:p w14:paraId="00000026" w14:textId="73DB9149" w:rsidR="008F49C7" w:rsidRDefault="00816E85" w:rsidP="0047172F">
      <w:pPr>
        <w:spacing w:line="480" w:lineRule="auto"/>
        <w:rPr>
          <w:rFonts w:ascii="Times New Roman" w:eastAsia="Times New Roman" w:hAnsi="Times New Roman" w:cs="Times New Roman"/>
        </w:rPr>
      </w:pPr>
      <w:r>
        <w:rPr>
          <w:rFonts w:ascii="Times New Roman" w:eastAsia="Times New Roman" w:hAnsi="Times New Roman" w:cs="Times New Roman"/>
        </w:rPr>
        <w:t>Analyses o</w:t>
      </w:r>
      <w:r w:rsidR="00C40DDF">
        <w:rPr>
          <w:rFonts w:ascii="Times New Roman" w:eastAsia="Times New Roman" w:hAnsi="Times New Roman" w:cs="Times New Roman"/>
        </w:rPr>
        <w:t>f</w:t>
      </w:r>
      <w:r>
        <w:rPr>
          <w:rFonts w:ascii="Times New Roman" w:eastAsia="Times New Roman" w:hAnsi="Times New Roman" w:cs="Times New Roman"/>
        </w:rPr>
        <w:t xml:space="preserve"> investment flows in OZs </w:t>
      </w:r>
      <w:r w:rsidR="00837656">
        <w:rPr>
          <w:rFonts w:ascii="Times New Roman" w:eastAsia="Times New Roman" w:hAnsi="Times New Roman" w:cs="Times New Roman"/>
        </w:rPr>
        <w:t>produced</w:t>
      </w:r>
      <w:r>
        <w:rPr>
          <w:rFonts w:ascii="Times New Roman" w:eastAsia="Times New Roman" w:hAnsi="Times New Roman" w:cs="Times New Roman"/>
        </w:rPr>
        <w:t xml:space="preserve"> mixed results on whether OZs create</w:t>
      </w:r>
      <w:r w:rsidR="00E820C9">
        <w:rPr>
          <w:rFonts w:ascii="Times New Roman" w:eastAsia="Times New Roman" w:hAnsi="Times New Roman" w:cs="Times New Roman"/>
        </w:rPr>
        <w:t>d</w:t>
      </w:r>
      <w:r>
        <w:rPr>
          <w:rFonts w:ascii="Times New Roman" w:eastAsia="Times New Roman" w:hAnsi="Times New Roman" w:cs="Times New Roman"/>
        </w:rPr>
        <w:t xml:space="preserve"> new capital. Sage et al.</w:t>
      </w:r>
      <w:r w:rsidR="004C2391">
        <w:rPr>
          <w:rFonts w:ascii="Times New Roman" w:eastAsia="Times New Roman" w:hAnsi="Times New Roman" w:cs="Times New Roman"/>
        </w:rPr>
        <w:t xml:space="preserve"> (2019)</w:t>
      </w:r>
      <w:r w:rsidR="00203D5E">
        <w:rPr>
          <w:rFonts w:ascii="Times New Roman" w:eastAsia="Times New Roman" w:hAnsi="Times New Roman" w:cs="Times New Roman"/>
        </w:rPr>
        <w:t xml:space="preserve"> </w:t>
      </w:r>
      <w:r>
        <w:rPr>
          <w:rFonts w:ascii="Times New Roman" w:eastAsia="Times New Roman" w:hAnsi="Times New Roman" w:cs="Times New Roman"/>
        </w:rPr>
        <w:t xml:space="preserve">conducted a </w:t>
      </w:r>
      <w:proofErr w:type="spellStart"/>
      <w:r>
        <w:rPr>
          <w:rFonts w:ascii="Times New Roman" w:eastAsia="Times New Roman" w:hAnsi="Times New Roman" w:cs="Times New Roman"/>
        </w:rPr>
        <w:t>DiD</w:t>
      </w:r>
      <w:proofErr w:type="spellEnd"/>
      <w:r>
        <w:rPr>
          <w:rFonts w:ascii="Times New Roman" w:eastAsia="Times New Roman" w:hAnsi="Times New Roman" w:cs="Times New Roman"/>
        </w:rPr>
        <w:t xml:space="preserve"> analysis on property investments in OZ eligible and designated tracts. They used propensity score matching (PSM) to create a synthetic control group similar to the treated tract group, since the parallel trends assumption likely does not hold. They found that properties in OZ tracts traded 6.3% less compared to properties in eligible but not designated OZ tracts. The Corinth and Feldman</w:t>
      </w:r>
      <w:r w:rsidR="00FE0528">
        <w:rPr>
          <w:rFonts w:ascii="Times New Roman" w:eastAsia="Times New Roman" w:hAnsi="Times New Roman" w:cs="Times New Roman"/>
        </w:rPr>
        <w:t xml:space="preserve"> (2024)</w:t>
      </w:r>
      <w:r w:rsidR="000A5EAD">
        <w:rPr>
          <w:rFonts w:ascii="Times New Roman" w:eastAsia="Times New Roman" w:hAnsi="Times New Roman" w:cs="Times New Roman"/>
        </w:rPr>
        <w:t xml:space="preserve"> </w:t>
      </w:r>
      <w:r>
        <w:rPr>
          <w:rFonts w:ascii="Times New Roman" w:eastAsia="Times New Roman" w:hAnsi="Times New Roman" w:cs="Times New Roman"/>
        </w:rPr>
        <w:t xml:space="preserve">article </w:t>
      </w:r>
      <w:r w:rsidR="004E2549">
        <w:rPr>
          <w:rFonts w:ascii="Times New Roman" w:eastAsia="Times New Roman" w:hAnsi="Times New Roman" w:cs="Times New Roman"/>
        </w:rPr>
        <w:t>found that</w:t>
      </w:r>
      <w:r>
        <w:rPr>
          <w:rFonts w:ascii="Times New Roman" w:eastAsia="Times New Roman" w:hAnsi="Times New Roman" w:cs="Times New Roman"/>
        </w:rPr>
        <w:t xml:space="preserve"> OZ designated tracts received substantial investment</w:t>
      </w:r>
      <w:r w:rsidR="004E2549">
        <w:rPr>
          <w:rFonts w:ascii="Times New Roman" w:eastAsia="Times New Roman" w:hAnsi="Times New Roman" w:cs="Times New Roman"/>
        </w:rPr>
        <w:t>. However,</w:t>
      </w:r>
      <w:r>
        <w:rPr>
          <w:rFonts w:ascii="Times New Roman" w:eastAsia="Times New Roman" w:hAnsi="Times New Roman" w:cs="Times New Roman"/>
        </w:rPr>
        <w:t xml:space="preserve"> the researchers are unsure if the additional </w:t>
      </w:r>
      <w:r>
        <w:rPr>
          <w:rFonts w:ascii="Times New Roman" w:eastAsia="Times New Roman" w:hAnsi="Times New Roman" w:cs="Times New Roman"/>
        </w:rPr>
        <w:lastRenderedPageBreak/>
        <w:t>investment would have occurred regardless. The</w:t>
      </w:r>
      <w:r w:rsidR="004E2549">
        <w:rPr>
          <w:rFonts w:ascii="Times New Roman" w:eastAsia="Times New Roman" w:hAnsi="Times New Roman" w:cs="Times New Roman"/>
        </w:rPr>
        <w:t>y</w:t>
      </w:r>
      <w:r>
        <w:rPr>
          <w:rFonts w:ascii="Times New Roman" w:eastAsia="Times New Roman" w:hAnsi="Times New Roman" w:cs="Times New Roman"/>
        </w:rPr>
        <w:t xml:space="preserve"> </w:t>
      </w:r>
      <w:r w:rsidR="004E2549">
        <w:rPr>
          <w:rFonts w:ascii="Times New Roman" w:eastAsia="Times New Roman" w:hAnsi="Times New Roman" w:cs="Times New Roman"/>
        </w:rPr>
        <w:t>claim</w:t>
      </w:r>
      <w:r>
        <w:rPr>
          <w:rFonts w:ascii="Times New Roman" w:eastAsia="Times New Roman" w:hAnsi="Times New Roman" w:cs="Times New Roman"/>
        </w:rPr>
        <w:t xml:space="preserve"> that OZs have no obligation to invest in economically distressed projects, nor do</w:t>
      </w:r>
      <w:r w:rsidR="004E2549">
        <w:rPr>
          <w:rFonts w:ascii="Times New Roman" w:eastAsia="Times New Roman" w:hAnsi="Times New Roman" w:cs="Times New Roman"/>
        </w:rPr>
        <w:t>es the</w:t>
      </w:r>
      <w:r>
        <w:rPr>
          <w:rFonts w:ascii="Times New Roman" w:eastAsia="Times New Roman" w:hAnsi="Times New Roman" w:cs="Times New Roman"/>
        </w:rPr>
        <w:t xml:space="preserve"> OZ</w:t>
      </w:r>
      <w:r w:rsidR="004E2549">
        <w:rPr>
          <w:rFonts w:ascii="Times New Roman" w:eastAsia="Times New Roman" w:hAnsi="Times New Roman" w:cs="Times New Roman"/>
        </w:rPr>
        <w:t xml:space="preserve"> program</w:t>
      </w:r>
      <w:r>
        <w:rPr>
          <w:rFonts w:ascii="Times New Roman" w:eastAsia="Times New Roman" w:hAnsi="Times New Roman" w:cs="Times New Roman"/>
        </w:rPr>
        <w:t xml:space="preserve"> incentivize investment. The Tax Foundation journal from Eastman and Kaeding</w:t>
      </w:r>
      <w:r w:rsidR="00A57374">
        <w:rPr>
          <w:rFonts w:ascii="Times New Roman" w:eastAsia="Times New Roman" w:hAnsi="Times New Roman" w:cs="Times New Roman"/>
        </w:rPr>
        <w:t xml:space="preserve"> (2019)</w:t>
      </w:r>
      <w:r w:rsidR="000A5EAD">
        <w:rPr>
          <w:rFonts w:ascii="Times New Roman" w:eastAsia="Times New Roman" w:hAnsi="Times New Roman" w:cs="Times New Roman"/>
        </w:rPr>
        <w:t xml:space="preserve"> </w:t>
      </w:r>
      <w:r>
        <w:rPr>
          <w:rFonts w:ascii="Times New Roman" w:eastAsia="Times New Roman" w:hAnsi="Times New Roman" w:cs="Times New Roman"/>
        </w:rPr>
        <w:t>supports Corinth and Feldman’s claim that the investments put into OZ tracts would have occurred regardless. The journal estimates that Opportunity Zones will cost the federal government $1.6 billion in foregone revenue between 2018 and 2027, yet offer limited evidence of benefit to the low-income communities the program was intended to support. Their research suggests that the OZ program redistributes wealth rather than creating new economic opportunity, resulting in the displacement of low-income earners</w:t>
      </w:r>
      <w:r w:rsidR="00A57374">
        <w:rPr>
          <w:rFonts w:ascii="Times New Roman" w:eastAsia="Times New Roman" w:hAnsi="Times New Roman" w:cs="Times New Roman"/>
        </w:rPr>
        <w:t>.</w:t>
      </w:r>
      <w:r>
        <w:rPr>
          <w:rFonts w:ascii="Times New Roman" w:eastAsia="Times New Roman" w:hAnsi="Times New Roman" w:cs="Times New Roman"/>
        </w:rPr>
        <w:t xml:space="preserve"> Despite these claims, </w:t>
      </w:r>
      <w:r w:rsidR="0047172F">
        <w:rPr>
          <w:rFonts w:ascii="Times New Roman" w:eastAsia="Times New Roman" w:hAnsi="Times New Roman" w:cs="Times New Roman"/>
        </w:rPr>
        <w:t>most of the studies used data from</w:t>
      </w:r>
      <w:r>
        <w:rPr>
          <w:rFonts w:ascii="Times New Roman" w:eastAsia="Times New Roman" w:hAnsi="Times New Roman" w:cs="Times New Roman"/>
        </w:rPr>
        <w:t xml:space="preserve"> 2019, only one year after the OZ program was officially implemented.</w:t>
      </w:r>
      <w:r w:rsidR="002F06C4">
        <w:rPr>
          <w:rFonts w:ascii="Times New Roman" w:eastAsia="Times New Roman" w:hAnsi="Times New Roman" w:cs="Times New Roman"/>
        </w:rPr>
        <w:t xml:space="preserve"> </w:t>
      </w:r>
      <w:r w:rsidR="00CD0CA0">
        <w:rPr>
          <w:rFonts w:ascii="Times New Roman" w:eastAsia="Times New Roman" w:hAnsi="Times New Roman" w:cs="Times New Roman"/>
        </w:rPr>
        <w:t>Additionally, the studies</w:t>
      </w:r>
      <w:r w:rsidR="00F86984">
        <w:rPr>
          <w:rFonts w:ascii="Times New Roman" w:eastAsia="Times New Roman" w:hAnsi="Times New Roman" w:cs="Times New Roman"/>
        </w:rPr>
        <w:t xml:space="preserve"> do not measure</w:t>
      </w:r>
      <w:r w:rsidR="00CD0CA0">
        <w:rPr>
          <w:rFonts w:ascii="Times New Roman" w:eastAsia="Times New Roman" w:hAnsi="Times New Roman" w:cs="Times New Roman"/>
        </w:rPr>
        <w:t xml:space="preserve"> the intended effect of the OZ program (</w:t>
      </w:r>
      <w:r w:rsidR="00F86984">
        <w:rPr>
          <w:rFonts w:ascii="Times New Roman" w:eastAsia="Times New Roman" w:hAnsi="Times New Roman" w:cs="Times New Roman"/>
        </w:rPr>
        <w:t>job creation and direct economic growth</w:t>
      </w:r>
      <w:r w:rsidR="00CD0CA0">
        <w:rPr>
          <w:rFonts w:ascii="Times New Roman" w:eastAsia="Times New Roman" w:hAnsi="Times New Roman" w:cs="Times New Roman"/>
        </w:rPr>
        <w:t>)</w:t>
      </w:r>
      <w:r w:rsidR="00F86984">
        <w:rPr>
          <w:rFonts w:ascii="Times New Roman" w:eastAsia="Times New Roman" w:hAnsi="Times New Roman" w:cs="Times New Roman"/>
        </w:rPr>
        <w:t xml:space="preserve">. </w:t>
      </w:r>
      <w:r w:rsidR="00C12AAC">
        <w:rPr>
          <w:rFonts w:ascii="Times New Roman" w:eastAsia="Times New Roman" w:hAnsi="Times New Roman" w:cs="Times New Roman"/>
        </w:rPr>
        <w:t xml:space="preserve"> </w:t>
      </w:r>
      <w:r w:rsidR="0017153F">
        <w:rPr>
          <w:rFonts w:ascii="Times New Roman" w:eastAsia="Times New Roman" w:hAnsi="Times New Roman" w:cs="Times New Roman"/>
        </w:rPr>
        <w:t xml:space="preserve"> </w:t>
      </w:r>
    </w:p>
    <w:p w14:paraId="1581C0DC" w14:textId="139B78FD" w:rsidR="0041479B" w:rsidRDefault="0041479B" w:rsidP="0047172F">
      <w:pPr>
        <w:spacing w:line="480" w:lineRule="auto"/>
        <w:rPr>
          <w:rFonts w:ascii="Times New Roman" w:eastAsia="Times New Roman" w:hAnsi="Times New Roman" w:cs="Times New Roman"/>
        </w:rPr>
      </w:pPr>
      <w:r w:rsidRPr="0041479B">
        <w:rPr>
          <w:rFonts w:ascii="Times New Roman" w:eastAsia="Times New Roman" w:hAnsi="Times New Roman" w:cs="Times New Roman"/>
        </w:rPr>
        <w:t>The housing market is an additional aspect of OZ implementation researched by Chen et al</w:t>
      </w:r>
      <w:r w:rsidR="001712DF">
        <w:rPr>
          <w:rFonts w:ascii="Times New Roman" w:eastAsia="Times New Roman" w:hAnsi="Times New Roman" w:cs="Times New Roman"/>
        </w:rPr>
        <w:t>.</w:t>
      </w:r>
      <w:r w:rsidR="000371E8">
        <w:rPr>
          <w:rFonts w:ascii="Times New Roman" w:eastAsia="Times New Roman" w:hAnsi="Times New Roman" w:cs="Times New Roman"/>
        </w:rPr>
        <w:t xml:space="preserve"> (2019)</w:t>
      </w:r>
      <w:r w:rsidRPr="0041479B">
        <w:rPr>
          <w:rFonts w:ascii="Times New Roman" w:eastAsia="Times New Roman" w:hAnsi="Times New Roman" w:cs="Times New Roman"/>
        </w:rPr>
        <w:t>. The researchers found that a tract’s OZ status increased housing prices by less than 1% in 2018 compared to previous years before OZ implementation. Of note, is the researchers use of propensity-score weighting and inverse probability weighting (IPW) to reweight the control tracts due to the parallel trends assumption likely not holding. The researchers assert that the parallel trend does not hold due to selected OZ tracts and eligible tracts having different observable characteristics. Overall, the researchers determined that the housing market would remain stable in OZ tracts.</w:t>
      </w:r>
      <w:r w:rsidR="001712DF">
        <w:rPr>
          <w:rFonts w:ascii="Times New Roman" w:eastAsia="Times New Roman" w:hAnsi="Times New Roman" w:cs="Times New Roman"/>
        </w:rPr>
        <w:t xml:space="preserve"> Notable gaps in Chen et al.’s study is the lack of mature data, and OZ’s effect between home-owners and renters. Much like other OZ literature, this study does not analyze the intended effects of the OZ program, choosing to focus on an indirect effect through the housing market.  </w:t>
      </w:r>
    </w:p>
    <w:p w14:paraId="2E402D8F" w14:textId="79E5673C" w:rsidR="00E92188" w:rsidRPr="00E92188" w:rsidRDefault="00C041C7" w:rsidP="001604C9">
      <w:pPr>
        <w:pStyle w:val="Heading2"/>
      </w:pPr>
      <w:bookmarkStart w:id="7" w:name="_Toc197889220"/>
      <w:r>
        <w:rPr>
          <w:rFonts w:eastAsia="Times New Roman"/>
        </w:rPr>
        <w:lastRenderedPageBreak/>
        <w:t xml:space="preserve">3.4 </w:t>
      </w:r>
      <w:r w:rsidR="002665F6" w:rsidRPr="00900FAD">
        <w:rPr>
          <w:rFonts w:eastAsia="Times New Roman"/>
        </w:rPr>
        <w:t>Economic</w:t>
      </w:r>
      <w:r w:rsidR="000454D2" w:rsidRPr="00900FAD">
        <w:rPr>
          <w:rFonts w:eastAsia="Times New Roman"/>
        </w:rPr>
        <w:t xml:space="preserve"> Distress</w:t>
      </w:r>
      <w:r w:rsidR="002665F6" w:rsidRPr="00900FAD">
        <w:rPr>
          <w:rFonts w:eastAsia="Times New Roman"/>
        </w:rPr>
        <w:t xml:space="preserve"> Index</w:t>
      </w:r>
      <w:bookmarkEnd w:id="7"/>
    </w:p>
    <w:p w14:paraId="09E92975" w14:textId="0289B13F" w:rsidR="00026874" w:rsidRDefault="00026874" w:rsidP="00D2100E">
      <w:pPr>
        <w:spacing w:line="480" w:lineRule="auto"/>
        <w:rPr>
          <w:rFonts w:ascii="Times New Roman" w:eastAsia="Times New Roman" w:hAnsi="Times New Roman" w:cs="Times New Roman"/>
        </w:rPr>
      </w:pPr>
      <w:r w:rsidRPr="00026874">
        <w:rPr>
          <w:rFonts w:ascii="Times New Roman" w:eastAsia="Times New Roman" w:hAnsi="Times New Roman" w:cs="Times New Roman"/>
        </w:rPr>
        <w:t>Another contribution to the OZ literature is the economic distress index developed by Looney and Gelfond (2018), which evaluates whether OZ designations were targeted toward the most distressed communities</w:t>
      </w:r>
      <w:r>
        <w:rPr>
          <w:rFonts w:ascii="Times New Roman" w:eastAsia="Times New Roman" w:hAnsi="Times New Roman" w:cs="Times New Roman"/>
        </w:rPr>
        <w:t xml:space="preserve">. In their </w:t>
      </w:r>
      <w:r w:rsidR="007F6ED2">
        <w:rPr>
          <w:rFonts w:ascii="Times New Roman" w:eastAsia="Times New Roman" w:hAnsi="Times New Roman" w:cs="Times New Roman"/>
        </w:rPr>
        <w:t>study on</w:t>
      </w:r>
      <w:r>
        <w:rPr>
          <w:rFonts w:ascii="Times New Roman" w:eastAsia="Times New Roman" w:hAnsi="Times New Roman" w:cs="Times New Roman"/>
        </w:rPr>
        <w:t xml:space="preserve"> how to improve the targeting of OZs on economically distressed communities, the researchers created an economic distress index variable. The index variable is on a scale of 0 to 100, with 0 being the least distressed and 100 being the most distressed.  The index comprises poverty rates, child poverty rates, educational attainment, home prices, and family income for each tract across all 50 states. The researchers used the economic distress index to measure if states targeted their OZ designation to the most economically distressed communities. They found, on average, that states nominated the most economically distressed tracts for OZ designation</w:t>
      </w:r>
      <w:r w:rsidR="007F6ED2">
        <w:rPr>
          <w:rFonts w:ascii="Times New Roman" w:eastAsia="Times New Roman" w:hAnsi="Times New Roman" w:cs="Times New Roman"/>
        </w:rPr>
        <w:t>.</w:t>
      </w:r>
      <w:r>
        <w:rPr>
          <w:rFonts w:ascii="Times New Roman" w:eastAsia="Times New Roman" w:hAnsi="Times New Roman" w:cs="Times New Roman"/>
        </w:rPr>
        <w:t xml:space="preserve"> The article argues that many states prioritize gentrification efforts over economically distressed communities, and that better OZ targeting is needed. </w:t>
      </w:r>
      <w:r w:rsidR="00D50BFB" w:rsidRPr="00D50BFB">
        <w:rPr>
          <w:rFonts w:ascii="Times New Roman" w:eastAsia="Times New Roman" w:hAnsi="Times New Roman" w:cs="Times New Roman"/>
        </w:rPr>
        <w:t>Given the article was published in 2018, Looney and Gelfond focused on evaluating how well states targeted economically distressed communities for OZ designation. They noted that it was too early to assess the program’s actual outcomes, so their conclusions were based on historical</w:t>
      </w:r>
      <w:r w:rsidR="005F0621">
        <w:rPr>
          <w:rFonts w:ascii="Times New Roman" w:eastAsia="Times New Roman" w:hAnsi="Times New Roman" w:cs="Times New Roman"/>
        </w:rPr>
        <w:t xml:space="preserve"> and </w:t>
      </w:r>
      <w:r w:rsidR="00D50BFB" w:rsidRPr="00D50BFB">
        <w:rPr>
          <w:rFonts w:ascii="Times New Roman" w:eastAsia="Times New Roman" w:hAnsi="Times New Roman" w:cs="Times New Roman"/>
        </w:rPr>
        <w:t>similar tax incentive programs.</w:t>
      </w:r>
    </w:p>
    <w:p w14:paraId="6040180F" w14:textId="79EA962E" w:rsidR="00E92188" w:rsidRPr="00E92188" w:rsidRDefault="004B4916" w:rsidP="001604C9">
      <w:pPr>
        <w:pStyle w:val="Heading2"/>
      </w:pPr>
      <w:bookmarkStart w:id="8" w:name="_Toc197889221"/>
      <w:r w:rsidRPr="00900FAD">
        <w:rPr>
          <w:rFonts w:eastAsia="Times New Roman"/>
        </w:rPr>
        <w:t>3.5 Literature Critiques</w:t>
      </w:r>
      <w:bookmarkEnd w:id="8"/>
    </w:p>
    <w:p w14:paraId="12535198" w14:textId="5904689F" w:rsidR="0017718D" w:rsidRDefault="0017718D" w:rsidP="008370A4">
      <w:pPr>
        <w:spacing w:line="480" w:lineRule="auto"/>
        <w:rPr>
          <w:rFonts w:ascii="Times New Roman" w:eastAsia="Times New Roman" w:hAnsi="Times New Roman" w:cs="Times New Roman"/>
        </w:rPr>
      </w:pPr>
      <w:r w:rsidRPr="0017718D">
        <w:rPr>
          <w:rFonts w:ascii="Times New Roman" w:eastAsia="Times New Roman" w:hAnsi="Times New Roman" w:cs="Times New Roman"/>
        </w:rPr>
        <w:t>Fikri and Glasner (2023)</w:t>
      </w:r>
      <w:r w:rsidR="000A5EAD">
        <w:rPr>
          <w:rFonts w:ascii="Times New Roman" w:eastAsia="Times New Roman" w:hAnsi="Times New Roman" w:cs="Times New Roman"/>
        </w:rPr>
        <w:t xml:space="preserve"> </w:t>
      </w:r>
      <w:r w:rsidRPr="0017718D">
        <w:rPr>
          <w:rFonts w:ascii="Times New Roman" w:eastAsia="Times New Roman" w:hAnsi="Times New Roman" w:cs="Times New Roman"/>
        </w:rPr>
        <w:t xml:space="preserve">provide a broader synthesis of OZ literature, highlighting several methodological limitations that inform this study’s design. Their article evaluates the existing literature on OZs with the goal of guiding future researchers. They note that most OZ studies examine a short time window and often fail to assess long-term impacts, as many papers do not extend beyond 2019. According to their analysis, 2020 marked the first full year of OZ implementation, since the designation process was not completed until mid-2018 and unfolded in three waves through late 2019. While this study includes over three years of post-implementation </w:t>
      </w:r>
      <w:r w:rsidRPr="0017718D">
        <w:rPr>
          <w:rFonts w:ascii="Times New Roman" w:eastAsia="Times New Roman" w:hAnsi="Times New Roman" w:cs="Times New Roman"/>
        </w:rPr>
        <w:lastRenderedPageBreak/>
        <w:t>data, Fikri and Glasner argue that revitalization efforts often take four to ten years or more to manifest. Their work also critiques the widespread use of difference-in-differences (</w:t>
      </w:r>
      <w:proofErr w:type="spellStart"/>
      <w:r w:rsidRPr="0017718D">
        <w:rPr>
          <w:rFonts w:ascii="Times New Roman" w:eastAsia="Times New Roman" w:hAnsi="Times New Roman" w:cs="Times New Roman"/>
        </w:rPr>
        <w:t>DiD</w:t>
      </w:r>
      <w:proofErr w:type="spellEnd"/>
      <w:r w:rsidRPr="0017718D">
        <w:rPr>
          <w:rFonts w:ascii="Times New Roman" w:eastAsia="Times New Roman" w:hAnsi="Times New Roman" w:cs="Times New Roman"/>
        </w:rPr>
        <w:t>) models, noting that the non-random assignment of OZ tracts violates the parallel trends assumption. As a result, they recommend the use of synthetic control methods, such as propensity score matching or inverse probability weighting (IPW), to better approximate causal inference. These insights directly inform the methodology and scope of the present analysis.</w:t>
      </w:r>
    </w:p>
    <w:p w14:paraId="759BDF21" w14:textId="0B2328A0" w:rsidR="008370A4" w:rsidRDefault="008370A4" w:rsidP="008370A4">
      <w:pPr>
        <w:spacing w:line="480" w:lineRule="auto"/>
        <w:rPr>
          <w:rFonts w:ascii="Times New Roman" w:eastAsia="Times New Roman" w:hAnsi="Times New Roman" w:cs="Times New Roman"/>
        </w:rPr>
      </w:pPr>
      <w:r w:rsidRPr="008370A4">
        <w:rPr>
          <w:rFonts w:ascii="Times New Roman" w:eastAsia="Times New Roman" w:hAnsi="Times New Roman" w:cs="Times New Roman"/>
        </w:rPr>
        <w:t>While existing literature provides insight into OZ tract selection criteria, real estate trends, political influences, and short-term economic impacts, most analyses rely on data that predate 202</w:t>
      </w:r>
      <w:r w:rsidR="007828C8">
        <w:rPr>
          <w:rFonts w:ascii="Times New Roman" w:eastAsia="Times New Roman" w:hAnsi="Times New Roman" w:cs="Times New Roman"/>
        </w:rPr>
        <w:t>1</w:t>
      </w:r>
      <w:r w:rsidRPr="008370A4">
        <w:rPr>
          <w:rFonts w:ascii="Times New Roman" w:eastAsia="Times New Roman" w:hAnsi="Times New Roman" w:cs="Times New Roman"/>
        </w:rPr>
        <w:t>. As a result, they fail to capture the long-term effects of OZ designation on</w:t>
      </w:r>
      <w:r w:rsidR="002E078C">
        <w:rPr>
          <w:rFonts w:ascii="Times New Roman" w:eastAsia="Times New Roman" w:hAnsi="Times New Roman" w:cs="Times New Roman"/>
        </w:rPr>
        <w:t xml:space="preserve"> a tract’s</w:t>
      </w:r>
      <w:r w:rsidRPr="008370A4">
        <w:rPr>
          <w:rFonts w:ascii="Times New Roman" w:eastAsia="Times New Roman" w:hAnsi="Times New Roman" w:cs="Times New Roman"/>
        </w:rPr>
        <w:t xml:space="preserve"> </w:t>
      </w:r>
      <w:r w:rsidR="002E078C">
        <w:rPr>
          <w:rFonts w:ascii="Times New Roman" w:eastAsia="Times New Roman" w:hAnsi="Times New Roman" w:cs="Times New Roman"/>
        </w:rPr>
        <w:t>economic</w:t>
      </w:r>
      <w:r w:rsidRPr="008370A4">
        <w:rPr>
          <w:rFonts w:ascii="Times New Roman" w:eastAsia="Times New Roman" w:hAnsi="Times New Roman" w:cs="Times New Roman"/>
        </w:rPr>
        <w:t xml:space="preserve"> well-being. This study addresses that gap by analyzing post-implementation trends through both a national and localized lens, using updated socio-economic data</w:t>
      </w:r>
      <w:r w:rsidR="002C05D7">
        <w:rPr>
          <w:rFonts w:ascii="Times New Roman" w:eastAsia="Times New Roman" w:hAnsi="Times New Roman" w:cs="Times New Roman"/>
        </w:rPr>
        <w:t>, constructing</w:t>
      </w:r>
      <w:r w:rsidRPr="008370A4">
        <w:rPr>
          <w:rFonts w:ascii="Times New Roman" w:eastAsia="Times New Roman" w:hAnsi="Times New Roman" w:cs="Times New Roman"/>
        </w:rPr>
        <w:t xml:space="preserve"> a</w:t>
      </w:r>
      <w:r w:rsidR="00C152AE">
        <w:rPr>
          <w:rFonts w:ascii="Times New Roman" w:eastAsia="Times New Roman" w:hAnsi="Times New Roman" w:cs="Times New Roman"/>
        </w:rPr>
        <w:t>n</w:t>
      </w:r>
      <w:r w:rsidRPr="008370A4">
        <w:rPr>
          <w:rFonts w:ascii="Times New Roman" w:eastAsia="Times New Roman" w:hAnsi="Times New Roman" w:cs="Times New Roman"/>
        </w:rPr>
        <w:t xml:space="preserve"> index </w:t>
      </w:r>
      <w:r w:rsidR="002C05D7">
        <w:rPr>
          <w:rFonts w:ascii="Times New Roman" w:eastAsia="Times New Roman" w:hAnsi="Times New Roman" w:cs="Times New Roman"/>
        </w:rPr>
        <w:t>measuring</w:t>
      </w:r>
      <w:r w:rsidRPr="008370A4">
        <w:rPr>
          <w:rFonts w:ascii="Times New Roman" w:eastAsia="Times New Roman" w:hAnsi="Times New Roman" w:cs="Times New Roman"/>
        </w:rPr>
        <w:t xml:space="preserve"> economic well-being</w:t>
      </w:r>
      <w:r w:rsidR="002C05D7">
        <w:rPr>
          <w:rFonts w:ascii="Times New Roman" w:eastAsia="Times New Roman" w:hAnsi="Times New Roman" w:cs="Times New Roman"/>
        </w:rPr>
        <w:t xml:space="preserve"> at the tract level, and incorporating recommendations from Fikri and Glasner.</w:t>
      </w:r>
    </w:p>
    <w:p w14:paraId="49ABE854" w14:textId="069AC0FE" w:rsidR="00E92188" w:rsidRPr="001604C9" w:rsidRDefault="00000000" w:rsidP="001604C9">
      <w:pPr>
        <w:pStyle w:val="Heading1"/>
        <w:rPr>
          <w:rFonts w:eastAsia="Times New Roman"/>
        </w:rPr>
      </w:pPr>
      <w:bookmarkStart w:id="9" w:name="_Toc197889222"/>
      <w:r w:rsidRPr="00900FAD">
        <w:rPr>
          <w:rFonts w:eastAsia="Times New Roman"/>
        </w:rPr>
        <w:t>Theoretical Development and Hypotheses</w:t>
      </w:r>
      <w:bookmarkEnd w:id="9"/>
    </w:p>
    <w:p w14:paraId="3F90046A" w14:textId="5AD6B2D9" w:rsidR="006E6BFB" w:rsidRDefault="006E6BFB" w:rsidP="006E6BFB">
      <w:pPr>
        <w:spacing w:line="480" w:lineRule="auto"/>
        <w:rPr>
          <w:rFonts w:ascii="Times New Roman" w:eastAsia="Times New Roman" w:hAnsi="Times New Roman" w:cs="Times New Roman"/>
        </w:rPr>
      </w:pPr>
      <w:r w:rsidRPr="006E6BFB">
        <w:rPr>
          <w:rFonts w:ascii="Times New Roman" w:eastAsia="Times New Roman" w:hAnsi="Times New Roman" w:cs="Times New Roman"/>
        </w:rPr>
        <w:t>To examine how Opportunity Zones (OZs) affect a tract’s economic well-being, this study introduces two testable hypotheses. The primary hypothesis p</w:t>
      </w:r>
      <w:r w:rsidR="00792C05">
        <w:rPr>
          <w:rFonts w:ascii="Times New Roman" w:eastAsia="Times New Roman" w:hAnsi="Times New Roman" w:cs="Times New Roman"/>
        </w:rPr>
        <w:t>roposes</w:t>
      </w:r>
      <w:r w:rsidRPr="006E6BFB">
        <w:rPr>
          <w:rFonts w:ascii="Times New Roman" w:eastAsia="Times New Roman" w:hAnsi="Times New Roman" w:cs="Times New Roman"/>
        </w:rPr>
        <w:t xml:space="preserve"> that OZ designation leads to increased economic growth and job creation in census tracts between 2018 and 2023, relative to their own pre-OZ trends from 2013 to 2017, while controlling for changes in non-OZ tracts during the same period. This hypothesis captures broader national trends and evaluates the overall impact of the OZ program across the United States.</w:t>
      </w:r>
      <w:r w:rsidR="00CD4FC9">
        <w:rPr>
          <w:rFonts w:ascii="Times New Roman" w:eastAsia="Times New Roman" w:hAnsi="Times New Roman" w:cs="Times New Roman"/>
        </w:rPr>
        <w:t xml:space="preserve"> </w:t>
      </w:r>
      <w:r w:rsidRPr="006E6BFB">
        <w:rPr>
          <w:rFonts w:ascii="Times New Roman" w:eastAsia="Times New Roman" w:hAnsi="Times New Roman" w:cs="Times New Roman"/>
        </w:rPr>
        <w:t xml:space="preserve">The secondary hypothesis takes a more localized approach, focusing on the Akron, OH metropolitan area. It similarly proposes that OZ designation in Akron leads to increased economic growth and job creation in affected tracts between 2018 and 2023, compared to their own trends from 2013 to 2017, again controlling for </w:t>
      </w:r>
      <w:r w:rsidRPr="006E6BFB">
        <w:rPr>
          <w:rFonts w:ascii="Times New Roman" w:eastAsia="Times New Roman" w:hAnsi="Times New Roman" w:cs="Times New Roman"/>
        </w:rPr>
        <w:lastRenderedPageBreak/>
        <w:t>changes in non-OZ tracts.</w:t>
      </w:r>
      <w:r w:rsidR="00CD4FC9">
        <w:rPr>
          <w:rFonts w:ascii="Times New Roman" w:eastAsia="Times New Roman" w:hAnsi="Times New Roman" w:cs="Times New Roman"/>
        </w:rPr>
        <w:t xml:space="preserve"> </w:t>
      </w:r>
      <w:r w:rsidRPr="006E6BFB">
        <w:rPr>
          <w:rFonts w:ascii="Times New Roman" w:eastAsia="Times New Roman" w:hAnsi="Times New Roman" w:cs="Times New Roman"/>
        </w:rPr>
        <w:t>By combining both macro-level and localized analyses, this study provides a more comprehensive assessment of whether the OZ program fulfills its intended goal of stimulating economic development in economically distressed communities.</w:t>
      </w:r>
    </w:p>
    <w:p w14:paraId="2AF75EA2" w14:textId="2CD290DD" w:rsidR="00E92188" w:rsidRPr="00E92188" w:rsidRDefault="00EE7C81" w:rsidP="001604C9">
      <w:pPr>
        <w:pStyle w:val="Heading2"/>
      </w:pPr>
      <w:bookmarkStart w:id="10" w:name="_Toc197889223"/>
      <w:r w:rsidRPr="00900FAD">
        <w:rPr>
          <w:rFonts w:eastAsia="Times New Roman"/>
        </w:rPr>
        <w:t>4.1 Economic Index Concept</w:t>
      </w:r>
      <w:bookmarkEnd w:id="10"/>
    </w:p>
    <w:p w14:paraId="27254E64" w14:textId="3E3F768F" w:rsidR="003C020A" w:rsidRDefault="006976BF" w:rsidP="002C5A2A">
      <w:pPr>
        <w:spacing w:line="480" w:lineRule="auto"/>
        <w:rPr>
          <w:rFonts w:ascii="Times New Roman" w:eastAsia="Times New Roman" w:hAnsi="Times New Roman" w:cs="Times New Roman"/>
        </w:rPr>
      </w:pPr>
      <w:r>
        <w:rPr>
          <w:rFonts w:ascii="Times New Roman" w:eastAsia="Times New Roman" w:hAnsi="Times New Roman" w:cs="Times New Roman"/>
        </w:rPr>
        <w:t xml:space="preserve">Building on </w:t>
      </w:r>
      <w:r w:rsidR="003764EF">
        <w:rPr>
          <w:rFonts w:ascii="Times New Roman" w:eastAsia="Times New Roman" w:hAnsi="Times New Roman" w:cs="Times New Roman"/>
        </w:rPr>
        <w:t>Looney and Gelfond’s (2018)</w:t>
      </w:r>
      <w:r>
        <w:rPr>
          <w:rFonts w:ascii="Times New Roman" w:eastAsia="Times New Roman" w:hAnsi="Times New Roman" w:cs="Times New Roman"/>
        </w:rPr>
        <w:t xml:space="preserve"> composite economic distress index</w:t>
      </w:r>
      <w:r w:rsidR="00383BED">
        <w:rPr>
          <w:rFonts w:ascii="Times New Roman" w:eastAsia="Times New Roman" w:hAnsi="Times New Roman" w:cs="Times New Roman"/>
        </w:rPr>
        <w:t xml:space="preserve"> variable</w:t>
      </w:r>
      <w:r w:rsidR="003764EF">
        <w:rPr>
          <w:rFonts w:ascii="Times New Roman" w:eastAsia="Times New Roman" w:hAnsi="Times New Roman" w:cs="Times New Roman"/>
        </w:rPr>
        <w:t>,</w:t>
      </w:r>
      <w:r w:rsidR="003C020A" w:rsidRPr="008D3CCB">
        <w:rPr>
          <w:rFonts w:ascii="Times New Roman" w:eastAsia="Times New Roman" w:hAnsi="Times New Roman" w:cs="Times New Roman"/>
        </w:rPr>
        <w:t xml:space="preserve"> this study</w:t>
      </w:r>
      <w:r>
        <w:rPr>
          <w:rFonts w:ascii="Times New Roman" w:eastAsia="Times New Roman" w:hAnsi="Times New Roman" w:cs="Times New Roman"/>
        </w:rPr>
        <w:t xml:space="preserve"> adapts th</w:t>
      </w:r>
      <w:r w:rsidR="003764EF">
        <w:rPr>
          <w:rFonts w:ascii="Times New Roman" w:eastAsia="Times New Roman" w:hAnsi="Times New Roman" w:cs="Times New Roman"/>
        </w:rPr>
        <w:t>eir concept</w:t>
      </w:r>
      <w:r w:rsidR="003C020A" w:rsidRPr="008D3CCB">
        <w:rPr>
          <w:rFonts w:ascii="Times New Roman" w:eastAsia="Times New Roman" w:hAnsi="Times New Roman" w:cs="Times New Roman"/>
        </w:rPr>
        <w:t xml:space="preserve"> </w:t>
      </w:r>
      <w:r>
        <w:rPr>
          <w:rFonts w:ascii="Times New Roman" w:eastAsia="Times New Roman" w:hAnsi="Times New Roman" w:cs="Times New Roman"/>
        </w:rPr>
        <w:t>by constructing</w:t>
      </w:r>
      <w:r w:rsidR="003C020A" w:rsidRPr="008D3CCB">
        <w:rPr>
          <w:rFonts w:ascii="Times New Roman" w:eastAsia="Times New Roman" w:hAnsi="Times New Roman" w:cs="Times New Roman"/>
        </w:rPr>
        <w:t xml:space="preserve"> a </w:t>
      </w:r>
      <w:r>
        <w:rPr>
          <w:rFonts w:ascii="Times New Roman" w:eastAsia="Times New Roman" w:hAnsi="Times New Roman" w:cs="Times New Roman"/>
        </w:rPr>
        <w:t>related index based on economic well-being</w:t>
      </w:r>
      <w:r w:rsidR="003C020A" w:rsidRPr="008D3CCB">
        <w:rPr>
          <w:rFonts w:ascii="Times New Roman" w:eastAsia="Times New Roman" w:hAnsi="Times New Roman" w:cs="Times New Roman"/>
        </w:rPr>
        <w:t xml:space="preserve"> to assess tract-level impacts of OZ implementation.</w:t>
      </w:r>
      <w:r w:rsidR="003C020A">
        <w:rPr>
          <w:rFonts w:ascii="Times New Roman" w:eastAsia="Times New Roman" w:hAnsi="Times New Roman" w:cs="Times New Roman"/>
        </w:rPr>
        <w:t xml:space="preserve"> The intent behind the dependent variable, is to measure the economic well-being of a census tract. Similar to Looney and Gelfond, the sub-variables related to home and rent prices were combined. </w:t>
      </w:r>
      <w:r w:rsidR="003C020A" w:rsidRPr="00823E82">
        <w:rPr>
          <w:rFonts w:ascii="Times New Roman" w:eastAsia="Times New Roman" w:hAnsi="Times New Roman" w:cs="Times New Roman"/>
        </w:rPr>
        <w:t>In addition to incorporating median rent and mortgage values, the economic well-being index developed in this study also includes median income and employment levels. Like the Looney and Gelfond index, it uses a 0–100 scale; however, while their index defines 0 as least distressed and 100 as most distressed, this index inverts the scale—assigning 0 to economically distressed tracts and 100 to those with the highest levels of well-being. Th</w:t>
      </w:r>
      <w:r w:rsidR="003C020A">
        <w:rPr>
          <w:rFonts w:ascii="Times New Roman" w:eastAsia="Times New Roman" w:hAnsi="Times New Roman" w:cs="Times New Roman"/>
        </w:rPr>
        <w:t>e</w:t>
      </w:r>
      <w:r w:rsidR="003C020A" w:rsidRPr="00823E82">
        <w:rPr>
          <w:rFonts w:ascii="Times New Roman" w:eastAsia="Times New Roman" w:hAnsi="Times New Roman" w:cs="Times New Roman"/>
        </w:rPr>
        <w:t xml:space="preserve"> inversion focus</w:t>
      </w:r>
      <w:r w:rsidR="003C020A">
        <w:rPr>
          <w:rFonts w:ascii="Times New Roman" w:eastAsia="Times New Roman" w:hAnsi="Times New Roman" w:cs="Times New Roman"/>
        </w:rPr>
        <w:t>es</w:t>
      </w:r>
      <w:r w:rsidR="003C020A" w:rsidRPr="00823E82">
        <w:rPr>
          <w:rFonts w:ascii="Times New Roman" w:eastAsia="Times New Roman" w:hAnsi="Times New Roman" w:cs="Times New Roman"/>
        </w:rPr>
        <w:t xml:space="preserve"> on positive economic </w:t>
      </w:r>
      <w:r w:rsidR="003C020A">
        <w:rPr>
          <w:rFonts w:ascii="Times New Roman" w:eastAsia="Times New Roman" w:hAnsi="Times New Roman" w:cs="Times New Roman"/>
        </w:rPr>
        <w:t>well-being</w:t>
      </w:r>
      <w:r w:rsidR="003C020A" w:rsidRPr="00823E82">
        <w:rPr>
          <w:rFonts w:ascii="Times New Roman" w:eastAsia="Times New Roman" w:hAnsi="Times New Roman" w:cs="Times New Roman"/>
        </w:rPr>
        <w:t xml:space="preserve"> rather than distress. </w:t>
      </w:r>
    </w:p>
    <w:p w14:paraId="4355790C" w14:textId="1FDAED69" w:rsidR="00BC3BC9" w:rsidRPr="001604C9" w:rsidRDefault="00BC3BC9" w:rsidP="001604C9">
      <w:pPr>
        <w:pStyle w:val="Heading2"/>
      </w:pPr>
      <w:bookmarkStart w:id="11" w:name="_Toc197889224"/>
      <w:r w:rsidRPr="00900FAD">
        <w:rPr>
          <w:rFonts w:eastAsia="Times New Roman"/>
        </w:rPr>
        <w:t xml:space="preserve">4.2 </w:t>
      </w:r>
      <w:proofErr w:type="spellStart"/>
      <w:r w:rsidRPr="00900FAD">
        <w:rPr>
          <w:rFonts w:eastAsia="Times New Roman"/>
        </w:rPr>
        <w:t>DiD</w:t>
      </w:r>
      <w:proofErr w:type="spellEnd"/>
      <w:r w:rsidRPr="00900FAD">
        <w:rPr>
          <w:rFonts w:eastAsia="Times New Roman"/>
        </w:rPr>
        <w:t xml:space="preserve"> and IPW</w:t>
      </w:r>
      <w:bookmarkEnd w:id="11"/>
    </w:p>
    <w:p w14:paraId="4A4CE334" w14:textId="138FB365" w:rsidR="0000066D" w:rsidRDefault="009D3C22" w:rsidP="0000066D">
      <w:pPr>
        <w:spacing w:line="480" w:lineRule="auto"/>
        <w:rPr>
          <w:rFonts w:ascii="Times New Roman" w:eastAsia="Times New Roman" w:hAnsi="Times New Roman" w:cs="Times New Roman"/>
        </w:rPr>
      </w:pPr>
      <w:r w:rsidRPr="009D3C22">
        <w:rPr>
          <w:rFonts w:ascii="Times New Roman" w:eastAsia="Times New Roman" w:hAnsi="Times New Roman" w:cs="Times New Roman"/>
        </w:rPr>
        <w:t>One of the major methodological challenges highlighted in the literature is model selection, particularly the use of difference-in-differences (</w:t>
      </w:r>
      <w:proofErr w:type="spellStart"/>
      <w:r w:rsidRPr="009D3C22">
        <w:rPr>
          <w:rFonts w:ascii="Times New Roman" w:eastAsia="Times New Roman" w:hAnsi="Times New Roman" w:cs="Times New Roman"/>
        </w:rPr>
        <w:t>DiD</w:t>
      </w:r>
      <w:proofErr w:type="spellEnd"/>
      <w:r w:rsidRPr="009D3C22">
        <w:rPr>
          <w:rFonts w:ascii="Times New Roman" w:eastAsia="Times New Roman" w:hAnsi="Times New Roman" w:cs="Times New Roman"/>
        </w:rPr>
        <w:t>) models despite non-random treatment assignment. Fikri and Glasner (2023)</w:t>
      </w:r>
      <w:r w:rsidR="00277D72">
        <w:rPr>
          <w:rFonts w:ascii="Times New Roman" w:eastAsia="Times New Roman" w:hAnsi="Times New Roman" w:cs="Times New Roman"/>
        </w:rPr>
        <w:t xml:space="preserve"> </w:t>
      </w:r>
      <w:r w:rsidRPr="009D3C22">
        <w:rPr>
          <w:rFonts w:ascii="Times New Roman" w:eastAsia="Times New Roman" w:hAnsi="Times New Roman" w:cs="Times New Roman"/>
        </w:rPr>
        <w:t>argue that, because OZ designations are made by state governors rather than through true randomization, researchers must validate the parallel trends assumption. While they note that this assumption often does not hold</w:t>
      </w:r>
      <w:r w:rsidR="00852B7B">
        <w:rPr>
          <w:rFonts w:ascii="Times New Roman" w:eastAsia="Times New Roman" w:hAnsi="Times New Roman" w:cs="Times New Roman"/>
        </w:rPr>
        <w:t xml:space="preserve">, </w:t>
      </w:r>
      <w:r w:rsidRPr="009D3C22">
        <w:rPr>
          <w:rFonts w:ascii="Times New Roman" w:eastAsia="Times New Roman" w:hAnsi="Times New Roman" w:cs="Times New Roman"/>
        </w:rPr>
        <w:t>since treated (OZ) and control (non-OZ) tracts may follow diverging pre-treatment trends</w:t>
      </w:r>
      <w:r w:rsidR="00852B7B">
        <w:rPr>
          <w:rFonts w:ascii="Times New Roman" w:eastAsia="Times New Roman" w:hAnsi="Times New Roman" w:cs="Times New Roman"/>
        </w:rPr>
        <w:t xml:space="preserve">, </w:t>
      </w:r>
      <w:r w:rsidRPr="009D3C22">
        <w:rPr>
          <w:rFonts w:ascii="Times New Roman" w:eastAsia="Times New Roman" w:hAnsi="Times New Roman" w:cs="Times New Roman"/>
        </w:rPr>
        <w:t xml:space="preserve">they also acknowledge that </w:t>
      </w:r>
      <w:proofErr w:type="spellStart"/>
      <w:r w:rsidRPr="009D3C22">
        <w:rPr>
          <w:rFonts w:ascii="Times New Roman" w:eastAsia="Times New Roman" w:hAnsi="Times New Roman" w:cs="Times New Roman"/>
        </w:rPr>
        <w:t>DiD</w:t>
      </w:r>
      <w:proofErr w:type="spellEnd"/>
      <w:r w:rsidRPr="009D3C22">
        <w:rPr>
          <w:rFonts w:ascii="Times New Roman" w:eastAsia="Times New Roman" w:hAnsi="Times New Roman" w:cs="Times New Roman"/>
        </w:rPr>
        <w:t xml:space="preserve"> remains a valuable tool for directly measuring change over time. To mitigate issues </w:t>
      </w:r>
      <w:r w:rsidRPr="009D3C22">
        <w:rPr>
          <w:rFonts w:ascii="Times New Roman" w:eastAsia="Times New Roman" w:hAnsi="Times New Roman" w:cs="Times New Roman"/>
        </w:rPr>
        <w:lastRenderedPageBreak/>
        <w:t xml:space="preserve">with non-random assignment, they recommend the </w:t>
      </w:r>
      <w:r w:rsidR="00852B7B">
        <w:rPr>
          <w:rFonts w:ascii="Times New Roman" w:eastAsia="Times New Roman" w:hAnsi="Times New Roman" w:cs="Times New Roman"/>
        </w:rPr>
        <w:t>creation of a</w:t>
      </w:r>
      <w:r w:rsidRPr="009D3C22">
        <w:rPr>
          <w:rFonts w:ascii="Times New Roman" w:eastAsia="Times New Roman" w:hAnsi="Times New Roman" w:cs="Times New Roman"/>
        </w:rPr>
        <w:t xml:space="preserve"> synthetic control </w:t>
      </w:r>
      <w:r w:rsidR="00852B7B">
        <w:rPr>
          <w:rFonts w:ascii="Times New Roman" w:eastAsia="Times New Roman" w:hAnsi="Times New Roman" w:cs="Times New Roman"/>
        </w:rPr>
        <w:t>group</w:t>
      </w:r>
      <w:r w:rsidRPr="009D3C22">
        <w:rPr>
          <w:rFonts w:ascii="Times New Roman" w:eastAsia="Times New Roman" w:hAnsi="Times New Roman" w:cs="Times New Roman"/>
        </w:rPr>
        <w:t xml:space="preserve"> such as propensity score matching or inverse probability weighting (IPW). </w:t>
      </w:r>
      <w:r w:rsidR="00FE6158">
        <w:rPr>
          <w:rFonts w:ascii="Times New Roman" w:eastAsia="Times New Roman" w:hAnsi="Times New Roman" w:cs="Times New Roman"/>
        </w:rPr>
        <w:t>Based on</w:t>
      </w:r>
      <w:r w:rsidRPr="009D3C22">
        <w:rPr>
          <w:rFonts w:ascii="Times New Roman" w:eastAsia="Times New Roman" w:hAnsi="Times New Roman" w:cs="Times New Roman"/>
        </w:rPr>
        <w:t xml:space="preserve"> the recommendations</w:t>
      </w:r>
      <w:r w:rsidR="00FE6158">
        <w:rPr>
          <w:rFonts w:ascii="Times New Roman" w:eastAsia="Times New Roman" w:hAnsi="Times New Roman" w:cs="Times New Roman"/>
        </w:rPr>
        <w:t xml:space="preserve"> of Fikri and Glasner</w:t>
      </w:r>
      <w:r w:rsidRPr="009D3C22">
        <w:rPr>
          <w:rFonts w:ascii="Times New Roman" w:eastAsia="Times New Roman" w:hAnsi="Times New Roman" w:cs="Times New Roman"/>
        </w:rPr>
        <w:t xml:space="preserve">, this study employs a </w:t>
      </w:r>
      <w:proofErr w:type="spellStart"/>
      <w:r w:rsidRPr="009D3C22">
        <w:rPr>
          <w:rFonts w:ascii="Times New Roman" w:eastAsia="Times New Roman" w:hAnsi="Times New Roman" w:cs="Times New Roman"/>
        </w:rPr>
        <w:t>DiD</w:t>
      </w:r>
      <w:proofErr w:type="spellEnd"/>
      <w:r w:rsidRPr="009D3C22">
        <w:rPr>
          <w:rFonts w:ascii="Times New Roman" w:eastAsia="Times New Roman" w:hAnsi="Times New Roman" w:cs="Times New Roman"/>
        </w:rPr>
        <w:t xml:space="preserve"> model with non-OZ tracts as the control group and OZ tracts as the treatment group. To account for potential violations of the parallel trends assumption, an IPW model is also implemented. The IPW method assigns weights to non-treated tracts with a high propensity for OZ designation, thereby simulating a more randomized experiment. While this study does not capture long-term effects beyond three years, the use of extended post-treatment data builds upon prior analyses conducted by Freedman et al. (2021), </w:t>
      </w:r>
      <w:proofErr w:type="spellStart"/>
      <w:r w:rsidRPr="009D3C22">
        <w:rPr>
          <w:rFonts w:ascii="Times New Roman" w:eastAsia="Times New Roman" w:hAnsi="Times New Roman" w:cs="Times New Roman"/>
        </w:rPr>
        <w:t>Arefeva</w:t>
      </w:r>
      <w:proofErr w:type="spellEnd"/>
      <w:r w:rsidRPr="009D3C22">
        <w:rPr>
          <w:rFonts w:ascii="Times New Roman" w:eastAsia="Times New Roman" w:hAnsi="Times New Roman" w:cs="Times New Roman"/>
        </w:rPr>
        <w:t xml:space="preserve"> et al. (2024), and Looney and Gelfond (2018).</w:t>
      </w:r>
    </w:p>
    <w:p w14:paraId="375723E0" w14:textId="2BC0FC9E" w:rsidR="0000066D" w:rsidRDefault="0000066D" w:rsidP="0000066D">
      <w:pPr>
        <w:spacing w:line="480" w:lineRule="auto"/>
        <w:rPr>
          <w:rFonts w:ascii="Times New Roman" w:eastAsia="Times New Roman" w:hAnsi="Times New Roman" w:cs="Times New Roman"/>
        </w:rPr>
      </w:pPr>
      <w:r w:rsidRPr="0000066D">
        <w:rPr>
          <w:rFonts w:ascii="Times New Roman" w:eastAsia="Times New Roman" w:hAnsi="Times New Roman" w:cs="Times New Roman"/>
        </w:rPr>
        <w:t xml:space="preserve">This study builds upon the modeling strategies used by </w:t>
      </w:r>
      <w:proofErr w:type="spellStart"/>
      <w:r w:rsidRPr="0000066D">
        <w:rPr>
          <w:rFonts w:ascii="Times New Roman" w:eastAsia="Times New Roman" w:hAnsi="Times New Roman" w:cs="Times New Roman"/>
        </w:rPr>
        <w:t>Arefeva</w:t>
      </w:r>
      <w:proofErr w:type="spellEnd"/>
      <w:r w:rsidRPr="0000066D">
        <w:rPr>
          <w:rFonts w:ascii="Times New Roman" w:eastAsia="Times New Roman" w:hAnsi="Times New Roman" w:cs="Times New Roman"/>
        </w:rPr>
        <w:t xml:space="preserve"> et al. (2024)</w:t>
      </w:r>
      <w:r>
        <w:rPr>
          <w:rFonts w:ascii="Times New Roman" w:eastAsia="Times New Roman" w:hAnsi="Times New Roman" w:cs="Times New Roman"/>
        </w:rPr>
        <w:t xml:space="preserve"> </w:t>
      </w:r>
      <w:r w:rsidRPr="0000066D">
        <w:rPr>
          <w:rFonts w:ascii="Times New Roman" w:eastAsia="Times New Roman" w:hAnsi="Times New Roman" w:cs="Times New Roman"/>
        </w:rPr>
        <w:t>and Freedman et al. (2021)</w:t>
      </w:r>
      <w:r>
        <w:rPr>
          <w:rFonts w:ascii="Times New Roman" w:eastAsia="Times New Roman" w:hAnsi="Times New Roman" w:cs="Times New Roman"/>
        </w:rPr>
        <w:t xml:space="preserve"> </w:t>
      </w:r>
      <w:r w:rsidRPr="0000066D">
        <w:rPr>
          <w:rFonts w:ascii="Times New Roman" w:eastAsia="Times New Roman" w:hAnsi="Times New Roman" w:cs="Times New Roman"/>
        </w:rPr>
        <w:t xml:space="preserve">to evaluate the impact of OZs on economic outcomes. Many of the </w:t>
      </w:r>
      <w:r w:rsidR="005C334C">
        <w:rPr>
          <w:rFonts w:ascii="Times New Roman" w:eastAsia="Times New Roman" w:hAnsi="Times New Roman" w:cs="Times New Roman"/>
        </w:rPr>
        <w:t>variables</w:t>
      </w:r>
      <w:r w:rsidRPr="0000066D">
        <w:rPr>
          <w:rFonts w:ascii="Times New Roman" w:eastAsia="Times New Roman" w:hAnsi="Times New Roman" w:cs="Times New Roman"/>
        </w:rPr>
        <w:t xml:space="preserve"> used in this analysis</w:t>
      </w:r>
      <w:r w:rsidR="005C334C">
        <w:rPr>
          <w:rFonts w:ascii="Times New Roman" w:eastAsia="Times New Roman" w:hAnsi="Times New Roman" w:cs="Times New Roman"/>
        </w:rPr>
        <w:t xml:space="preserve"> </w:t>
      </w:r>
      <w:r w:rsidRPr="0000066D">
        <w:rPr>
          <w:rFonts w:ascii="Times New Roman" w:eastAsia="Times New Roman" w:hAnsi="Times New Roman" w:cs="Times New Roman"/>
        </w:rPr>
        <w:t>such as rac</w:t>
      </w:r>
      <w:r w:rsidR="005C334C">
        <w:rPr>
          <w:rFonts w:ascii="Times New Roman" w:eastAsia="Times New Roman" w:hAnsi="Times New Roman" w:cs="Times New Roman"/>
        </w:rPr>
        <w:t>e/ethnicity</w:t>
      </w:r>
      <w:r w:rsidRPr="0000066D">
        <w:rPr>
          <w:rFonts w:ascii="Times New Roman" w:eastAsia="Times New Roman" w:hAnsi="Times New Roman" w:cs="Times New Roman"/>
        </w:rPr>
        <w:t xml:space="preserve">, education levels, income, rent, and employment—mirror those included in </w:t>
      </w:r>
      <w:proofErr w:type="spellStart"/>
      <w:r w:rsidRPr="0000066D">
        <w:rPr>
          <w:rFonts w:ascii="Times New Roman" w:eastAsia="Times New Roman" w:hAnsi="Times New Roman" w:cs="Times New Roman"/>
        </w:rPr>
        <w:t>Arefeva</w:t>
      </w:r>
      <w:proofErr w:type="spellEnd"/>
      <w:r w:rsidRPr="0000066D">
        <w:rPr>
          <w:rFonts w:ascii="Times New Roman" w:eastAsia="Times New Roman" w:hAnsi="Times New Roman" w:cs="Times New Roman"/>
        </w:rPr>
        <w:t xml:space="preserve"> et al.’s framework. To address concerns regarding non-random treatment assignment, this study also implements an IPW model, as used by Freedman et al.</w:t>
      </w:r>
      <w:r w:rsidR="00BC2042">
        <w:rPr>
          <w:rFonts w:ascii="Times New Roman" w:eastAsia="Times New Roman" w:hAnsi="Times New Roman" w:cs="Times New Roman"/>
        </w:rPr>
        <w:t xml:space="preserve"> and recommended by Fikri and </w:t>
      </w:r>
      <w:r w:rsidR="00A422D1">
        <w:rPr>
          <w:rFonts w:ascii="Times New Roman" w:eastAsia="Times New Roman" w:hAnsi="Times New Roman" w:cs="Times New Roman"/>
        </w:rPr>
        <w:t>Glasner,</w:t>
      </w:r>
      <w:r w:rsidRPr="0000066D">
        <w:rPr>
          <w:rFonts w:ascii="Times New Roman" w:eastAsia="Times New Roman" w:hAnsi="Times New Roman" w:cs="Times New Roman"/>
        </w:rPr>
        <w:t xml:space="preserve"> to simulate a more balanced </w:t>
      </w:r>
      <w:r w:rsidR="00BC2042">
        <w:rPr>
          <w:rFonts w:ascii="Times New Roman" w:eastAsia="Times New Roman" w:hAnsi="Times New Roman" w:cs="Times New Roman"/>
        </w:rPr>
        <w:t xml:space="preserve">and random </w:t>
      </w:r>
      <w:r w:rsidRPr="0000066D">
        <w:rPr>
          <w:rFonts w:ascii="Times New Roman" w:eastAsia="Times New Roman" w:hAnsi="Times New Roman" w:cs="Times New Roman"/>
        </w:rPr>
        <w:t xml:space="preserve">comparison between OZ and non-OZ tracts. In contrast to Freedman’s use of restricted micro-ACS data, this study relies on publicly available ACS tract-level data and extends the observation period through 2023. An initial attempt to use micro-ACS data was </w:t>
      </w:r>
      <w:r w:rsidR="009B7ED0">
        <w:rPr>
          <w:rFonts w:ascii="Times New Roman" w:eastAsia="Times New Roman" w:hAnsi="Times New Roman" w:cs="Times New Roman"/>
        </w:rPr>
        <w:t>not realized</w:t>
      </w:r>
      <w:r w:rsidRPr="0000066D">
        <w:rPr>
          <w:rFonts w:ascii="Times New Roman" w:eastAsia="Times New Roman" w:hAnsi="Times New Roman" w:cs="Times New Roman"/>
        </w:rPr>
        <w:t xml:space="preserve"> due to limited</w:t>
      </w:r>
      <w:r w:rsidR="00C43287">
        <w:rPr>
          <w:rFonts w:ascii="Times New Roman" w:eastAsia="Times New Roman" w:hAnsi="Times New Roman" w:cs="Times New Roman"/>
        </w:rPr>
        <w:t xml:space="preserve"> tract</w:t>
      </w:r>
      <w:r w:rsidRPr="0000066D">
        <w:rPr>
          <w:rFonts w:ascii="Times New Roman" w:eastAsia="Times New Roman" w:hAnsi="Times New Roman" w:cs="Times New Roman"/>
        </w:rPr>
        <w:t xml:space="preserve"> coverage </w:t>
      </w:r>
      <w:r w:rsidR="009B7ED0">
        <w:rPr>
          <w:rFonts w:ascii="Times New Roman" w:eastAsia="Times New Roman" w:hAnsi="Times New Roman" w:cs="Times New Roman"/>
        </w:rPr>
        <w:t>for</w:t>
      </w:r>
      <w:r w:rsidRPr="0000066D">
        <w:rPr>
          <w:rFonts w:ascii="Times New Roman" w:eastAsia="Times New Roman" w:hAnsi="Times New Roman" w:cs="Times New Roman"/>
        </w:rPr>
        <w:t xml:space="preserve"> small</w:t>
      </w:r>
      <w:r w:rsidR="009B7ED0">
        <w:rPr>
          <w:rFonts w:ascii="Times New Roman" w:eastAsia="Times New Roman" w:hAnsi="Times New Roman" w:cs="Times New Roman"/>
        </w:rPr>
        <w:t>er population</w:t>
      </w:r>
      <w:r w:rsidR="00C43287">
        <w:rPr>
          <w:rFonts w:ascii="Times New Roman" w:eastAsia="Times New Roman" w:hAnsi="Times New Roman" w:cs="Times New Roman"/>
        </w:rPr>
        <w:t>s</w:t>
      </w:r>
      <w:r w:rsidRPr="0000066D">
        <w:rPr>
          <w:rFonts w:ascii="Times New Roman" w:eastAsia="Times New Roman" w:hAnsi="Times New Roman" w:cs="Times New Roman"/>
        </w:rPr>
        <w:t>. This study also differs by introducing a</w:t>
      </w:r>
      <w:r w:rsidR="009B7ED0">
        <w:rPr>
          <w:rFonts w:ascii="Times New Roman" w:eastAsia="Times New Roman" w:hAnsi="Times New Roman" w:cs="Times New Roman"/>
        </w:rPr>
        <w:t xml:space="preserve">n </w:t>
      </w:r>
      <w:r w:rsidRPr="0000066D">
        <w:rPr>
          <w:rFonts w:ascii="Times New Roman" w:eastAsia="Times New Roman" w:hAnsi="Times New Roman" w:cs="Times New Roman"/>
        </w:rPr>
        <w:t>economic well-being index as the dependent variable, offering a more comprehensive and tract-level measure of economic</w:t>
      </w:r>
      <w:r w:rsidR="00A07224">
        <w:rPr>
          <w:rFonts w:ascii="Times New Roman" w:eastAsia="Times New Roman" w:hAnsi="Times New Roman" w:cs="Times New Roman"/>
        </w:rPr>
        <w:t xml:space="preserve"> well-being </w:t>
      </w:r>
      <w:r w:rsidRPr="0000066D">
        <w:rPr>
          <w:rFonts w:ascii="Times New Roman" w:eastAsia="Times New Roman" w:hAnsi="Times New Roman" w:cs="Times New Roman"/>
        </w:rPr>
        <w:t>beyond employment and earnings alone.</w:t>
      </w:r>
    </w:p>
    <w:p w14:paraId="425526A3" w14:textId="568AAF4C" w:rsidR="009518D7" w:rsidRDefault="00C26373" w:rsidP="0000066D">
      <w:pPr>
        <w:spacing w:line="480" w:lineRule="auto"/>
        <w:rPr>
          <w:rFonts w:ascii="Times New Roman" w:eastAsia="Times New Roman" w:hAnsi="Times New Roman" w:cs="Times New Roman"/>
        </w:rPr>
      </w:pPr>
      <w:r>
        <w:rPr>
          <w:rFonts w:ascii="Times New Roman" w:eastAsia="Times New Roman" w:hAnsi="Times New Roman" w:cs="Times New Roman"/>
        </w:rPr>
        <w:t>Although</w:t>
      </w:r>
      <w:r w:rsidR="009518D7">
        <w:rPr>
          <w:rFonts w:ascii="Times New Roman" w:eastAsia="Times New Roman" w:hAnsi="Times New Roman" w:cs="Times New Roman"/>
        </w:rPr>
        <w:t xml:space="preserve"> this study does not directly </w:t>
      </w:r>
      <w:r>
        <w:rPr>
          <w:rFonts w:ascii="Times New Roman" w:eastAsia="Times New Roman" w:hAnsi="Times New Roman" w:cs="Times New Roman"/>
        </w:rPr>
        <w:t>replicate</w:t>
      </w:r>
      <w:r w:rsidR="009518D7">
        <w:rPr>
          <w:rFonts w:ascii="Times New Roman" w:eastAsia="Times New Roman" w:hAnsi="Times New Roman" w:cs="Times New Roman"/>
        </w:rPr>
        <w:t xml:space="preserve"> of Chen et al.’s</w:t>
      </w:r>
      <w:r>
        <w:rPr>
          <w:rFonts w:ascii="Times New Roman" w:eastAsia="Times New Roman" w:hAnsi="Times New Roman" w:cs="Times New Roman"/>
        </w:rPr>
        <w:t xml:space="preserve"> (2019) analysis</w:t>
      </w:r>
      <w:r w:rsidR="009518D7">
        <w:rPr>
          <w:rFonts w:ascii="Times New Roman" w:eastAsia="Times New Roman" w:hAnsi="Times New Roman" w:cs="Times New Roman"/>
        </w:rPr>
        <w:t>, it</w:t>
      </w:r>
      <w:r>
        <w:rPr>
          <w:rFonts w:ascii="Times New Roman" w:eastAsia="Times New Roman" w:hAnsi="Times New Roman" w:cs="Times New Roman"/>
        </w:rPr>
        <w:t xml:space="preserve"> builds on their findings by incorporating</w:t>
      </w:r>
      <w:r w:rsidR="009518D7">
        <w:rPr>
          <w:rFonts w:ascii="Times New Roman" w:eastAsia="Times New Roman" w:hAnsi="Times New Roman" w:cs="Times New Roman"/>
        </w:rPr>
        <w:t xml:space="preserve"> housing costs</w:t>
      </w:r>
      <w:r>
        <w:rPr>
          <w:rFonts w:ascii="Times New Roman" w:eastAsia="Times New Roman" w:hAnsi="Times New Roman" w:cs="Times New Roman"/>
        </w:rPr>
        <w:t xml:space="preserve"> into</w:t>
      </w:r>
      <w:r w:rsidR="009518D7">
        <w:rPr>
          <w:rFonts w:ascii="Times New Roman" w:eastAsia="Times New Roman" w:hAnsi="Times New Roman" w:cs="Times New Roman"/>
        </w:rPr>
        <w:t xml:space="preserve"> the economic well-being index, and</w:t>
      </w:r>
      <w:r>
        <w:rPr>
          <w:rFonts w:ascii="Times New Roman" w:eastAsia="Times New Roman" w:hAnsi="Times New Roman" w:cs="Times New Roman"/>
        </w:rPr>
        <w:t xml:space="preserve"> by</w:t>
      </w:r>
      <w:r w:rsidR="009518D7">
        <w:rPr>
          <w:rFonts w:ascii="Times New Roman" w:eastAsia="Times New Roman" w:hAnsi="Times New Roman" w:cs="Times New Roman"/>
        </w:rPr>
        <w:t xml:space="preserve"> </w:t>
      </w:r>
      <w:r>
        <w:rPr>
          <w:rFonts w:ascii="Times New Roman" w:eastAsia="Times New Roman" w:hAnsi="Times New Roman" w:cs="Times New Roman"/>
        </w:rPr>
        <w:lastRenderedPageBreak/>
        <w:t>distinguishing</w:t>
      </w:r>
      <w:r w:rsidR="009518D7">
        <w:rPr>
          <w:rFonts w:ascii="Times New Roman" w:eastAsia="Times New Roman" w:hAnsi="Times New Roman" w:cs="Times New Roman"/>
        </w:rPr>
        <w:t xml:space="preserve"> home-owner</w:t>
      </w:r>
      <w:r>
        <w:rPr>
          <w:rFonts w:ascii="Times New Roman" w:eastAsia="Times New Roman" w:hAnsi="Times New Roman" w:cs="Times New Roman"/>
        </w:rPr>
        <w:t>s</w:t>
      </w:r>
      <w:r w:rsidR="009518D7">
        <w:rPr>
          <w:rFonts w:ascii="Times New Roman" w:eastAsia="Times New Roman" w:hAnsi="Times New Roman" w:cs="Times New Roman"/>
        </w:rPr>
        <w:t xml:space="preserve"> </w:t>
      </w:r>
      <w:r>
        <w:rPr>
          <w:rFonts w:ascii="Times New Roman" w:eastAsia="Times New Roman" w:hAnsi="Times New Roman" w:cs="Times New Roman"/>
        </w:rPr>
        <w:t>and</w:t>
      </w:r>
      <w:r w:rsidR="009518D7">
        <w:rPr>
          <w:rFonts w:ascii="Times New Roman" w:eastAsia="Times New Roman" w:hAnsi="Times New Roman" w:cs="Times New Roman"/>
        </w:rPr>
        <w:t xml:space="preserve"> rent</w:t>
      </w:r>
      <w:r>
        <w:rPr>
          <w:rFonts w:ascii="Times New Roman" w:eastAsia="Times New Roman" w:hAnsi="Times New Roman" w:cs="Times New Roman"/>
        </w:rPr>
        <w:t>ers</w:t>
      </w:r>
      <w:r w:rsidR="009518D7">
        <w:rPr>
          <w:rFonts w:ascii="Times New Roman" w:eastAsia="Times New Roman" w:hAnsi="Times New Roman" w:cs="Times New Roman"/>
        </w:rPr>
        <w:t xml:space="preserve"> </w:t>
      </w:r>
      <w:r w:rsidR="00FF67BD">
        <w:rPr>
          <w:rFonts w:ascii="Times New Roman" w:eastAsia="Times New Roman" w:hAnsi="Times New Roman" w:cs="Times New Roman"/>
        </w:rPr>
        <w:t>with</w:t>
      </w:r>
      <w:r w:rsidR="009518D7">
        <w:rPr>
          <w:rFonts w:ascii="Times New Roman" w:eastAsia="Times New Roman" w:hAnsi="Times New Roman" w:cs="Times New Roman"/>
        </w:rPr>
        <w:t>in the covar</w:t>
      </w:r>
      <w:r w:rsidR="00FF67BD">
        <w:rPr>
          <w:rFonts w:ascii="Times New Roman" w:eastAsia="Times New Roman" w:hAnsi="Times New Roman" w:cs="Times New Roman"/>
        </w:rPr>
        <w:t>iates.</w:t>
      </w:r>
      <w:r w:rsidR="00B630C4">
        <w:rPr>
          <w:rFonts w:ascii="Times New Roman" w:eastAsia="Times New Roman" w:hAnsi="Times New Roman" w:cs="Times New Roman"/>
        </w:rPr>
        <w:t xml:space="preserve"> By attempting to capture </w:t>
      </w:r>
      <w:r w:rsidR="00354FCA">
        <w:rPr>
          <w:rFonts w:ascii="Times New Roman" w:eastAsia="Times New Roman" w:hAnsi="Times New Roman" w:cs="Times New Roman"/>
        </w:rPr>
        <w:t>housing cost’s effect</w:t>
      </w:r>
      <w:r w:rsidR="00556D75">
        <w:rPr>
          <w:rFonts w:ascii="Times New Roman" w:eastAsia="Times New Roman" w:hAnsi="Times New Roman" w:cs="Times New Roman"/>
        </w:rPr>
        <w:t>s</w:t>
      </w:r>
      <w:r w:rsidR="00B630C4">
        <w:rPr>
          <w:rFonts w:ascii="Times New Roman" w:eastAsia="Times New Roman" w:hAnsi="Times New Roman" w:cs="Times New Roman"/>
        </w:rPr>
        <w:t xml:space="preserve"> </w:t>
      </w:r>
      <w:r w:rsidR="00556D75">
        <w:rPr>
          <w:rFonts w:ascii="Times New Roman" w:eastAsia="Times New Roman" w:hAnsi="Times New Roman" w:cs="Times New Roman"/>
        </w:rPr>
        <w:t>within a broader dependent variable, this study provides a more comprehensive analysis of the OZ program’s impact on a tract’s economic well-being than</w:t>
      </w:r>
      <w:r w:rsidR="00446B0A">
        <w:rPr>
          <w:rFonts w:ascii="Times New Roman" w:eastAsia="Times New Roman" w:hAnsi="Times New Roman" w:cs="Times New Roman"/>
        </w:rPr>
        <w:t xml:space="preserve"> analyses</w:t>
      </w:r>
      <w:r w:rsidR="00556D75">
        <w:rPr>
          <w:rFonts w:ascii="Times New Roman" w:eastAsia="Times New Roman" w:hAnsi="Times New Roman" w:cs="Times New Roman"/>
        </w:rPr>
        <w:t xml:space="preserve"> focusing</w:t>
      </w:r>
      <w:r w:rsidR="00446B0A">
        <w:rPr>
          <w:rFonts w:ascii="Times New Roman" w:eastAsia="Times New Roman" w:hAnsi="Times New Roman" w:cs="Times New Roman"/>
        </w:rPr>
        <w:t xml:space="preserve"> solely</w:t>
      </w:r>
      <w:r w:rsidR="00556D75">
        <w:rPr>
          <w:rFonts w:ascii="Times New Roman" w:eastAsia="Times New Roman" w:hAnsi="Times New Roman" w:cs="Times New Roman"/>
        </w:rPr>
        <w:t xml:space="preserve"> on employment or income.</w:t>
      </w:r>
    </w:p>
    <w:p w14:paraId="66AB1003" w14:textId="34BA50B6" w:rsidR="009518D7" w:rsidRDefault="00A903B8" w:rsidP="006F3159">
      <w:pPr>
        <w:spacing w:line="480" w:lineRule="auto"/>
        <w:rPr>
          <w:rFonts w:ascii="Times New Roman" w:eastAsia="Times New Roman" w:hAnsi="Times New Roman" w:cs="Times New Roman"/>
        </w:rPr>
      </w:pPr>
      <w:r w:rsidRPr="00A903B8">
        <w:rPr>
          <w:rFonts w:ascii="Times New Roman" w:eastAsia="Times New Roman" w:hAnsi="Times New Roman" w:cs="Times New Roman"/>
        </w:rPr>
        <w:t>This study seeks to address the limitations identified in the literature by implementing several methodological improvements: the use of a com</w:t>
      </w:r>
      <w:r w:rsidR="00826064">
        <w:rPr>
          <w:rFonts w:ascii="Times New Roman" w:eastAsia="Times New Roman" w:hAnsi="Times New Roman" w:cs="Times New Roman"/>
        </w:rPr>
        <w:t xml:space="preserve">bined </w:t>
      </w:r>
      <w:r w:rsidRPr="00A903B8">
        <w:rPr>
          <w:rFonts w:ascii="Times New Roman" w:eastAsia="Times New Roman" w:hAnsi="Times New Roman" w:cs="Times New Roman"/>
        </w:rPr>
        <w:t xml:space="preserve">economic well-being index as the dependent variable, </w:t>
      </w:r>
      <w:proofErr w:type="spellStart"/>
      <w:r w:rsidRPr="00A903B8">
        <w:rPr>
          <w:rFonts w:ascii="Times New Roman" w:eastAsia="Times New Roman" w:hAnsi="Times New Roman" w:cs="Times New Roman"/>
        </w:rPr>
        <w:t>a</w:t>
      </w:r>
      <w:proofErr w:type="spellEnd"/>
      <w:r w:rsidRPr="00A903B8">
        <w:rPr>
          <w:rFonts w:ascii="Times New Roman" w:eastAsia="Times New Roman" w:hAnsi="Times New Roman" w:cs="Times New Roman"/>
        </w:rPr>
        <w:t xml:space="preserve"> </w:t>
      </w:r>
      <w:proofErr w:type="spellStart"/>
      <w:r w:rsidRPr="00A903B8">
        <w:rPr>
          <w:rFonts w:ascii="Times New Roman" w:eastAsia="Times New Roman" w:hAnsi="Times New Roman" w:cs="Times New Roman"/>
        </w:rPr>
        <w:t>DiD</w:t>
      </w:r>
      <w:proofErr w:type="spellEnd"/>
      <w:r w:rsidRPr="00A903B8">
        <w:rPr>
          <w:rFonts w:ascii="Times New Roman" w:eastAsia="Times New Roman" w:hAnsi="Times New Roman" w:cs="Times New Roman"/>
        </w:rPr>
        <w:t xml:space="preserve"> </w:t>
      </w:r>
      <w:r w:rsidR="00F7033C">
        <w:rPr>
          <w:rFonts w:ascii="Times New Roman" w:eastAsia="Times New Roman" w:hAnsi="Times New Roman" w:cs="Times New Roman"/>
        </w:rPr>
        <w:t>model</w:t>
      </w:r>
      <w:r w:rsidRPr="00A903B8">
        <w:rPr>
          <w:rFonts w:ascii="Times New Roman" w:eastAsia="Times New Roman" w:hAnsi="Times New Roman" w:cs="Times New Roman"/>
        </w:rPr>
        <w:t xml:space="preserve"> combined with IPW to address potential violations of the parallel </w:t>
      </w:r>
      <w:proofErr w:type="gramStart"/>
      <w:r w:rsidRPr="00A903B8">
        <w:rPr>
          <w:rFonts w:ascii="Times New Roman" w:eastAsia="Times New Roman" w:hAnsi="Times New Roman" w:cs="Times New Roman"/>
        </w:rPr>
        <w:t>trends</w:t>
      </w:r>
      <w:proofErr w:type="gramEnd"/>
      <w:r w:rsidRPr="00A903B8">
        <w:rPr>
          <w:rFonts w:ascii="Times New Roman" w:eastAsia="Times New Roman" w:hAnsi="Times New Roman" w:cs="Times New Roman"/>
        </w:rPr>
        <w:t xml:space="preserve"> assumption,</w:t>
      </w:r>
      <w:r w:rsidR="003F4284">
        <w:rPr>
          <w:rFonts w:ascii="Times New Roman" w:eastAsia="Times New Roman" w:hAnsi="Times New Roman" w:cs="Times New Roman"/>
        </w:rPr>
        <w:t xml:space="preserve"> additional covariates to better control socio-economic impacts,</w:t>
      </w:r>
      <w:r w:rsidRPr="00A903B8">
        <w:rPr>
          <w:rFonts w:ascii="Times New Roman" w:eastAsia="Times New Roman" w:hAnsi="Times New Roman" w:cs="Times New Roman"/>
        </w:rPr>
        <w:t xml:space="preserve"> and an extended post-treatment observation window to better capture longer-term effects often missed by prior research.</w:t>
      </w:r>
    </w:p>
    <w:p w14:paraId="0CFD469E" w14:textId="22DE6FAD" w:rsidR="006F3159" w:rsidRPr="001604C9" w:rsidRDefault="00000000" w:rsidP="001604C9">
      <w:pPr>
        <w:pStyle w:val="Heading1"/>
        <w:rPr>
          <w:rFonts w:eastAsia="Times New Roman"/>
        </w:rPr>
      </w:pPr>
      <w:bookmarkStart w:id="12" w:name="_Toc197889225"/>
      <w:r w:rsidRPr="00900FAD">
        <w:rPr>
          <w:rFonts w:eastAsia="Times New Roman"/>
        </w:rPr>
        <w:t>Data</w:t>
      </w:r>
      <w:r w:rsidR="00047EF2" w:rsidRPr="00900FAD">
        <w:rPr>
          <w:rFonts w:eastAsia="Times New Roman"/>
        </w:rPr>
        <w:t xml:space="preserve"> Methods and</w:t>
      </w:r>
      <w:r w:rsidRPr="00900FAD">
        <w:rPr>
          <w:rFonts w:eastAsia="Times New Roman"/>
        </w:rPr>
        <w:t xml:space="preserve"> </w:t>
      </w:r>
      <w:r w:rsidR="00300868" w:rsidRPr="00900FAD">
        <w:rPr>
          <w:rFonts w:eastAsia="Times New Roman"/>
        </w:rPr>
        <w:t>Discussion</w:t>
      </w:r>
      <w:bookmarkEnd w:id="12"/>
    </w:p>
    <w:p w14:paraId="79DC5749" w14:textId="77777777" w:rsidR="00664AC9"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The data used in this analysis comes from</w:t>
      </w:r>
      <w:r w:rsidR="009100A8">
        <w:rPr>
          <w:rFonts w:ascii="Times New Roman" w:eastAsia="Times New Roman" w:hAnsi="Times New Roman" w:cs="Times New Roman"/>
        </w:rPr>
        <w:t xml:space="preserve"> the</w:t>
      </w:r>
      <w:r>
        <w:rPr>
          <w:rFonts w:ascii="Times New Roman" w:eastAsia="Times New Roman" w:hAnsi="Times New Roman" w:cs="Times New Roman"/>
        </w:rPr>
        <w:t xml:space="preserve"> ACS 5-year estimates</w:t>
      </w:r>
      <w:r w:rsidR="00E84C62">
        <w:rPr>
          <w:rFonts w:ascii="Times New Roman" w:eastAsia="Times New Roman" w:hAnsi="Times New Roman" w:cs="Times New Roman"/>
        </w:rPr>
        <w:t xml:space="preserve"> (</w:t>
      </w:r>
      <w:r w:rsidR="00F25C02">
        <w:rPr>
          <w:rFonts w:ascii="Times New Roman" w:eastAsia="Times New Roman" w:hAnsi="Times New Roman" w:cs="Times New Roman"/>
        </w:rPr>
        <w:t xml:space="preserve">US Census Bureau </w:t>
      </w:r>
      <w:r w:rsidR="00E84C62">
        <w:rPr>
          <w:rFonts w:ascii="Times New Roman" w:eastAsia="Times New Roman" w:hAnsi="Times New Roman" w:cs="Times New Roman"/>
        </w:rPr>
        <w:t xml:space="preserve">2014-2023) </w:t>
      </w:r>
      <w:r w:rsidR="009100A8">
        <w:rPr>
          <w:rFonts w:ascii="Times New Roman" w:eastAsia="Times New Roman" w:hAnsi="Times New Roman" w:cs="Times New Roman"/>
        </w:rPr>
        <w:t>consisting of</w:t>
      </w:r>
      <w:r>
        <w:rPr>
          <w:rFonts w:ascii="Times New Roman" w:eastAsia="Times New Roman" w:hAnsi="Times New Roman" w:cs="Times New Roman"/>
        </w:rPr>
        <w:t xml:space="preserve"> two distinct time periods. The 2014-2018 represents pre-OZ implementation data and the 2019-2023 period covers post-OZ implementation data. While there is </w:t>
      </w:r>
      <w:r w:rsidR="00DA3492">
        <w:rPr>
          <w:rFonts w:ascii="Times New Roman" w:eastAsia="Times New Roman" w:hAnsi="Times New Roman" w:cs="Times New Roman"/>
        </w:rPr>
        <w:t>overlap, depending</w:t>
      </w:r>
      <w:r>
        <w:rPr>
          <w:rFonts w:ascii="Times New Roman" w:eastAsia="Times New Roman" w:hAnsi="Times New Roman" w:cs="Times New Roman"/>
        </w:rPr>
        <w:t xml:space="preserve"> on how</w:t>
      </w:r>
      <w:r w:rsidR="00FC2619">
        <w:rPr>
          <w:rFonts w:ascii="Times New Roman" w:eastAsia="Times New Roman" w:hAnsi="Times New Roman" w:cs="Times New Roman"/>
        </w:rPr>
        <w:t xml:space="preserve"> OZ implementation is</w:t>
      </w:r>
      <w:r>
        <w:rPr>
          <w:rFonts w:ascii="Times New Roman" w:eastAsia="Times New Roman" w:hAnsi="Times New Roman" w:cs="Times New Roman"/>
        </w:rPr>
        <w:t xml:space="preserve"> define</w:t>
      </w:r>
      <w:r w:rsidR="00FC2619">
        <w:rPr>
          <w:rFonts w:ascii="Times New Roman" w:eastAsia="Times New Roman" w:hAnsi="Times New Roman" w:cs="Times New Roman"/>
        </w:rPr>
        <w:t>d</w:t>
      </w:r>
      <w:r>
        <w:rPr>
          <w:rFonts w:ascii="Times New Roman" w:eastAsia="Times New Roman" w:hAnsi="Times New Roman" w:cs="Times New Roman"/>
        </w:rPr>
        <w:t>, th</w:t>
      </w:r>
      <w:r w:rsidR="00FC2619">
        <w:rPr>
          <w:rFonts w:ascii="Times New Roman" w:eastAsia="Times New Roman" w:hAnsi="Times New Roman" w:cs="Times New Roman"/>
        </w:rPr>
        <w:t>e 2019-2023 time period</w:t>
      </w:r>
      <w:r>
        <w:rPr>
          <w:rFonts w:ascii="Times New Roman" w:eastAsia="Times New Roman" w:hAnsi="Times New Roman" w:cs="Times New Roman"/>
        </w:rPr>
        <w:t xml:space="preserve"> captures at least 3 full years of pos</w:t>
      </w:r>
      <w:r w:rsidR="00031628">
        <w:rPr>
          <w:rFonts w:ascii="Times New Roman" w:eastAsia="Times New Roman" w:hAnsi="Times New Roman" w:cs="Times New Roman"/>
        </w:rPr>
        <w:t>t</w:t>
      </w:r>
      <w:r>
        <w:rPr>
          <w:rFonts w:ascii="Times New Roman" w:eastAsia="Times New Roman" w:hAnsi="Times New Roman" w:cs="Times New Roman"/>
        </w:rPr>
        <w:t>-OZ implementation data</w:t>
      </w:r>
      <w:r w:rsidR="00E84C62">
        <w:rPr>
          <w:rFonts w:ascii="Times New Roman" w:eastAsia="Times New Roman" w:hAnsi="Times New Roman" w:cs="Times New Roman"/>
        </w:rPr>
        <w:t xml:space="preserve">. </w:t>
      </w:r>
      <w:r>
        <w:rPr>
          <w:rFonts w:ascii="Times New Roman" w:eastAsia="Times New Roman" w:hAnsi="Times New Roman" w:cs="Times New Roman"/>
        </w:rPr>
        <w:t>The OZ tract information was captured from the Department of Housing and Urban Development</w:t>
      </w:r>
      <w:r w:rsidR="00CE1506">
        <w:rPr>
          <w:rFonts w:ascii="Times New Roman" w:eastAsia="Times New Roman" w:hAnsi="Times New Roman" w:cs="Times New Roman"/>
        </w:rPr>
        <w:t xml:space="preserve"> (2023).</w:t>
      </w:r>
      <w:r w:rsidR="00AB42AD">
        <w:rPr>
          <w:rFonts w:ascii="Times New Roman" w:eastAsia="Times New Roman" w:hAnsi="Times New Roman" w:cs="Times New Roman"/>
        </w:rPr>
        <w:t xml:space="preserve"> The two datasets were merged </w:t>
      </w:r>
      <w:r>
        <w:rPr>
          <w:rFonts w:ascii="Times New Roman" w:eastAsia="Times New Roman" w:hAnsi="Times New Roman" w:cs="Times New Roman"/>
        </w:rPr>
        <w:t>together</w:t>
      </w:r>
      <w:r w:rsidR="00AB42AD">
        <w:rPr>
          <w:rFonts w:ascii="Times New Roman" w:eastAsia="Times New Roman" w:hAnsi="Times New Roman" w:cs="Times New Roman"/>
        </w:rPr>
        <w:t xml:space="preserve"> by</w:t>
      </w:r>
      <w:r w:rsidR="00B70319">
        <w:rPr>
          <w:rFonts w:ascii="Times New Roman" w:eastAsia="Times New Roman" w:hAnsi="Times New Roman" w:cs="Times New Roman"/>
        </w:rPr>
        <w:t xml:space="preserve"> their census tract’s</w:t>
      </w:r>
      <w:r w:rsidR="00AB42AD">
        <w:rPr>
          <w:rFonts w:ascii="Times New Roman" w:eastAsia="Times New Roman" w:hAnsi="Times New Roman" w:cs="Times New Roman"/>
        </w:rPr>
        <w:t xml:space="preserve"> unique GEOID</w:t>
      </w:r>
      <w:r w:rsidR="00B70319">
        <w:rPr>
          <w:rFonts w:ascii="Times New Roman" w:eastAsia="Times New Roman" w:hAnsi="Times New Roman" w:cs="Times New Roman"/>
        </w:rPr>
        <w:t>. In the OZ column,</w:t>
      </w:r>
      <w:r>
        <w:rPr>
          <w:rFonts w:ascii="Times New Roman" w:eastAsia="Times New Roman" w:hAnsi="Times New Roman" w:cs="Times New Roman"/>
        </w:rPr>
        <w:t xml:space="preserve"> 1 represent</w:t>
      </w:r>
      <w:r w:rsidR="00B70319">
        <w:rPr>
          <w:rFonts w:ascii="Times New Roman" w:eastAsia="Times New Roman" w:hAnsi="Times New Roman" w:cs="Times New Roman"/>
        </w:rPr>
        <w:t>s</w:t>
      </w:r>
      <w:r>
        <w:rPr>
          <w:rFonts w:ascii="Times New Roman" w:eastAsia="Times New Roman" w:hAnsi="Times New Roman" w:cs="Times New Roman"/>
        </w:rPr>
        <w:t xml:space="preserve"> tracts that are designated OZs and 0 represent</w:t>
      </w:r>
      <w:r w:rsidR="00B70319">
        <w:rPr>
          <w:rFonts w:ascii="Times New Roman" w:eastAsia="Times New Roman" w:hAnsi="Times New Roman" w:cs="Times New Roman"/>
        </w:rPr>
        <w:t>s</w:t>
      </w:r>
      <w:r>
        <w:rPr>
          <w:rFonts w:ascii="Times New Roman" w:eastAsia="Times New Roman" w:hAnsi="Times New Roman" w:cs="Times New Roman"/>
        </w:rPr>
        <w:t xml:space="preserve"> non-OZ tracts.</w:t>
      </w:r>
    </w:p>
    <w:p w14:paraId="493B0EF8" w14:textId="62DA38B5" w:rsidR="004F7A17" w:rsidRDefault="004F7A17" w:rsidP="004F7A17">
      <w:pPr>
        <w:pStyle w:val="Heading2"/>
        <w:rPr>
          <w:rFonts w:eastAsia="Times New Roman"/>
        </w:rPr>
      </w:pPr>
      <w:bookmarkStart w:id="13" w:name="_Toc197889226"/>
      <w:r>
        <w:rPr>
          <w:rFonts w:eastAsia="Times New Roman"/>
        </w:rPr>
        <w:t>5.1 Software</w:t>
      </w:r>
      <w:bookmarkEnd w:id="13"/>
    </w:p>
    <w:p w14:paraId="43366728" w14:textId="5F07F8AA" w:rsidR="00BA0238" w:rsidRDefault="00BA0238" w:rsidP="00C35BFD">
      <w:pPr>
        <w:spacing w:line="480" w:lineRule="auto"/>
        <w:rPr>
          <w:rFonts w:ascii="Times New Roman" w:eastAsia="Times New Roman" w:hAnsi="Times New Roman" w:cs="Times New Roman"/>
        </w:rPr>
      </w:pPr>
      <w:r>
        <w:rPr>
          <w:rFonts w:ascii="Times New Roman" w:eastAsia="Times New Roman" w:hAnsi="Times New Roman" w:cs="Times New Roman"/>
        </w:rPr>
        <w:t xml:space="preserve">All analyses were conducted in R version 4.4.1 (R Core Team 2024) using the following packages: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(Wickham et al. 2019)</w:t>
      </w:r>
      <w:r w:rsidR="0048143E">
        <w:rPr>
          <w:rFonts w:ascii="Times New Roman" w:eastAsia="Times New Roman" w:hAnsi="Times New Roman" w:cs="Times New Roman"/>
        </w:rPr>
        <w:t xml:space="preserve"> for data wrangling and plotting</w:t>
      </w:r>
      <w:r w:rsidR="00B77B4E">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tidycensus</w:t>
      </w:r>
      <w:proofErr w:type="spellEnd"/>
      <w:r>
        <w:rPr>
          <w:rFonts w:ascii="Times New Roman" w:eastAsia="Times New Roman" w:hAnsi="Times New Roman" w:cs="Times New Roman"/>
        </w:rPr>
        <w:t xml:space="preserve"> (Walker</w:t>
      </w:r>
      <w:r w:rsidR="00B77B4E">
        <w:rPr>
          <w:rFonts w:ascii="Times New Roman" w:eastAsia="Times New Roman" w:hAnsi="Times New Roman" w:cs="Times New Roman"/>
        </w:rPr>
        <w:t xml:space="preserve"> and Herman</w:t>
      </w:r>
      <w:r>
        <w:rPr>
          <w:rFonts w:ascii="Times New Roman" w:eastAsia="Times New Roman" w:hAnsi="Times New Roman" w:cs="Times New Roman"/>
        </w:rPr>
        <w:t xml:space="preserve"> 2024)</w:t>
      </w:r>
      <w:r w:rsidR="0048143E">
        <w:rPr>
          <w:rFonts w:ascii="Times New Roman" w:eastAsia="Times New Roman" w:hAnsi="Times New Roman" w:cs="Times New Roman"/>
        </w:rPr>
        <w:t xml:space="preserve"> for retrieving ACS data</w:t>
      </w:r>
      <w:r w:rsidR="0027379B">
        <w:rPr>
          <w:rFonts w:ascii="Times New Roman" w:eastAsia="Times New Roman" w:hAnsi="Times New Roman" w:cs="Times New Roman"/>
        </w:rPr>
        <w:t>;</w:t>
      </w:r>
      <w:r>
        <w:rPr>
          <w:rFonts w:ascii="Times New Roman" w:eastAsia="Times New Roman" w:hAnsi="Times New Roman" w:cs="Times New Roman"/>
        </w:rPr>
        <w:t xml:space="preserve"> scales (Wickham et al. 2023)</w:t>
      </w:r>
      <w:r w:rsidR="0048143E">
        <w:rPr>
          <w:rFonts w:ascii="Times New Roman" w:eastAsia="Times New Roman" w:hAnsi="Times New Roman" w:cs="Times New Roman"/>
        </w:rPr>
        <w:t xml:space="preserve"> for axis plot </w:t>
      </w:r>
      <w:r w:rsidR="0048143E">
        <w:rPr>
          <w:rFonts w:ascii="Times New Roman" w:eastAsia="Times New Roman" w:hAnsi="Times New Roman" w:cs="Times New Roman"/>
        </w:rPr>
        <w:lastRenderedPageBreak/>
        <w:t>formatting</w:t>
      </w:r>
      <w:r w:rsidR="0027379B">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kableExtra</w:t>
      </w:r>
      <w:proofErr w:type="spellEnd"/>
      <w:r>
        <w:rPr>
          <w:rFonts w:ascii="Times New Roman" w:eastAsia="Times New Roman" w:hAnsi="Times New Roman" w:cs="Times New Roman"/>
        </w:rPr>
        <w:t xml:space="preserve"> (Zhu 2024)</w:t>
      </w:r>
      <w:r w:rsidR="0048143E">
        <w:rPr>
          <w:rFonts w:ascii="Times New Roman" w:eastAsia="Times New Roman" w:hAnsi="Times New Roman" w:cs="Times New Roman"/>
        </w:rPr>
        <w:t xml:space="preserve"> for table formatting</w:t>
      </w:r>
      <w:r w:rsidR="0027379B">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quantreg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Koenker</w:t>
      </w:r>
      <w:proofErr w:type="spellEnd"/>
      <w:r>
        <w:rPr>
          <w:rFonts w:ascii="Times New Roman" w:eastAsia="Times New Roman" w:hAnsi="Times New Roman" w:cs="Times New Roman"/>
        </w:rPr>
        <w:t xml:space="preserve"> 2025)</w:t>
      </w:r>
      <w:r w:rsidR="0048143E">
        <w:rPr>
          <w:rFonts w:ascii="Times New Roman" w:eastAsia="Times New Roman" w:hAnsi="Times New Roman" w:cs="Times New Roman"/>
        </w:rPr>
        <w:t xml:space="preserve"> for</w:t>
      </w:r>
      <w:r w:rsidR="0027379B">
        <w:rPr>
          <w:rFonts w:ascii="Times New Roman" w:eastAsia="Times New Roman" w:hAnsi="Times New Roman" w:cs="Times New Roman"/>
        </w:rPr>
        <w:t xml:space="preserve"> </w:t>
      </w:r>
      <w:r w:rsidR="0048143E">
        <w:rPr>
          <w:rFonts w:ascii="Times New Roman" w:eastAsia="Times New Roman" w:hAnsi="Times New Roman" w:cs="Times New Roman"/>
        </w:rPr>
        <w:t>quantile regression modeling</w:t>
      </w:r>
      <w:r w:rsidR="0027379B">
        <w:rPr>
          <w:rFonts w:ascii="Times New Roman" w:eastAsia="Times New Roman" w:hAnsi="Times New Roman" w:cs="Times New Roman"/>
        </w:rPr>
        <w:t>;</w:t>
      </w:r>
      <w:r>
        <w:rPr>
          <w:rFonts w:ascii="Times New Roman" w:eastAsia="Times New Roman" w:hAnsi="Times New Roman" w:cs="Times New Roman"/>
        </w:rPr>
        <w:t xml:space="preserve"> and stargazer (Hlavac 2022)</w:t>
      </w:r>
      <w:r w:rsidR="0048143E">
        <w:rPr>
          <w:rFonts w:ascii="Times New Roman" w:eastAsia="Times New Roman" w:hAnsi="Times New Roman" w:cs="Times New Roman"/>
        </w:rPr>
        <w:t xml:space="preserve"> for creating the regression tables</w:t>
      </w:r>
      <w:r>
        <w:rPr>
          <w:rFonts w:ascii="Times New Roman" w:eastAsia="Times New Roman" w:hAnsi="Times New Roman" w:cs="Times New Roman"/>
        </w:rPr>
        <w:t>.</w:t>
      </w:r>
    </w:p>
    <w:p w14:paraId="231A2098" w14:textId="0741E1E9" w:rsidR="006F3159" w:rsidRPr="006F3159" w:rsidRDefault="006E0294" w:rsidP="008F4705">
      <w:pPr>
        <w:pStyle w:val="Heading2"/>
      </w:pPr>
      <w:bookmarkStart w:id="14" w:name="_Toc197889227"/>
      <w:r w:rsidRPr="00900FAD">
        <w:rPr>
          <w:rFonts w:eastAsia="Times New Roman"/>
        </w:rPr>
        <w:t>5.</w:t>
      </w:r>
      <w:r w:rsidR="004F7A17">
        <w:rPr>
          <w:rFonts w:eastAsia="Times New Roman"/>
        </w:rPr>
        <w:t>2</w:t>
      </w:r>
      <w:r w:rsidRPr="00900FAD">
        <w:rPr>
          <w:rFonts w:eastAsia="Times New Roman"/>
        </w:rPr>
        <w:t xml:space="preserve"> Covariates</w:t>
      </w:r>
      <w:bookmarkEnd w:id="14"/>
    </w:p>
    <w:p w14:paraId="00000030" w14:textId="0E859B8A" w:rsidR="008F49C7" w:rsidRDefault="00DB0DFD">
      <w:pPr>
        <w:spacing w:line="480" w:lineRule="auto"/>
        <w:rPr>
          <w:rFonts w:ascii="Times New Roman" w:eastAsia="Times New Roman" w:hAnsi="Times New Roman" w:cs="Times New Roman"/>
        </w:rPr>
      </w:pPr>
      <w:r>
        <w:rPr>
          <w:rFonts w:ascii="Times New Roman" w:eastAsia="Times New Roman" w:hAnsi="Times New Roman" w:cs="Times New Roman"/>
        </w:rPr>
        <w:t xml:space="preserve"> Based on prior literature, the analysis includes socio-economic control variables for racial and ethnic identity (percent white, black, Asian, and Hispanic), educational attainment (percent of adults with a high school diploma, bachelor’s, or master’s degree), home ownership (percent renter and owner-occupied houses), and the disability rate status.</w:t>
      </w:r>
      <w:r w:rsidR="0073549E">
        <w:rPr>
          <w:rFonts w:ascii="Times New Roman" w:eastAsia="Times New Roman" w:hAnsi="Times New Roman" w:cs="Times New Roman"/>
        </w:rPr>
        <w:t xml:space="preserve"> Due to perfect collinearity constraints, the model</w:t>
      </w:r>
      <w:r w:rsidR="000A1699">
        <w:rPr>
          <w:rFonts w:ascii="Times New Roman" w:eastAsia="Times New Roman" w:hAnsi="Times New Roman" w:cs="Times New Roman"/>
        </w:rPr>
        <w:t>s</w:t>
      </w:r>
      <w:r w:rsidR="0073549E">
        <w:rPr>
          <w:rFonts w:ascii="Times New Roman" w:eastAsia="Times New Roman" w:hAnsi="Times New Roman" w:cs="Times New Roman"/>
        </w:rPr>
        <w:t xml:space="preserve"> omitted the rent-occupied homes covariate. However, the statistical significance of rent-occupied homes would remain unchanged, since it’s the</w:t>
      </w:r>
      <w:r w:rsidR="000A1699">
        <w:rPr>
          <w:rFonts w:ascii="Times New Roman" w:eastAsia="Times New Roman" w:hAnsi="Times New Roman" w:cs="Times New Roman"/>
        </w:rPr>
        <w:t xml:space="preserve"> same statistical effect as</w:t>
      </w:r>
      <w:r w:rsidR="0073549E">
        <w:rPr>
          <w:rFonts w:ascii="Times New Roman" w:eastAsia="Times New Roman" w:hAnsi="Times New Roman" w:cs="Times New Roman"/>
        </w:rPr>
        <w:t xml:space="preserve"> owner-occupied homes</w:t>
      </w:r>
      <w:r w:rsidR="000A1699">
        <w:rPr>
          <w:rFonts w:ascii="Times New Roman" w:eastAsia="Times New Roman" w:hAnsi="Times New Roman" w:cs="Times New Roman"/>
        </w:rPr>
        <w:t xml:space="preserve"> in the opposite direction</w:t>
      </w:r>
      <w:r w:rsidR="00436D40">
        <w:rPr>
          <w:rFonts w:ascii="Times New Roman" w:eastAsia="Times New Roman" w:hAnsi="Times New Roman" w:cs="Times New Roman"/>
        </w:rPr>
        <w:t xml:space="preserve">. </w:t>
      </w:r>
      <w:r w:rsidR="00B52259" w:rsidRPr="00B52259">
        <w:rPr>
          <w:rFonts w:ascii="Times New Roman" w:eastAsia="Times New Roman" w:hAnsi="Times New Roman" w:cs="Times New Roman"/>
        </w:rPr>
        <w:t xml:space="preserve">These variables are consistent with those used in prior </w:t>
      </w:r>
      <w:r w:rsidR="00C339A6">
        <w:rPr>
          <w:rFonts w:ascii="Times New Roman" w:eastAsia="Times New Roman" w:hAnsi="Times New Roman" w:cs="Times New Roman"/>
        </w:rPr>
        <w:t xml:space="preserve">OZ </w:t>
      </w:r>
      <w:r w:rsidR="00B52259" w:rsidRPr="00B52259">
        <w:rPr>
          <w:rFonts w:ascii="Times New Roman" w:eastAsia="Times New Roman" w:hAnsi="Times New Roman" w:cs="Times New Roman"/>
        </w:rPr>
        <w:t xml:space="preserve">literature, including </w:t>
      </w:r>
      <w:proofErr w:type="spellStart"/>
      <w:r w:rsidR="00B52259" w:rsidRPr="00B52259">
        <w:rPr>
          <w:rFonts w:ascii="Times New Roman" w:eastAsia="Times New Roman" w:hAnsi="Times New Roman" w:cs="Times New Roman"/>
        </w:rPr>
        <w:t>Arefeva</w:t>
      </w:r>
      <w:proofErr w:type="spellEnd"/>
      <w:r w:rsidR="00B52259" w:rsidRPr="00B52259">
        <w:rPr>
          <w:rFonts w:ascii="Times New Roman" w:eastAsia="Times New Roman" w:hAnsi="Times New Roman" w:cs="Times New Roman"/>
        </w:rPr>
        <w:t xml:space="preserve"> et al. (2024) and Freedman et al. (2021), and help control for socio-economic conditions that may influence tract-level outcomes.</w:t>
      </w:r>
      <w:r w:rsidR="00481455">
        <w:rPr>
          <w:rFonts w:ascii="Times New Roman" w:eastAsia="Times New Roman" w:hAnsi="Times New Roman" w:cs="Times New Roman"/>
        </w:rPr>
        <w:t xml:space="preserve"> </w:t>
      </w:r>
      <w:r w:rsidR="00B52259" w:rsidRPr="00B52259">
        <w:rPr>
          <w:rFonts w:ascii="Times New Roman" w:eastAsia="Times New Roman" w:hAnsi="Times New Roman" w:cs="Times New Roman"/>
        </w:rPr>
        <w:t>While the disability</w:t>
      </w:r>
      <w:r w:rsidR="003E7377">
        <w:rPr>
          <w:rFonts w:ascii="Times New Roman" w:eastAsia="Times New Roman" w:hAnsi="Times New Roman" w:cs="Times New Roman"/>
        </w:rPr>
        <w:t xml:space="preserve"> status</w:t>
      </w:r>
      <w:r w:rsidR="00B52259" w:rsidRPr="00B52259">
        <w:rPr>
          <w:rFonts w:ascii="Times New Roman" w:eastAsia="Times New Roman" w:hAnsi="Times New Roman" w:cs="Times New Roman"/>
        </w:rPr>
        <w:t xml:space="preserve"> variable was not included in these previous studies, it was incorporated here to account for potential economic disadvantages associated with higher proportions of disabled residents </w:t>
      </w:r>
      <w:r w:rsidR="00444A44">
        <w:rPr>
          <w:rFonts w:ascii="Times New Roman" w:eastAsia="Times New Roman" w:hAnsi="Times New Roman" w:cs="Times New Roman"/>
        </w:rPr>
        <w:t>within</w:t>
      </w:r>
      <w:r w:rsidR="00B52259" w:rsidRPr="00B52259">
        <w:rPr>
          <w:rFonts w:ascii="Times New Roman" w:eastAsia="Times New Roman" w:hAnsi="Times New Roman" w:cs="Times New Roman"/>
        </w:rPr>
        <w:t xml:space="preserve"> a tract.</w:t>
      </w:r>
      <w:r w:rsidR="00A46E78">
        <w:rPr>
          <w:rFonts w:ascii="Times New Roman" w:eastAsia="Times New Roman" w:hAnsi="Times New Roman" w:cs="Times New Roman"/>
        </w:rPr>
        <w:t xml:space="preserve"> To create the interaction term needed for </w:t>
      </w:r>
      <w:r w:rsidR="003E41BD">
        <w:rPr>
          <w:rFonts w:ascii="Times New Roman" w:eastAsia="Times New Roman" w:hAnsi="Times New Roman" w:cs="Times New Roman"/>
        </w:rPr>
        <w:t>the</w:t>
      </w:r>
      <w:r w:rsidR="00A46E78">
        <w:rPr>
          <w:rFonts w:ascii="Times New Roman" w:eastAsia="Times New Roman" w:hAnsi="Times New Roman" w:cs="Times New Roman"/>
        </w:rPr>
        <w:t xml:space="preserve"> </w:t>
      </w:r>
      <w:proofErr w:type="spellStart"/>
      <w:r w:rsidR="00A46E78">
        <w:rPr>
          <w:rFonts w:ascii="Times New Roman" w:eastAsia="Times New Roman" w:hAnsi="Times New Roman" w:cs="Times New Roman"/>
        </w:rPr>
        <w:t>DiD</w:t>
      </w:r>
      <w:proofErr w:type="spellEnd"/>
      <w:r w:rsidR="00A46E78">
        <w:rPr>
          <w:rFonts w:ascii="Times New Roman" w:eastAsia="Times New Roman" w:hAnsi="Times New Roman" w:cs="Times New Roman"/>
        </w:rPr>
        <w:t xml:space="preserve"> analysis,</w:t>
      </w:r>
      <w:r w:rsidR="008F1C47">
        <w:rPr>
          <w:rFonts w:ascii="Times New Roman" w:eastAsia="Times New Roman" w:hAnsi="Times New Roman" w:cs="Times New Roman"/>
        </w:rPr>
        <w:t xml:space="preserve"> a binary</w:t>
      </w:r>
      <w:r w:rsidR="00A46E78">
        <w:rPr>
          <w:rFonts w:ascii="Times New Roman" w:eastAsia="Times New Roman" w:hAnsi="Times New Roman" w:cs="Times New Roman"/>
        </w:rPr>
        <w:t xml:space="preserve"> variable</w:t>
      </w:r>
      <w:r w:rsidR="009C12F8">
        <w:rPr>
          <w:rFonts w:ascii="Times New Roman" w:eastAsia="Times New Roman" w:hAnsi="Times New Roman" w:cs="Times New Roman"/>
        </w:rPr>
        <w:t xml:space="preserve"> called ‘Post’</w:t>
      </w:r>
      <w:r w:rsidR="008F1C47">
        <w:rPr>
          <w:rFonts w:ascii="Times New Roman" w:eastAsia="Times New Roman" w:hAnsi="Times New Roman" w:cs="Times New Roman"/>
        </w:rPr>
        <w:t xml:space="preserve"> was constructed to</w:t>
      </w:r>
      <w:r w:rsidR="00A46E78">
        <w:rPr>
          <w:rFonts w:ascii="Times New Roman" w:eastAsia="Times New Roman" w:hAnsi="Times New Roman" w:cs="Times New Roman"/>
        </w:rPr>
        <w:t xml:space="preserve"> represent the post-implementation period of 201</w:t>
      </w:r>
      <w:r w:rsidR="008F1C47">
        <w:rPr>
          <w:rFonts w:ascii="Times New Roman" w:eastAsia="Times New Roman" w:hAnsi="Times New Roman" w:cs="Times New Roman"/>
        </w:rPr>
        <w:t>9</w:t>
      </w:r>
      <w:r w:rsidR="00A46E78">
        <w:rPr>
          <w:rFonts w:ascii="Times New Roman" w:eastAsia="Times New Roman" w:hAnsi="Times New Roman" w:cs="Times New Roman"/>
        </w:rPr>
        <w:t xml:space="preserve">-2023. </w:t>
      </w:r>
    </w:p>
    <w:p w14:paraId="5A5EB1FE" w14:textId="415AE96D" w:rsidR="006F3159" w:rsidRPr="006F3159" w:rsidRDefault="00546637" w:rsidP="008F4705">
      <w:pPr>
        <w:pStyle w:val="Heading2"/>
      </w:pPr>
      <w:bookmarkStart w:id="15" w:name="_Toc197889228"/>
      <w:r w:rsidRPr="00900FAD">
        <w:rPr>
          <w:rFonts w:eastAsia="Times New Roman"/>
        </w:rPr>
        <w:t>5.</w:t>
      </w:r>
      <w:r w:rsidR="004F7A17">
        <w:rPr>
          <w:rFonts w:eastAsia="Times New Roman"/>
        </w:rPr>
        <w:t>3</w:t>
      </w:r>
      <w:r w:rsidRPr="00900FAD">
        <w:rPr>
          <w:rFonts w:eastAsia="Times New Roman"/>
        </w:rPr>
        <w:t xml:space="preserve"> Economic Well-being Index DV</w:t>
      </w:r>
      <w:bookmarkEnd w:id="15"/>
    </w:p>
    <w:p w14:paraId="602A3906" w14:textId="6D4CF725" w:rsidR="007F4742" w:rsidRDefault="007F4742" w:rsidP="007F4742">
      <w:pPr>
        <w:spacing w:line="480" w:lineRule="auto"/>
        <w:rPr>
          <w:rFonts w:ascii="Times New Roman" w:eastAsia="Times New Roman" w:hAnsi="Times New Roman" w:cs="Times New Roman"/>
        </w:rPr>
      </w:pPr>
      <w:r>
        <w:rPr>
          <w:rFonts w:ascii="Times New Roman" w:eastAsia="Times New Roman" w:hAnsi="Times New Roman" w:cs="Times New Roman"/>
        </w:rPr>
        <w:t xml:space="preserve">As discussed previously, the dependent variable is an index variable comprised of 4 sub-variables (median income, employment, median rent, and median mortgage) on a ranking scale of 0 – 100 with 0 representing the lowest economic well-being score and 100 the highest. </w:t>
      </w:r>
      <w:r w:rsidRPr="00AB6AC3">
        <w:rPr>
          <w:rFonts w:ascii="Times New Roman" w:eastAsia="Times New Roman" w:hAnsi="Times New Roman" w:cs="Times New Roman"/>
        </w:rPr>
        <w:t>To construct the</w:t>
      </w:r>
      <w:r>
        <w:rPr>
          <w:rFonts w:ascii="Times New Roman" w:eastAsia="Times New Roman" w:hAnsi="Times New Roman" w:cs="Times New Roman"/>
        </w:rPr>
        <w:t xml:space="preserve"> </w:t>
      </w:r>
      <w:r w:rsidRPr="00AB6AC3">
        <w:rPr>
          <w:rFonts w:ascii="Times New Roman" w:eastAsia="Times New Roman" w:hAnsi="Times New Roman" w:cs="Times New Roman"/>
        </w:rPr>
        <w:t>DV index, a correlation matrix was used to determine the appropriate weight for each sub-variable.</w:t>
      </w:r>
      <w:r w:rsidR="00F02C6A">
        <w:rPr>
          <w:rFonts w:ascii="Times New Roman" w:eastAsia="Times New Roman" w:hAnsi="Times New Roman" w:cs="Times New Roman"/>
        </w:rPr>
        <w:t xml:space="preserve"> Based on the correlation-matrix,</w:t>
      </w:r>
      <w:r w:rsidR="00331B79">
        <w:rPr>
          <w:rFonts w:ascii="Times New Roman" w:eastAsia="Times New Roman" w:hAnsi="Times New Roman" w:cs="Times New Roman"/>
        </w:rPr>
        <w:t xml:space="preserve"> </w:t>
      </w:r>
      <w:r w:rsidR="00F02C6A" w:rsidRPr="001138B1">
        <w:rPr>
          <w:rFonts w:ascii="Times New Roman" w:eastAsia="Times New Roman" w:hAnsi="Times New Roman" w:cs="Times New Roman"/>
        </w:rPr>
        <w:t>m</w:t>
      </w:r>
      <w:r w:rsidR="00331B79" w:rsidRPr="001138B1">
        <w:rPr>
          <w:rFonts w:ascii="Times New Roman" w:eastAsia="Times New Roman" w:hAnsi="Times New Roman" w:cs="Times New Roman"/>
        </w:rPr>
        <w:t xml:space="preserve">edian rent, median mortgage, and median </w:t>
      </w:r>
      <w:r w:rsidR="00331B79" w:rsidRPr="001138B1">
        <w:rPr>
          <w:rFonts w:ascii="Times New Roman" w:eastAsia="Times New Roman" w:hAnsi="Times New Roman" w:cs="Times New Roman"/>
        </w:rPr>
        <w:lastRenderedPageBreak/>
        <w:t>income</w:t>
      </w:r>
      <w:r w:rsidR="00F02C6A" w:rsidRPr="001138B1">
        <w:rPr>
          <w:rFonts w:ascii="Times New Roman" w:eastAsia="Times New Roman" w:hAnsi="Times New Roman" w:cs="Times New Roman"/>
        </w:rPr>
        <w:t xml:space="preserve"> each carried</w:t>
      </w:r>
      <w:r w:rsidR="00331B79" w:rsidRPr="001138B1">
        <w:rPr>
          <w:rFonts w:ascii="Times New Roman" w:eastAsia="Times New Roman" w:hAnsi="Times New Roman" w:cs="Times New Roman"/>
        </w:rPr>
        <w:t xml:space="preserve"> weight</w:t>
      </w:r>
      <w:r w:rsidR="00F02C6A" w:rsidRPr="001138B1">
        <w:rPr>
          <w:rFonts w:ascii="Times New Roman" w:eastAsia="Times New Roman" w:hAnsi="Times New Roman" w:cs="Times New Roman"/>
        </w:rPr>
        <w:t>s of</w:t>
      </w:r>
      <w:r w:rsidR="00331B79" w:rsidRPr="001138B1">
        <w:rPr>
          <w:rFonts w:ascii="Times New Roman" w:eastAsia="Times New Roman" w:hAnsi="Times New Roman" w:cs="Times New Roman"/>
        </w:rPr>
        <w:t xml:space="preserve"> .28-.29</w:t>
      </w:r>
      <w:r w:rsidR="00F02C6A" w:rsidRPr="001138B1">
        <w:rPr>
          <w:rFonts w:ascii="Times New Roman" w:eastAsia="Times New Roman" w:hAnsi="Times New Roman" w:cs="Times New Roman"/>
        </w:rPr>
        <w:t>,</w:t>
      </w:r>
      <w:r w:rsidR="00331B79" w:rsidRPr="001138B1">
        <w:rPr>
          <w:rFonts w:ascii="Times New Roman" w:eastAsia="Times New Roman" w:hAnsi="Times New Roman" w:cs="Times New Roman"/>
        </w:rPr>
        <w:t xml:space="preserve"> </w:t>
      </w:r>
      <w:r w:rsidR="00F02C6A" w:rsidRPr="001138B1">
        <w:rPr>
          <w:rFonts w:ascii="Times New Roman" w:eastAsia="Times New Roman" w:hAnsi="Times New Roman" w:cs="Times New Roman"/>
        </w:rPr>
        <w:t>whereas</w:t>
      </w:r>
      <w:r w:rsidR="00331B79" w:rsidRPr="001138B1">
        <w:rPr>
          <w:rFonts w:ascii="Times New Roman" w:eastAsia="Times New Roman" w:hAnsi="Times New Roman" w:cs="Times New Roman"/>
        </w:rPr>
        <w:t xml:space="preserve"> employment</w:t>
      </w:r>
      <w:r w:rsidR="00F02C6A" w:rsidRPr="001138B1">
        <w:rPr>
          <w:rFonts w:ascii="Times New Roman" w:eastAsia="Times New Roman" w:hAnsi="Times New Roman" w:cs="Times New Roman"/>
        </w:rPr>
        <w:t>’s</w:t>
      </w:r>
      <w:r w:rsidR="00331B79" w:rsidRPr="001138B1">
        <w:rPr>
          <w:rFonts w:ascii="Times New Roman" w:eastAsia="Times New Roman" w:hAnsi="Times New Roman" w:cs="Times New Roman"/>
        </w:rPr>
        <w:t xml:space="preserve"> weight was only .135.</w:t>
      </w:r>
      <w:r w:rsidRPr="00AB6AC3">
        <w:rPr>
          <w:rFonts w:ascii="Times New Roman" w:eastAsia="Times New Roman" w:hAnsi="Times New Roman" w:cs="Times New Roman"/>
        </w:rPr>
        <w:t xml:space="preserve"> All sub-variables were normalized to a 0–100 scale to enhance interpretability. Median rent and mortgage values were annualized by multiplying them by twelve, and median income values for the pre-OZ period (2014–2018) were adjusted to 2023 dollars using the Consumer Price Index (CPI), calculated by dividing the 2023 CPI average by the 2018 average. A penalty was applied to the rent and mortgage sub-variables for tracts where the median income-to-housing cost ratio exceeded 30%, in alignment with the U.S. Department of Housing and Urban Development'</w:t>
      </w:r>
      <w:r>
        <w:rPr>
          <w:rFonts w:ascii="Times New Roman" w:eastAsia="Times New Roman" w:hAnsi="Times New Roman" w:cs="Times New Roman"/>
        </w:rPr>
        <w:t>s</w:t>
      </w:r>
      <w:r w:rsidRPr="00AB6AC3">
        <w:rPr>
          <w:rFonts w:ascii="Times New Roman" w:eastAsia="Times New Roman" w:hAnsi="Times New Roman" w:cs="Times New Roman"/>
        </w:rPr>
        <w:t xml:space="preserve"> definition of affordable housing.</w:t>
      </w:r>
      <w:r w:rsidR="00331B79">
        <w:rPr>
          <w:rFonts w:ascii="Times New Roman" w:eastAsia="Times New Roman" w:hAnsi="Times New Roman" w:cs="Times New Roman"/>
        </w:rPr>
        <w:t xml:space="preserve"> </w:t>
      </w:r>
      <w:r w:rsidR="00331B79" w:rsidRPr="001138B1">
        <w:rPr>
          <w:rFonts w:ascii="Times New Roman" w:eastAsia="Times New Roman" w:hAnsi="Times New Roman" w:cs="Times New Roman"/>
        </w:rPr>
        <w:t>The penalty was determined by multiplying</w:t>
      </w:r>
      <w:r w:rsidR="00F02C6A" w:rsidRPr="001138B1">
        <w:rPr>
          <w:rFonts w:ascii="Times New Roman" w:eastAsia="Times New Roman" w:hAnsi="Times New Roman" w:cs="Times New Roman"/>
        </w:rPr>
        <w:t xml:space="preserve"> the raw </w:t>
      </w:r>
      <w:r w:rsidR="00331B79" w:rsidRPr="001138B1">
        <w:rPr>
          <w:rFonts w:ascii="Times New Roman" w:eastAsia="Times New Roman" w:hAnsi="Times New Roman" w:cs="Times New Roman"/>
        </w:rPr>
        <w:t>rent/mortgage</w:t>
      </w:r>
      <w:r w:rsidR="00F02C6A" w:rsidRPr="001138B1">
        <w:rPr>
          <w:rFonts w:ascii="Times New Roman" w:eastAsia="Times New Roman" w:hAnsi="Times New Roman" w:cs="Times New Roman"/>
        </w:rPr>
        <w:t xml:space="preserve"> value by its own income-to housing cost ratio</w:t>
      </w:r>
      <w:r w:rsidR="00E37CED" w:rsidRPr="001138B1">
        <w:rPr>
          <w:rFonts w:ascii="Times New Roman" w:eastAsia="Times New Roman" w:hAnsi="Times New Roman" w:cs="Times New Roman"/>
        </w:rPr>
        <w:t>.</w:t>
      </w:r>
      <w:r w:rsidR="00E37CED">
        <w:rPr>
          <w:rFonts w:ascii="Times New Roman" w:eastAsia="Times New Roman" w:hAnsi="Times New Roman" w:cs="Times New Roman"/>
        </w:rPr>
        <w:t xml:space="preserve"> </w:t>
      </w:r>
      <w:r w:rsidRPr="00AB6AC3">
        <w:rPr>
          <w:rFonts w:ascii="Times New Roman" w:eastAsia="Times New Roman" w:hAnsi="Times New Roman" w:cs="Times New Roman"/>
        </w:rPr>
        <w:t>This adjustment was intended to better capture housing burden as a component of economic well-being.</w:t>
      </w:r>
    </w:p>
    <w:p w14:paraId="208AB932" w14:textId="0E73C5BC" w:rsidR="006F3159" w:rsidRPr="006F3159" w:rsidRDefault="00FB53D0" w:rsidP="008F4705">
      <w:pPr>
        <w:pStyle w:val="Heading2"/>
      </w:pPr>
      <w:bookmarkStart w:id="16" w:name="_Toc197889229"/>
      <w:r w:rsidRPr="00900FAD">
        <w:rPr>
          <w:rFonts w:eastAsia="Times New Roman"/>
        </w:rPr>
        <w:t>5.</w:t>
      </w:r>
      <w:r w:rsidR="004F7A17">
        <w:rPr>
          <w:rFonts w:eastAsia="Times New Roman"/>
        </w:rPr>
        <w:t>4</w:t>
      </w:r>
      <w:r w:rsidRPr="00900FAD">
        <w:rPr>
          <w:rFonts w:eastAsia="Times New Roman"/>
        </w:rPr>
        <w:t xml:space="preserve"> Modeling</w:t>
      </w:r>
      <w:bookmarkEnd w:id="16"/>
    </w:p>
    <w:p w14:paraId="77B7DED5" w14:textId="76557CED" w:rsidR="001B63AD" w:rsidRPr="00AB176E" w:rsidRDefault="007F4742" w:rsidP="00AB176E">
      <w:pPr>
        <w:spacing w:line="480" w:lineRule="auto"/>
        <w:rPr>
          <w:rFonts w:ascii="Times New Roman" w:eastAsia="Times New Roman" w:hAnsi="Times New Roman" w:cs="Times New Roman"/>
        </w:rPr>
      </w:pPr>
      <w:r>
        <w:rPr>
          <w:rFonts w:ascii="Times New Roman" w:eastAsia="Times New Roman" w:hAnsi="Times New Roman" w:cs="Times New Roman"/>
        </w:rPr>
        <w:t>This analysis consist</w:t>
      </w:r>
      <w:r w:rsidR="00D85B03">
        <w:rPr>
          <w:rFonts w:ascii="Times New Roman" w:eastAsia="Times New Roman" w:hAnsi="Times New Roman" w:cs="Times New Roman"/>
        </w:rPr>
        <w:t>s</w:t>
      </w:r>
      <w:r>
        <w:rPr>
          <w:rFonts w:ascii="Times New Roman" w:eastAsia="Times New Roman" w:hAnsi="Times New Roman" w:cs="Times New Roman"/>
        </w:rPr>
        <w:t xml:space="preserve"> of several</w:t>
      </w:r>
      <w:r w:rsidR="003E2C2C">
        <w:rPr>
          <w:rFonts w:ascii="Times New Roman" w:eastAsia="Times New Roman" w:hAnsi="Times New Roman" w:cs="Times New Roman"/>
        </w:rPr>
        <w:t xml:space="preserve"> IPW weighted</w:t>
      </w:r>
      <w:r>
        <w:rPr>
          <w:rFonts w:ascii="Times New Roman" w:eastAsia="Times New Roman" w:hAnsi="Times New Roman" w:cs="Times New Roman"/>
        </w:rPr>
        <w:t xml:space="preserve"> models</w:t>
      </w:r>
      <w:r w:rsidR="00400649">
        <w:rPr>
          <w:rFonts w:ascii="Times New Roman" w:eastAsia="Times New Roman" w:hAnsi="Times New Roman" w:cs="Times New Roman"/>
        </w:rPr>
        <w:t>, based on the work of Freedman et al. (2021)</w:t>
      </w:r>
      <w:r w:rsidR="00C31317">
        <w:rPr>
          <w:rFonts w:ascii="Times New Roman" w:eastAsia="Times New Roman" w:hAnsi="Times New Roman" w:cs="Times New Roman"/>
        </w:rPr>
        <w:t>.</w:t>
      </w:r>
      <w:r w:rsidR="00F94E41">
        <w:rPr>
          <w:rFonts w:ascii="Times New Roman" w:eastAsia="Times New Roman" w:hAnsi="Times New Roman" w:cs="Times New Roman"/>
        </w:rPr>
        <w:t xml:space="preserve"> IPW </w:t>
      </w:r>
      <w:r w:rsidR="002733FD">
        <w:rPr>
          <w:rFonts w:ascii="Times New Roman" w:eastAsia="Times New Roman" w:hAnsi="Times New Roman" w:cs="Times New Roman"/>
        </w:rPr>
        <w:t xml:space="preserve">helps address potential violations of the parallel </w:t>
      </w:r>
      <w:proofErr w:type="gramStart"/>
      <w:r w:rsidR="002733FD">
        <w:rPr>
          <w:rFonts w:ascii="Times New Roman" w:eastAsia="Times New Roman" w:hAnsi="Times New Roman" w:cs="Times New Roman"/>
        </w:rPr>
        <w:t>trends</w:t>
      </w:r>
      <w:proofErr w:type="gramEnd"/>
      <w:r w:rsidR="002733FD">
        <w:rPr>
          <w:rFonts w:ascii="Times New Roman" w:eastAsia="Times New Roman" w:hAnsi="Times New Roman" w:cs="Times New Roman"/>
        </w:rPr>
        <w:t xml:space="preserve"> assumption, given that OZ designations were made by state governors rather than assigned randomly.</w:t>
      </w:r>
      <w:r w:rsidR="003A060E">
        <w:rPr>
          <w:rFonts w:ascii="Times New Roman" w:eastAsia="Times New Roman" w:hAnsi="Times New Roman" w:cs="Times New Roman"/>
        </w:rPr>
        <w:t xml:space="preserve"> All models use the economic well-being index scaled 0-100.</w:t>
      </w:r>
      <w:r w:rsidR="001B63AD">
        <w:rPr>
          <w:rFonts w:ascii="Times New Roman" w:eastAsia="Times New Roman" w:hAnsi="Times New Roman" w:cs="Times New Roman"/>
        </w:rPr>
        <w:t xml:space="preserve"> Model 1 (OLS </w:t>
      </w:r>
      <w:proofErr w:type="spellStart"/>
      <w:r w:rsidR="001B63AD">
        <w:rPr>
          <w:rFonts w:ascii="Times New Roman" w:eastAsia="Times New Roman" w:hAnsi="Times New Roman" w:cs="Times New Roman"/>
        </w:rPr>
        <w:t>DiD</w:t>
      </w:r>
      <w:proofErr w:type="spellEnd"/>
      <w:r w:rsidR="001B63AD">
        <w:rPr>
          <w:rFonts w:ascii="Times New Roman" w:eastAsia="Times New Roman" w:hAnsi="Times New Roman" w:cs="Times New Roman"/>
        </w:rPr>
        <w:t>) captures the nation-wide change in economic well-being for OZ tracts in the post period, relative to non-OZ tracts. Models 2-4</w:t>
      </w:r>
      <w:r w:rsidR="00F94E41">
        <w:rPr>
          <w:rFonts w:ascii="Times New Roman" w:eastAsia="Times New Roman" w:hAnsi="Times New Roman" w:cs="Times New Roman"/>
        </w:rPr>
        <w:t xml:space="preserve"> (quantile regression)</w:t>
      </w:r>
      <w:r w:rsidR="001B63AD">
        <w:rPr>
          <w:rFonts w:ascii="Times New Roman" w:eastAsia="Times New Roman" w:hAnsi="Times New Roman" w:cs="Times New Roman"/>
        </w:rPr>
        <w:t xml:space="preserve"> capture the conditional economic well-being distribution at the 25</w:t>
      </w:r>
      <w:r w:rsidR="001B63AD" w:rsidRPr="001B63AD">
        <w:rPr>
          <w:rFonts w:ascii="Times New Roman" w:eastAsia="Times New Roman" w:hAnsi="Times New Roman" w:cs="Times New Roman"/>
          <w:vertAlign w:val="superscript"/>
        </w:rPr>
        <w:t>th</w:t>
      </w:r>
      <w:r w:rsidR="001B63AD">
        <w:rPr>
          <w:rFonts w:ascii="Times New Roman" w:eastAsia="Times New Roman" w:hAnsi="Times New Roman" w:cs="Times New Roman"/>
        </w:rPr>
        <w:t>, 50</w:t>
      </w:r>
      <w:r w:rsidR="001B63AD" w:rsidRPr="001B63AD">
        <w:rPr>
          <w:rFonts w:ascii="Times New Roman" w:eastAsia="Times New Roman" w:hAnsi="Times New Roman" w:cs="Times New Roman"/>
          <w:vertAlign w:val="superscript"/>
        </w:rPr>
        <w:t>th</w:t>
      </w:r>
      <w:r w:rsidR="001B63AD">
        <w:rPr>
          <w:rFonts w:ascii="Times New Roman" w:eastAsia="Times New Roman" w:hAnsi="Times New Roman" w:cs="Times New Roman"/>
        </w:rPr>
        <w:t>, and 75</w:t>
      </w:r>
      <w:r w:rsidR="001B63AD" w:rsidRPr="001B63AD">
        <w:rPr>
          <w:rFonts w:ascii="Times New Roman" w:eastAsia="Times New Roman" w:hAnsi="Times New Roman" w:cs="Times New Roman"/>
          <w:vertAlign w:val="superscript"/>
        </w:rPr>
        <w:t>th</w:t>
      </w:r>
      <w:r w:rsidR="001B63AD">
        <w:rPr>
          <w:rFonts w:ascii="Times New Roman" w:eastAsia="Times New Roman" w:hAnsi="Times New Roman" w:cs="Times New Roman"/>
        </w:rPr>
        <w:t xml:space="preserve"> percentiles to assess how and if the treatment effect varies (heterogeneity).</w:t>
      </w:r>
      <w:r w:rsidR="00C233F8">
        <w:rPr>
          <w:rFonts w:ascii="Times New Roman" w:eastAsia="Times New Roman" w:hAnsi="Times New Roman" w:cs="Times New Roman"/>
        </w:rPr>
        <w:t xml:space="preserve"> Model 5 provides a localized analysis of the Akron, OH metro area to help ground the nation-wide analysis.</w:t>
      </w:r>
      <w:r w:rsidR="00BC5918">
        <w:rPr>
          <w:rFonts w:ascii="Times New Roman" w:eastAsia="Times New Roman" w:hAnsi="Times New Roman" w:cs="Times New Roman"/>
        </w:rPr>
        <w:t xml:space="preserve"> Together, these models evaluate whether a tract’s OZ designation in the post-implementation period led to an increased economic well-being score relative to its baseline in the pre-implementation period.</w:t>
      </w:r>
      <w:r w:rsidR="00B85551">
        <w:rPr>
          <w:rFonts w:ascii="Times New Roman" w:eastAsia="Times New Roman" w:hAnsi="Times New Roman" w:cs="Times New Roman"/>
        </w:rPr>
        <w:t xml:space="preserve"> The </w:t>
      </w:r>
      <w:r w:rsidR="008C2AF0">
        <w:rPr>
          <w:rFonts w:ascii="Times New Roman" w:eastAsia="Times New Roman" w:hAnsi="Times New Roman" w:cs="Times New Roman"/>
        </w:rPr>
        <w:t>primary model</w:t>
      </w:r>
      <w:r w:rsidR="00B85551">
        <w:rPr>
          <w:rFonts w:ascii="Times New Roman" w:eastAsia="Times New Roman" w:hAnsi="Times New Roman" w:cs="Times New Roman"/>
        </w:rPr>
        <w:t xml:space="preserve"> </w:t>
      </w:r>
      <w:r w:rsidR="00563335">
        <w:rPr>
          <w:rFonts w:ascii="Times New Roman" w:eastAsia="Times New Roman" w:hAnsi="Times New Roman" w:cs="Times New Roman"/>
        </w:rPr>
        <w:t>(nation</w:t>
      </w:r>
      <w:r w:rsidR="008C2AF0">
        <w:rPr>
          <w:rFonts w:ascii="Times New Roman" w:eastAsia="Times New Roman" w:hAnsi="Times New Roman" w:cs="Times New Roman"/>
        </w:rPr>
        <w:t xml:space="preserve">-wide </w:t>
      </w:r>
      <w:proofErr w:type="spellStart"/>
      <w:r w:rsidR="00B85551">
        <w:rPr>
          <w:rFonts w:ascii="Times New Roman" w:eastAsia="Times New Roman" w:hAnsi="Times New Roman" w:cs="Times New Roman"/>
        </w:rPr>
        <w:t>DiD</w:t>
      </w:r>
      <w:proofErr w:type="spellEnd"/>
      <w:r w:rsidR="00B85551">
        <w:rPr>
          <w:rFonts w:ascii="Times New Roman" w:eastAsia="Times New Roman" w:hAnsi="Times New Roman" w:cs="Times New Roman"/>
        </w:rPr>
        <w:t xml:space="preserve"> OLS</w:t>
      </w:r>
      <w:r w:rsidR="008C2AF0">
        <w:rPr>
          <w:rFonts w:ascii="Times New Roman" w:eastAsia="Times New Roman" w:hAnsi="Times New Roman" w:cs="Times New Roman"/>
        </w:rPr>
        <w:t>)</w:t>
      </w:r>
      <w:r w:rsidR="00B85551">
        <w:rPr>
          <w:rFonts w:ascii="Times New Roman" w:eastAsia="Times New Roman" w:hAnsi="Times New Roman" w:cs="Times New Roman"/>
        </w:rPr>
        <w:t xml:space="preserve"> is structured as follows: </w:t>
      </w:r>
    </w:p>
    <w:p w14:paraId="5CD13EB9" w14:textId="765488CB" w:rsidR="00BC5918" w:rsidRDefault="00FE03DC" w:rsidP="003E7377">
      <w:pPr>
        <w:spacing w:line="480" w:lineRule="auto"/>
        <w:ind w:firstLine="0"/>
        <w:rPr>
          <w:rFonts w:ascii="Times New Roman" w:hAnsi="Times New Roman" w:cs="Times New Roman"/>
        </w:rPr>
      </w:pPr>
      <w:proofErr w:type="spellStart"/>
      <w:proofErr w:type="gramStart"/>
      <w:r w:rsidRPr="00FE03DC">
        <w:rPr>
          <w:rFonts w:ascii="Times New Roman" w:hAnsi="Times New Roman" w:cs="Times New Roman"/>
        </w:rPr>
        <w:lastRenderedPageBreak/>
        <w:t>EW</w:t>
      </w:r>
      <w:r w:rsidR="00DF0939" w:rsidRPr="00DF0939">
        <w:rPr>
          <w:rFonts w:ascii="Times New Roman" w:hAnsi="Times New Roman" w:cs="Times New Roman"/>
          <w:vertAlign w:val="subscript"/>
        </w:rPr>
        <w:t>it</w:t>
      </w:r>
      <w:proofErr w:type="spellEnd"/>
      <w:r w:rsidR="00DF0939">
        <w:rPr>
          <w:rFonts w:ascii="Times New Roman" w:hAnsi="Times New Roman" w:cs="Times New Roman"/>
          <w:vertAlign w:val="subscript"/>
        </w:rPr>
        <w:t xml:space="preserve"> </w:t>
      </w:r>
      <w:r w:rsidR="00DF0939">
        <w:rPr>
          <w:rFonts w:ascii="Times New Roman" w:hAnsi="Times New Roman" w:cs="Times New Roman"/>
        </w:rPr>
        <w:t xml:space="preserve"> </w:t>
      </w:r>
      <w:r w:rsidRPr="00FE03DC">
        <w:rPr>
          <w:rFonts w:ascii="Times New Roman" w:hAnsi="Times New Roman" w:cs="Times New Roman"/>
        </w:rPr>
        <w:t>​</w:t>
      </w:r>
      <w:proofErr w:type="gramEnd"/>
      <w:r w:rsidRPr="00FE03DC">
        <w:rPr>
          <w:rFonts w:ascii="Times New Roman" w:hAnsi="Times New Roman" w:cs="Times New Roman"/>
        </w:rPr>
        <w:t>=β</w:t>
      </w:r>
      <w:r w:rsidRPr="00DF0939">
        <w:rPr>
          <w:rFonts w:ascii="Times New Roman" w:hAnsi="Times New Roman" w:cs="Times New Roman"/>
          <w:vertAlign w:val="subscript"/>
        </w:rPr>
        <w:t>0</w:t>
      </w:r>
      <w:r w:rsidRPr="00FE03DC">
        <w:rPr>
          <w:rFonts w:ascii="Times New Roman" w:hAnsi="Times New Roman" w:cs="Times New Roman"/>
        </w:rPr>
        <w:t>​+β</w:t>
      </w:r>
      <w:r w:rsidRPr="00DF0939">
        <w:rPr>
          <w:rFonts w:ascii="Times New Roman" w:hAnsi="Times New Roman" w:cs="Times New Roman"/>
          <w:vertAlign w:val="subscript"/>
        </w:rPr>
        <w:t>1</w:t>
      </w:r>
      <w:r w:rsidRPr="00FE03DC">
        <w:rPr>
          <w:rFonts w:ascii="Times New Roman" w:hAnsi="Times New Roman" w:cs="Times New Roman"/>
        </w:rPr>
        <w:t>​OZ</w:t>
      </w:r>
      <w:r w:rsidRPr="00DF0939">
        <w:rPr>
          <w:rFonts w:ascii="Times New Roman" w:hAnsi="Times New Roman" w:cs="Times New Roman"/>
          <w:vertAlign w:val="subscript"/>
        </w:rPr>
        <w:t>i</w:t>
      </w:r>
      <w:r w:rsidRPr="00FE03DC">
        <w:rPr>
          <w:rFonts w:ascii="Times New Roman" w:hAnsi="Times New Roman" w:cs="Times New Roman"/>
        </w:rPr>
        <w:t>​+β</w:t>
      </w:r>
      <w:r w:rsidRPr="00DF0939">
        <w:rPr>
          <w:rFonts w:ascii="Times New Roman" w:hAnsi="Times New Roman" w:cs="Times New Roman"/>
          <w:vertAlign w:val="subscript"/>
        </w:rPr>
        <w:t>2</w:t>
      </w:r>
      <w:r w:rsidRPr="00FE03DC">
        <w:rPr>
          <w:rFonts w:ascii="Times New Roman" w:hAnsi="Times New Roman" w:cs="Times New Roman"/>
        </w:rPr>
        <w:t>​Post</w:t>
      </w:r>
      <w:r w:rsidRPr="00DF0939">
        <w:rPr>
          <w:rFonts w:ascii="Times New Roman" w:hAnsi="Times New Roman" w:cs="Times New Roman"/>
          <w:vertAlign w:val="subscript"/>
        </w:rPr>
        <w:t>t</w:t>
      </w:r>
      <w:r w:rsidRPr="00FE03DC">
        <w:rPr>
          <w:rFonts w:ascii="Times New Roman" w:hAnsi="Times New Roman" w:cs="Times New Roman"/>
        </w:rPr>
        <w:t>​+β</w:t>
      </w:r>
      <w:r w:rsidRPr="00DF0939">
        <w:rPr>
          <w:rFonts w:ascii="Times New Roman" w:hAnsi="Times New Roman" w:cs="Times New Roman"/>
          <w:vertAlign w:val="subscript"/>
        </w:rPr>
        <w:t>3</w:t>
      </w:r>
      <w:r w:rsidRPr="00FE03DC">
        <w:rPr>
          <w:rFonts w:ascii="Times New Roman" w:hAnsi="Times New Roman" w:cs="Times New Roman"/>
        </w:rPr>
        <w:t>​(OZ</w:t>
      </w:r>
      <w:r w:rsidRPr="00DF0939">
        <w:rPr>
          <w:rFonts w:ascii="Times New Roman" w:hAnsi="Times New Roman" w:cs="Times New Roman"/>
          <w:vertAlign w:val="subscript"/>
        </w:rPr>
        <w:t>i</w:t>
      </w:r>
      <w:r w:rsidRPr="00FE03DC">
        <w:rPr>
          <w:rFonts w:ascii="Times New Roman" w:hAnsi="Times New Roman" w:cs="Times New Roman"/>
        </w:rPr>
        <w:t>​×</w:t>
      </w:r>
      <w:proofErr w:type="gramStart"/>
      <w:r w:rsidRPr="00FE03DC">
        <w:rPr>
          <w:rFonts w:ascii="Times New Roman" w:hAnsi="Times New Roman" w:cs="Times New Roman"/>
        </w:rPr>
        <w:t>Post</w:t>
      </w:r>
      <w:r w:rsidRPr="00DF0939">
        <w:rPr>
          <w:rFonts w:ascii="Times New Roman" w:hAnsi="Times New Roman" w:cs="Times New Roman"/>
          <w:vertAlign w:val="subscript"/>
        </w:rPr>
        <w:t>t</w:t>
      </w:r>
      <w:r w:rsidRPr="00FE03DC">
        <w:rPr>
          <w:rFonts w:ascii="Times New Roman" w:hAnsi="Times New Roman" w:cs="Times New Roman"/>
        </w:rPr>
        <w:t>​)+</w:t>
      </w:r>
      <w:proofErr w:type="gramEnd"/>
      <w:r w:rsidRPr="00FE03DC">
        <w:rPr>
          <w:rFonts w:ascii="Times New Roman" w:hAnsi="Times New Roman" w:cs="Times New Roman"/>
        </w:rPr>
        <w:t>β</w:t>
      </w:r>
      <w:r w:rsidRPr="00DF0939">
        <w:rPr>
          <w:rFonts w:ascii="Times New Roman" w:hAnsi="Times New Roman" w:cs="Times New Roman"/>
          <w:vertAlign w:val="subscript"/>
        </w:rPr>
        <w:t>4</w:t>
      </w:r>
      <w:r w:rsidRPr="00FE03DC">
        <w:rPr>
          <w:rFonts w:ascii="Times New Roman" w:hAnsi="Times New Roman" w:cs="Times New Roman"/>
        </w:rPr>
        <w:t>​White</w:t>
      </w:r>
      <w:r w:rsidRPr="00DF0939">
        <w:rPr>
          <w:rFonts w:ascii="Times New Roman" w:hAnsi="Times New Roman" w:cs="Times New Roman"/>
          <w:vertAlign w:val="subscript"/>
        </w:rPr>
        <w:t>i</w:t>
      </w:r>
      <w:r w:rsidRPr="00FE03DC">
        <w:rPr>
          <w:rFonts w:ascii="Times New Roman" w:hAnsi="Times New Roman" w:cs="Times New Roman"/>
        </w:rPr>
        <w:t>​+β</w:t>
      </w:r>
      <w:r w:rsidRPr="00DF0939">
        <w:rPr>
          <w:rFonts w:ascii="Times New Roman" w:hAnsi="Times New Roman" w:cs="Times New Roman"/>
          <w:vertAlign w:val="subscript"/>
        </w:rPr>
        <w:t>5</w:t>
      </w:r>
      <w:r w:rsidRPr="00FE03DC">
        <w:rPr>
          <w:rFonts w:ascii="Times New Roman" w:hAnsi="Times New Roman" w:cs="Times New Roman"/>
        </w:rPr>
        <w:t>​Black</w:t>
      </w:r>
      <w:r w:rsidRPr="00DF0939">
        <w:rPr>
          <w:rFonts w:ascii="Times New Roman" w:hAnsi="Times New Roman" w:cs="Times New Roman"/>
          <w:vertAlign w:val="subscript"/>
        </w:rPr>
        <w:t>i</w:t>
      </w:r>
      <w:r w:rsidRPr="00FE03DC">
        <w:rPr>
          <w:rFonts w:ascii="Times New Roman" w:hAnsi="Times New Roman" w:cs="Times New Roman"/>
        </w:rPr>
        <w:t>​+β</w:t>
      </w:r>
      <w:r w:rsidRPr="00DF0939">
        <w:rPr>
          <w:rFonts w:ascii="Times New Roman" w:hAnsi="Times New Roman" w:cs="Times New Roman"/>
          <w:vertAlign w:val="subscript"/>
        </w:rPr>
        <w:t>6</w:t>
      </w:r>
      <w:r w:rsidRPr="00FE03DC">
        <w:rPr>
          <w:rFonts w:ascii="Times New Roman" w:hAnsi="Times New Roman" w:cs="Times New Roman"/>
        </w:rPr>
        <w:t>​Asian</w:t>
      </w:r>
      <w:r w:rsidRPr="00DF0939">
        <w:rPr>
          <w:rFonts w:ascii="Times New Roman" w:hAnsi="Times New Roman" w:cs="Times New Roman"/>
          <w:vertAlign w:val="subscript"/>
        </w:rPr>
        <w:t>i</w:t>
      </w:r>
      <w:r w:rsidRPr="00FE03DC">
        <w:rPr>
          <w:rFonts w:ascii="Times New Roman" w:hAnsi="Times New Roman" w:cs="Times New Roman"/>
        </w:rPr>
        <w:t>​+β</w:t>
      </w:r>
      <w:r w:rsidRPr="00DF0939">
        <w:rPr>
          <w:rFonts w:ascii="Times New Roman" w:hAnsi="Times New Roman" w:cs="Times New Roman"/>
          <w:vertAlign w:val="subscript"/>
        </w:rPr>
        <w:t>7</w:t>
      </w:r>
      <w:r w:rsidRPr="00FE03DC">
        <w:rPr>
          <w:rFonts w:ascii="Times New Roman" w:hAnsi="Times New Roman" w:cs="Times New Roman"/>
        </w:rPr>
        <w:t>​Hispanic</w:t>
      </w:r>
      <w:r w:rsidRPr="00DF0939">
        <w:rPr>
          <w:rFonts w:ascii="Times New Roman" w:hAnsi="Times New Roman" w:cs="Times New Roman"/>
          <w:vertAlign w:val="subscript"/>
        </w:rPr>
        <w:t>i</w:t>
      </w:r>
      <w:r w:rsidRPr="00FE03DC">
        <w:rPr>
          <w:rFonts w:ascii="Times New Roman" w:hAnsi="Times New Roman" w:cs="Times New Roman"/>
        </w:rPr>
        <w:t>​+β</w:t>
      </w:r>
      <w:r w:rsidRPr="00DF0939">
        <w:rPr>
          <w:rFonts w:ascii="Times New Roman" w:hAnsi="Times New Roman" w:cs="Times New Roman"/>
          <w:vertAlign w:val="subscript"/>
        </w:rPr>
        <w:t>8</w:t>
      </w:r>
      <w:r w:rsidRPr="00FE03DC">
        <w:rPr>
          <w:rFonts w:ascii="Times New Roman" w:hAnsi="Times New Roman" w:cs="Times New Roman"/>
        </w:rPr>
        <w:t>​HSGrad</w:t>
      </w:r>
      <w:r w:rsidRPr="00DF0939">
        <w:rPr>
          <w:rFonts w:ascii="Times New Roman" w:hAnsi="Times New Roman" w:cs="Times New Roman"/>
          <w:vertAlign w:val="subscript"/>
        </w:rPr>
        <w:t>i</w:t>
      </w:r>
      <w:r w:rsidRPr="00FE03DC">
        <w:rPr>
          <w:rFonts w:ascii="Times New Roman" w:hAnsi="Times New Roman" w:cs="Times New Roman"/>
        </w:rPr>
        <w:t>​+β</w:t>
      </w:r>
      <w:r w:rsidRPr="00DF0939">
        <w:rPr>
          <w:rFonts w:ascii="Times New Roman" w:hAnsi="Times New Roman" w:cs="Times New Roman"/>
          <w:vertAlign w:val="subscript"/>
        </w:rPr>
        <w:t>9</w:t>
      </w:r>
      <w:r w:rsidRPr="00FE03DC">
        <w:rPr>
          <w:rFonts w:ascii="Times New Roman" w:hAnsi="Times New Roman" w:cs="Times New Roman"/>
        </w:rPr>
        <w:t>​BA</w:t>
      </w:r>
      <w:r w:rsidRPr="00DF0939">
        <w:rPr>
          <w:rFonts w:ascii="Times New Roman" w:hAnsi="Times New Roman" w:cs="Times New Roman"/>
          <w:vertAlign w:val="subscript"/>
        </w:rPr>
        <w:t>i</w:t>
      </w:r>
      <w:r w:rsidRPr="00FE03DC">
        <w:rPr>
          <w:rFonts w:ascii="Times New Roman" w:hAnsi="Times New Roman" w:cs="Times New Roman"/>
        </w:rPr>
        <w:t>​+β</w:t>
      </w:r>
      <w:r w:rsidRPr="00DF0939">
        <w:rPr>
          <w:rFonts w:ascii="Times New Roman" w:hAnsi="Times New Roman" w:cs="Times New Roman"/>
          <w:vertAlign w:val="subscript"/>
        </w:rPr>
        <w:t>10</w:t>
      </w:r>
      <w:r w:rsidRPr="00FE03DC">
        <w:rPr>
          <w:rFonts w:ascii="Times New Roman" w:hAnsi="Times New Roman" w:cs="Times New Roman"/>
        </w:rPr>
        <w:t>​MA</w:t>
      </w:r>
      <w:r w:rsidRPr="00DF0939">
        <w:rPr>
          <w:rFonts w:ascii="Times New Roman" w:hAnsi="Times New Roman" w:cs="Times New Roman"/>
          <w:vertAlign w:val="subscript"/>
        </w:rPr>
        <w:t>i</w:t>
      </w:r>
      <w:r w:rsidRPr="00FE03DC">
        <w:rPr>
          <w:rFonts w:ascii="Times New Roman" w:hAnsi="Times New Roman" w:cs="Times New Roman"/>
        </w:rPr>
        <w:t>​+β</w:t>
      </w:r>
      <w:r w:rsidRPr="00DF0939">
        <w:rPr>
          <w:rFonts w:ascii="Times New Roman" w:hAnsi="Times New Roman" w:cs="Times New Roman"/>
          <w:vertAlign w:val="subscript"/>
        </w:rPr>
        <w:t>11</w:t>
      </w:r>
      <w:r w:rsidRPr="00FE03DC">
        <w:rPr>
          <w:rFonts w:ascii="Times New Roman" w:hAnsi="Times New Roman" w:cs="Times New Roman"/>
        </w:rPr>
        <w:t>​OwnerOcc</w:t>
      </w:r>
      <w:r w:rsidRPr="00DF0939">
        <w:rPr>
          <w:rFonts w:ascii="Times New Roman" w:hAnsi="Times New Roman" w:cs="Times New Roman"/>
          <w:vertAlign w:val="subscript"/>
        </w:rPr>
        <w:t>i</w:t>
      </w:r>
      <w:r w:rsidRPr="00FE03DC">
        <w:rPr>
          <w:rFonts w:ascii="Times New Roman" w:hAnsi="Times New Roman" w:cs="Times New Roman"/>
        </w:rPr>
        <w:t>​+β</w:t>
      </w:r>
      <w:r w:rsidRPr="00DF0939">
        <w:rPr>
          <w:rFonts w:ascii="Times New Roman" w:hAnsi="Times New Roman" w:cs="Times New Roman"/>
          <w:vertAlign w:val="subscript"/>
        </w:rPr>
        <w:t>12</w:t>
      </w:r>
      <w:r w:rsidRPr="00FE03DC">
        <w:rPr>
          <w:rFonts w:ascii="Times New Roman" w:hAnsi="Times New Roman" w:cs="Times New Roman"/>
        </w:rPr>
        <w:t>​Disability</w:t>
      </w:r>
      <w:r w:rsidRPr="00DF0939">
        <w:rPr>
          <w:rFonts w:ascii="Times New Roman" w:hAnsi="Times New Roman" w:cs="Times New Roman"/>
          <w:vertAlign w:val="subscript"/>
        </w:rPr>
        <w:t>i</w:t>
      </w:r>
      <w:r w:rsidRPr="00FE03DC">
        <w:rPr>
          <w:rFonts w:ascii="Times New Roman" w:hAnsi="Times New Roman" w:cs="Times New Roman"/>
        </w:rPr>
        <w:t>​+</w:t>
      </w:r>
      <w:r w:rsidR="00DF0939" w:rsidRPr="00DF0939">
        <w:rPr>
          <w:rFonts w:ascii="Times New Roman" w:hAnsi="Times New Roman" w:cs="Times New Roman"/>
        </w:rPr>
        <w:t xml:space="preserve"> ϵ</w:t>
      </w:r>
    </w:p>
    <w:p w14:paraId="15C3DB2B" w14:textId="5718063B" w:rsidR="006F3159" w:rsidRPr="006F3159" w:rsidRDefault="00C041C7" w:rsidP="008F4705">
      <w:pPr>
        <w:pStyle w:val="Heading2"/>
      </w:pPr>
      <w:bookmarkStart w:id="17" w:name="_Toc197889230"/>
      <w:r>
        <w:t>5.</w:t>
      </w:r>
      <w:r w:rsidR="004F7A17">
        <w:t>5</w:t>
      </w:r>
      <w:r>
        <w:t xml:space="preserve"> </w:t>
      </w:r>
      <w:r w:rsidR="00975587" w:rsidRPr="00900FAD">
        <w:t>Results</w:t>
      </w:r>
      <w:bookmarkEnd w:id="17"/>
    </w:p>
    <w:p w14:paraId="4438B12A" w14:textId="49DA6940" w:rsidR="0050755A" w:rsidRDefault="0050755A" w:rsidP="007F4742">
      <w:pPr>
        <w:spacing w:line="480" w:lineRule="auto"/>
        <w:rPr>
          <w:rFonts w:ascii="Times New Roman" w:eastAsia="Times New Roman" w:hAnsi="Times New Roman" w:cs="Times New Roman"/>
        </w:rPr>
      </w:pPr>
      <w:r w:rsidRPr="00CA6ED6">
        <w:rPr>
          <w:rFonts w:ascii="Times New Roman" w:eastAsia="Times New Roman" w:hAnsi="Times New Roman" w:cs="Times New Roman"/>
        </w:rPr>
        <w:t>Table 1 shows the descriptive statistics for the analysis</w:t>
      </w:r>
      <w:r w:rsidR="00572D6D">
        <w:rPr>
          <w:rFonts w:ascii="Times New Roman" w:eastAsia="Times New Roman" w:hAnsi="Times New Roman" w:cs="Times New Roman"/>
        </w:rPr>
        <w:t xml:space="preserve"> using</w:t>
      </w:r>
      <w:r w:rsidR="00995B7E">
        <w:rPr>
          <w:rFonts w:ascii="Times New Roman" w:eastAsia="Times New Roman" w:hAnsi="Times New Roman" w:cs="Times New Roman"/>
        </w:rPr>
        <w:t xml:space="preserve"> the</w:t>
      </w:r>
      <w:r w:rsidR="00572D6D">
        <w:rPr>
          <w:rFonts w:ascii="Times New Roman" w:eastAsia="Times New Roman" w:hAnsi="Times New Roman" w:cs="Times New Roman"/>
        </w:rPr>
        <w:t xml:space="preserve"> raw data, not the IPW</w:t>
      </w:r>
      <w:r w:rsidR="002D189C">
        <w:rPr>
          <w:rFonts w:ascii="Times New Roman" w:eastAsia="Times New Roman" w:hAnsi="Times New Roman" w:cs="Times New Roman"/>
        </w:rPr>
        <w:t xml:space="preserve"> </w:t>
      </w:r>
      <w:r w:rsidR="00572D6D">
        <w:rPr>
          <w:rFonts w:ascii="Times New Roman" w:eastAsia="Times New Roman" w:hAnsi="Times New Roman" w:cs="Times New Roman"/>
        </w:rPr>
        <w:t>method</w:t>
      </w:r>
      <w:r w:rsidR="002D189C">
        <w:rPr>
          <w:rFonts w:ascii="Times New Roman" w:eastAsia="Times New Roman" w:hAnsi="Times New Roman" w:cs="Times New Roman"/>
        </w:rPr>
        <w:t xml:space="preserve"> (See note in Table 1)</w:t>
      </w:r>
      <w:r w:rsidRPr="00CA6ED6">
        <w:rPr>
          <w:rFonts w:ascii="Times New Roman" w:eastAsia="Times New Roman" w:hAnsi="Times New Roman" w:cs="Times New Roman"/>
        </w:rPr>
        <w:t>.</w:t>
      </w:r>
      <w:r w:rsidR="002D189C">
        <w:rPr>
          <w:rFonts w:ascii="Times New Roman" w:eastAsia="Times New Roman" w:hAnsi="Times New Roman" w:cs="Times New Roman"/>
        </w:rPr>
        <w:t xml:space="preserve"> </w:t>
      </w:r>
      <w:r w:rsidR="00A709E2">
        <w:rPr>
          <w:rFonts w:ascii="Times New Roman" w:eastAsia="Times New Roman" w:hAnsi="Times New Roman" w:cs="Times New Roman"/>
        </w:rPr>
        <w:t>The main highlight of this table is the</w:t>
      </w:r>
      <w:r w:rsidR="009E79F2">
        <w:rPr>
          <w:rFonts w:ascii="Times New Roman" w:eastAsia="Times New Roman" w:hAnsi="Times New Roman" w:cs="Times New Roman"/>
        </w:rPr>
        <w:t xml:space="preserve"> slight</w:t>
      </w:r>
      <w:r w:rsidR="00A709E2">
        <w:rPr>
          <w:rFonts w:ascii="Times New Roman" w:eastAsia="Times New Roman" w:hAnsi="Times New Roman" w:cs="Times New Roman"/>
        </w:rPr>
        <w:t xml:space="preserve"> right-skewness of the dependent variable, Economic Well-being Index. The DV has a mean of 14.37 and a median of 12.96. This suggests that there are tracts with significantly higher economic well-being scores that </w:t>
      </w:r>
      <w:r w:rsidR="001D30E3">
        <w:rPr>
          <w:rFonts w:ascii="Times New Roman" w:eastAsia="Times New Roman" w:hAnsi="Times New Roman" w:cs="Times New Roman"/>
        </w:rPr>
        <w:t>are</w:t>
      </w:r>
      <w:r w:rsidR="00A709E2">
        <w:rPr>
          <w:rFonts w:ascii="Times New Roman" w:eastAsia="Times New Roman" w:hAnsi="Times New Roman" w:cs="Times New Roman"/>
        </w:rPr>
        <w:t xml:space="preserve"> pulling the distribution positively.</w:t>
      </w:r>
      <w:r w:rsidR="007410D0">
        <w:rPr>
          <w:rFonts w:ascii="Times New Roman" w:eastAsia="Times New Roman" w:hAnsi="Times New Roman" w:cs="Times New Roman"/>
        </w:rPr>
        <w:t xml:space="preserve"> The relatively low economic well-being scores of 14.37 for the mean and 12.96 for the median also indicate that most tracts across the country are</w:t>
      </w:r>
      <w:r w:rsidR="00672E34">
        <w:rPr>
          <w:rFonts w:ascii="Times New Roman" w:eastAsia="Times New Roman" w:hAnsi="Times New Roman" w:cs="Times New Roman"/>
        </w:rPr>
        <w:t xml:space="preserve"> either</w:t>
      </w:r>
      <w:r w:rsidR="007410D0">
        <w:rPr>
          <w:rFonts w:ascii="Times New Roman" w:eastAsia="Times New Roman" w:hAnsi="Times New Roman" w:cs="Times New Roman"/>
        </w:rPr>
        <w:t xml:space="preserve"> not economically well-off</w:t>
      </w:r>
      <w:r w:rsidR="00672E34">
        <w:rPr>
          <w:rFonts w:ascii="Times New Roman" w:eastAsia="Times New Roman" w:hAnsi="Times New Roman" w:cs="Times New Roman"/>
        </w:rPr>
        <w:t>, or there are extremely affluent tracts that is skewing the economic well-being score. However, this is beyond the scope of this study.</w:t>
      </w:r>
      <w:r w:rsidR="0019199D">
        <w:rPr>
          <w:rFonts w:ascii="Times New Roman" w:eastAsia="Times New Roman" w:hAnsi="Times New Roman" w:cs="Times New Roman"/>
        </w:rPr>
        <w:t xml:space="preserve"> The rest of the covariates are relatively normally distributed, with the exception of the black and Hispanic populations, indicating that certain tracts have much higher proportions of blacks and Hispanics than others.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3"/>
        <w:gridCol w:w="30"/>
        <w:gridCol w:w="861"/>
        <w:gridCol w:w="1440"/>
        <w:gridCol w:w="1096"/>
        <w:gridCol w:w="1371"/>
        <w:gridCol w:w="1319"/>
      </w:tblGrid>
      <w:tr w:rsidR="00F207E8" w:rsidRPr="00F207E8" w14:paraId="7F22CA54" w14:textId="77777777" w:rsidTr="00F207E8">
        <w:trPr>
          <w:tblCellSpacing w:w="15" w:type="dxa"/>
        </w:trPr>
        <w:tc>
          <w:tcPr>
            <w:tcW w:w="0" w:type="auto"/>
            <w:gridSpan w:val="7"/>
            <w:tcBorders>
              <w:top w:val="nil"/>
              <w:left w:val="nil"/>
              <w:bottom w:val="nil"/>
              <w:right w:val="nil"/>
            </w:tcBorders>
            <w:vAlign w:val="center"/>
            <w:hideMark/>
          </w:tcPr>
          <w:p w14:paraId="27DDB2D8" w14:textId="5FF4A94B" w:rsidR="00F207E8" w:rsidRPr="00F207E8" w:rsidRDefault="00F207E8" w:rsidP="00F207E8">
            <w:pPr>
              <w:spacing w:line="240" w:lineRule="auto"/>
              <w:ind w:firstLine="0"/>
              <w:rPr>
                <w:rFonts w:ascii="Times New Roman" w:eastAsia="Times New Roman" w:hAnsi="Times New Roman" w:cs="Times New Roman"/>
                <w:sz w:val="20"/>
                <w:szCs w:val="20"/>
              </w:rPr>
            </w:pPr>
          </w:p>
        </w:tc>
      </w:tr>
      <w:tr w:rsidR="00F207E8" w:rsidRPr="00F207E8" w14:paraId="2E67DE13" w14:textId="77777777" w:rsidTr="00F207E8">
        <w:trPr>
          <w:tblCellSpacing w:w="15" w:type="dxa"/>
        </w:trPr>
        <w:tc>
          <w:tcPr>
            <w:tcW w:w="0" w:type="auto"/>
            <w:gridSpan w:val="7"/>
            <w:tcBorders>
              <w:bottom w:val="single" w:sz="6" w:space="0" w:color="000000"/>
            </w:tcBorders>
            <w:vAlign w:val="center"/>
            <w:hideMark/>
          </w:tcPr>
          <w:p w14:paraId="74B8EBC1" w14:textId="77777777" w:rsidR="00F207E8" w:rsidRPr="0007365A" w:rsidRDefault="00F207E8" w:rsidP="00C041C7">
            <w:pPr>
              <w:pStyle w:val="Heading2"/>
              <w:jc w:val="center"/>
              <w:rPr>
                <w:rFonts w:eastAsia="Times New Roman"/>
              </w:rPr>
            </w:pPr>
            <w:bookmarkStart w:id="18" w:name="_Toc197870273"/>
            <w:bookmarkStart w:id="19" w:name="_Toc197886818"/>
            <w:bookmarkStart w:id="20" w:name="_Toc197887525"/>
            <w:bookmarkStart w:id="21" w:name="_Toc197889231"/>
            <w:r w:rsidRPr="0007365A">
              <w:rPr>
                <w:rFonts w:eastAsia="Times New Roman"/>
              </w:rPr>
              <w:t>Table 1: Variable Descriptive Statistics</w:t>
            </w:r>
            <w:bookmarkEnd w:id="18"/>
            <w:bookmarkEnd w:id="19"/>
            <w:bookmarkEnd w:id="20"/>
            <w:bookmarkEnd w:id="21"/>
          </w:p>
          <w:p w14:paraId="75393309" w14:textId="77777777" w:rsidR="00F207E8" w:rsidRPr="0007365A" w:rsidRDefault="00F207E8" w:rsidP="0007365A">
            <w:pPr>
              <w:pStyle w:val="Subtitle"/>
              <w:jc w:val="center"/>
              <w:rPr>
                <w:rFonts w:ascii="Times New Roman" w:hAnsi="Times New Roman" w:cs="Times New Roman"/>
                <w:b/>
                <w:bCs/>
                <w:color w:val="auto"/>
                <w:sz w:val="24"/>
                <w:szCs w:val="24"/>
              </w:rPr>
            </w:pPr>
          </w:p>
        </w:tc>
      </w:tr>
      <w:tr w:rsidR="00F207E8" w:rsidRPr="00F207E8" w14:paraId="6D5A10F2" w14:textId="77777777" w:rsidTr="00F207E8">
        <w:trPr>
          <w:tblCellSpacing w:w="15" w:type="dxa"/>
        </w:trPr>
        <w:tc>
          <w:tcPr>
            <w:tcW w:w="0" w:type="auto"/>
            <w:gridSpan w:val="2"/>
            <w:vAlign w:val="center"/>
            <w:hideMark/>
          </w:tcPr>
          <w:p w14:paraId="61BF57D7" w14:textId="77777777" w:rsidR="00F207E8" w:rsidRPr="00F207E8" w:rsidRDefault="00F207E8" w:rsidP="00C20A6C">
            <w:pPr>
              <w:spacing w:line="240" w:lineRule="auto"/>
              <w:ind w:firstLine="0"/>
              <w:rPr>
                <w:rFonts w:ascii="Times New Roman" w:eastAsia="Times New Roman" w:hAnsi="Times New Roman" w:cs="Times New Roman"/>
              </w:rPr>
            </w:pPr>
            <w:r w:rsidRPr="00F207E8">
              <w:rPr>
                <w:rFonts w:ascii="Times New Roman" w:eastAsia="Times New Roman" w:hAnsi="Times New Roman" w:cs="Times New Roman"/>
              </w:rPr>
              <w:t>Statistic</w:t>
            </w:r>
          </w:p>
        </w:tc>
        <w:tc>
          <w:tcPr>
            <w:tcW w:w="0" w:type="auto"/>
            <w:vAlign w:val="center"/>
            <w:hideMark/>
          </w:tcPr>
          <w:p w14:paraId="0499C440"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Min</w:t>
            </w:r>
          </w:p>
        </w:tc>
        <w:tc>
          <w:tcPr>
            <w:tcW w:w="0" w:type="auto"/>
            <w:vAlign w:val="center"/>
            <w:hideMark/>
          </w:tcPr>
          <w:p w14:paraId="1A0A895E"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Median</w:t>
            </w:r>
          </w:p>
        </w:tc>
        <w:tc>
          <w:tcPr>
            <w:tcW w:w="0" w:type="auto"/>
            <w:vAlign w:val="center"/>
            <w:hideMark/>
          </w:tcPr>
          <w:p w14:paraId="2144A4E1"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Mean</w:t>
            </w:r>
          </w:p>
        </w:tc>
        <w:tc>
          <w:tcPr>
            <w:tcW w:w="0" w:type="auto"/>
            <w:vAlign w:val="center"/>
            <w:hideMark/>
          </w:tcPr>
          <w:p w14:paraId="61761B63"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St. Dev.</w:t>
            </w:r>
          </w:p>
        </w:tc>
        <w:tc>
          <w:tcPr>
            <w:tcW w:w="0" w:type="auto"/>
            <w:vAlign w:val="center"/>
            <w:hideMark/>
          </w:tcPr>
          <w:p w14:paraId="0B058208"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Max</w:t>
            </w:r>
          </w:p>
        </w:tc>
      </w:tr>
      <w:tr w:rsidR="00F207E8" w:rsidRPr="00F207E8" w14:paraId="11F51E58" w14:textId="77777777" w:rsidTr="00F207E8">
        <w:trPr>
          <w:tblCellSpacing w:w="15" w:type="dxa"/>
        </w:trPr>
        <w:tc>
          <w:tcPr>
            <w:tcW w:w="0" w:type="auto"/>
            <w:gridSpan w:val="7"/>
            <w:tcBorders>
              <w:bottom w:val="single" w:sz="6" w:space="0" w:color="000000"/>
            </w:tcBorders>
            <w:vAlign w:val="center"/>
            <w:hideMark/>
          </w:tcPr>
          <w:p w14:paraId="3348FBEA" w14:textId="77777777" w:rsidR="00F207E8" w:rsidRPr="00F207E8" w:rsidRDefault="00F207E8" w:rsidP="00C20A6C">
            <w:pPr>
              <w:spacing w:line="240" w:lineRule="auto"/>
              <w:ind w:firstLine="0"/>
              <w:jc w:val="center"/>
              <w:rPr>
                <w:rFonts w:ascii="Times New Roman" w:eastAsia="Times New Roman" w:hAnsi="Times New Roman" w:cs="Times New Roman"/>
              </w:rPr>
            </w:pPr>
          </w:p>
        </w:tc>
      </w:tr>
      <w:tr w:rsidR="00F207E8" w:rsidRPr="00F207E8" w14:paraId="297B145B" w14:textId="77777777" w:rsidTr="00F207E8">
        <w:trPr>
          <w:tblCellSpacing w:w="15" w:type="dxa"/>
        </w:trPr>
        <w:tc>
          <w:tcPr>
            <w:tcW w:w="0" w:type="auto"/>
            <w:gridSpan w:val="2"/>
            <w:vAlign w:val="center"/>
            <w:hideMark/>
          </w:tcPr>
          <w:p w14:paraId="0399E3C0" w14:textId="77777777" w:rsidR="00F207E8" w:rsidRPr="00F207E8" w:rsidRDefault="00F207E8" w:rsidP="00C20A6C">
            <w:pPr>
              <w:spacing w:line="240" w:lineRule="auto"/>
              <w:ind w:firstLine="0"/>
              <w:rPr>
                <w:rFonts w:ascii="Times New Roman" w:eastAsia="Times New Roman" w:hAnsi="Times New Roman" w:cs="Times New Roman"/>
              </w:rPr>
            </w:pPr>
            <w:r w:rsidRPr="00F207E8">
              <w:rPr>
                <w:rFonts w:ascii="Times New Roman" w:eastAsia="Times New Roman" w:hAnsi="Times New Roman" w:cs="Times New Roman"/>
              </w:rPr>
              <w:t>Economic Well-being Index</w:t>
            </w:r>
          </w:p>
        </w:tc>
        <w:tc>
          <w:tcPr>
            <w:tcW w:w="0" w:type="auto"/>
            <w:vAlign w:val="center"/>
            <w:hideMark/>
          </w:tcPr>
          <w:p w14:paraId="41C2DEB1"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0.00</w:t>
            </w:r>
          </w:p>
        </w:tc>
        <w:tc>
          <w:tcPr>
            <w:tcW w:w="0" w:type="auto"/>
            <w:vAlign w:val="center"/>
            <w:hideMark/>
          </w:tcPr>
          <w:p w14:paraId="6BE61101"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12.96</w:t>
            </w:r>
          </w:p>
        </w:tc>
        <w:tc>
          <w:tcPr>
            <w:tcW w:w="0" w:type="auto"/>
            <w:vAlign w:val="center"/>
            <w:hideMark/>
          </w:tcPr>
          <w:p w14:paraId="742731FF"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14.37</w:t>
            </w:r>
          </w:p>
        </w:tc>
        <w:tc>
          <w:tcPr>
            <w:tcW w:w="0" w:type="auto"/>
            <w:vAlign w:val="center"/>
            <w:hideMark/>
          </w:tcPr>
          <w:p w14:paraId="1EB5ED5D"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7.35</w:t>
            </w:r>
          </w:p>
        </w:tc>
        <w:tc>
          <w:tcPr>
            <w:tcW w:w="0" w:type="auto"/>
            <w:vAlign w:val="center"/>
            <w:hideMark/>
          </w:tcPr>
          <w:p w14:paraId="445FC7A6"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100.00</w:t>
            </w:r>
          </w:p>
        </w:tc>
      </w:tr>
      <w:tr w:rsidR="00F207E8" w:rsidRPr="00F207E8" w14:paraId="3C8F03B4" w14:textId="77777777" w:rsidTr="00F207E8">
        <w:trPr>
          <w:tblCellSpacing w:w="15" w:type="dxa"/>
        </w:trPr>
        <w:tc>
          <w:tcPr>
            <w:tcW w:w="0" w:type="auto"/>
            <w:gridSpan w:val="2"/>
            <w:vAlign w:val="center"/>
            <w:hideMark/>
          </w:tcPr>
          <w:p w14:paraId="71C8B3DB" w14:textId="77777777" w:rsidR="00F207E8" w:rsidRPr="00F207E8" w:rsidRDefault="00F207E8" w:rsidP="00C20A6C">
            <w:pPr>
              <w:spacing w:line="240" w:lineRule="auto"/>
              <w:ind w:firstLine="0"/>
              <w:rPr>
                <w:rFonts w:ascii="Times New Roman" w:eastAsia="Times New Roman" w:hAnsi="Times New Roman" w:cs="Times New Roman"/>
              </w:rPr>
            </w:pPr>
            <w:r w:rsidRPr="00F207E8">
              <w:rPr>
                <w:rFonts w:ascii="Times New Roman" w:eastAsia="Times New Roman" w:hAnsi="Times New Roman" w:cs="Times New Roman"/>
              </w:rPr>
              <w:t>OZ Tract (1 = Yes)</w:t>
            </w:r>
          </w:p>
        </w:tc>
        <w:tc>
          <w:tcPr>
            <w:tcW w:w="0" w:type="auto"/>
            <w:vAlign w:val="center"/>
            <w:hideMark/>
          </w:tcPr>
          <w:p w14:paraId="3BA8DFBB"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w:t>
            </w:r>
          </w:p>
        </w:tc>
        <w:tc>
          <w:tcPr>
            <w:tcW w:w="0" w:type="auto"/>
            <w:vAlign w:val="center"/>
            <w:hideMark/>
          </w:tcPr>
          <w:p w14:paraId="589BD67C"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w:t>
            </w:r>
          </w:p>
        </w:tc>
        <w:tc>
          <w:tcPr>
            <w:tcW w:w="0" w:type="auto"/>
            <w:vAlign w:val="center"/>
            <w:hideMark/>
          </w:tcPr>
          <w:p w14:paraId="6D802CCF"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0.09</w:t>
            </w:r>
          </w:p>
        </w:tc>
        <w:tc>
          <w:tcPr>
            <w:tcW w:w="0" w:type="auto"/>
            <w:vAlign w:val="center"/>
            <w:hideMark/>
          </w:tcPr>
          <w:p w14:paraId="6943F244"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0.29</w:t>
            </w:r>
          </w:p>
        </w:tc>
        <w:tc>
          <w:tcPr>
            <w:tcW w:w="0" w:type="auto"/>
            <w:vAlign w:val="center"/>
            <w:hideMark/>
          </w:tcPr>
          <w:p w14:paraId="6EB1F849"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1</w:t>
            </w:r>
          </w:p>
        </w:tc>
      </w:tr>
      <w:tr w:rsidR="00F207E8" w:rsidRPr="00F207E8" w14:paraId="4DC2B9E2" w14:textId="77777777" w:rsidTr="00F207E8">
        <w:trPr>
          <w:tblCellSpacing w:w="15" w:type="dxa"/>
        </w:trPr>
        <w:tc>
          <w:tcPr>
            <w:tcW w:w="0" w:type="auto"/>
            <w:gridSpan w:val="2"/>
            <w:vAlign w:val="center"/>
            <w:hideMark/>
          </w:tcPr>
          <w:p w14:paraId="558DDB8B" w14:textId="77777777" w:rsidR="00F207E8" w:rsidRPr="00F207E8" w:rsidRDefault="00F207E8" w:rsidP="00C20A6C">
            <w:pPr>
              <w:spacing w:line="240" w:lineRule="auto"/>
              <w:ind w:firstLine="0"/>
              <w:rPr>
                <w:rFonts w:ascii="Times New Roman" w:eastAsia="Times New Roman" w:hAnsi="Times New Roman" w:cs="Times New Roman"/>
              </w:rPr>
            </w:pPr>
            <w:r w:rsidRPr="00F207E8">
              <w:rPr>
                <w:rFonts w:ascii="Times New Roman" w:eastAsia="Times New Roman" w:hAnsi="Times New Roman" w:cs="Times New Roman"/>
              </w:rPr>
              <w:t>White Population</w:t>
            </w:r>
          </w:p>
        </w:tc>
        <w:tc>
          <w:tcPr>
            <w:tcW w:w="0" w:type="auto"/>
            <w:vAlign w:val="center"/>
            <w:hideMark/>
          </w:tcPr>
          <w:p w14:paraId="3E2C4474"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0.00</w:t>
            </w:r>
          </w:p>
        </w:tc>
        <w:tc>
          <w:tcPr>
            <w:tcW w:w="0" w:type="auto"/>
            <w:vAlign w:val="center"/>
            <w:hideMark/>
          </w:tcPr>
          <w:p w14:paraId="434AF1A1"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0.68</w:t>
            </w:r>
          </w:p>
        </w:tc>
        <w:tc>
          <w:tcPr>
            <w:tcW w:w="0" w:type="auto"/>
            <w:vAlign w:val="center"/>
            <w:hideMark/>
          </w:tcPr>
          <w:p w14:paraId="2D247F03"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0.60</w:t>
            </w:r>
          </w:p>
        </w:tc>
        <w:tc>
          <w:tcPr>
            <w:tcW w:w="0" w:type="auto"/>
            <w:vAlign w:val="center"/>
            <w:hideMark/>
          </w:tcPr>
          <w:p w14:paraId="6C29618A"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0.30</w:t>
            </w:r>
          </w:p>
        </w:tc>
        <w:tc>
          <w:tcPr>
            <w:tcW w:w="0" w:type="auto"/>
            <w:vAlign w:val="center"/>
            <w:hideMark/>
          </w:tcPr>
          <w:p w14:paraId="0A8FE7F8"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1.00</w:t>
            </w:r>
          </w:p>
        </w:tc>
      </w:tr>
      <w:tr w:rsidR="00F207E8" w:rsidRPr="00F207E8" w14:paraId="09D50A33" w14:textId="77777777" w:rsidTr="00F207E8">
        <w:trPr>
          <w:tblCellSpacing w:w="15" w:type="dxa"/>
        </w:trPr>
        <w:tc>
          <w:tcPr>
            <w:tcW w:w="0" w:type="auto"/>
            <w:gridSpan w:val="2"/>
            <w:vAlign w:val="center"/>
            <w:hideMark/>
          </w:tcPr>
          <w:p w14:paraId="4261F40F" w14:textId="77777777" w:rsidR="00F207E8" w:rsidRPr="00F207E8" w:rsidRDefault="00F207E8" w:rsidP="00C20A6C">
            <w:pPr>
              <w:spacing w:line="240" w:lineRule="auto"/>
              <w:ind w:firstLine="0"/>
              <w:rPr>
                <w:rFonts w:ascii="Times New Roman" w:eastAsia="Times New Roman" w:hAnsi="Times New Roman" w:cs="Times New Roman"/>
              </w:rPr>
            </w:pPr>
            <w:r w:rsidRPr="00F207E8">
              <w:rPr>
                <w:rFonts w:ascii="Times New Roman" w:eastAsia="Times New Roman" w:hAnsi="Times New Roman" w:cs="Times New Roman"/>
              </w:rPr>
              <w:t>Black Population</w:t>
            </w:r>
          </w:p>
        </w:tc>
        <w:tc>
          <w:tcPr>
            <w:tcW w:w="0" w:type="auto"/>
            <w:vAlign w:val="center"/>
            <w:hideMark/>
          </w:tcPr>
          <w:p w14:paraId="42DCBEF0"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0.00</w:t>
            </w:r>
          </w:p>
        </w:tc>
        <w:tc>
          <w:tcPr>
            <w:tcW w:w="0" w:type="auto"/>
            <w:vAlign w:val="center"/>
            <w:hideMark/>
          </w:tcPr>
          <w:p w14:paraId="2995CEB6"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0.04</w:t>
            </w:r>
          </w:p>
        </w:tc>
        <w:tc>
          <w:tcPr>
            <w:tcW w:w="0" w:type="auto"/>
            <w:vAlign w:val="center"/>
            <w:hideMark/>
          </w:tcPr>
          <w:p w14:paraId="7327E791"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0.13</w:t>
            </w:r>
          </w:p>
        </w:tc>
        <w:tc>
          <w:tcPr>
            <w:tcW w:w="0" w:type="auto"/>
            <w:vAlign w:val="center"/>
            <w:hideMark/>
          </w:tcPr>
          <w:p w14:paraId="5CEBA281"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0.21</w:t>
            </w:r>
          </w:p>
        </w:tc>
        <w:tc>
          <w:tcPr>
            <w:tcW w:w="0" w:type="auto"/>
            <w:vAlign w:val="center"/>
            <w:hideMark/>
          </w:tcPr>
          <w:p w14:paraId="56C62061"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1.00</w:t>
            </w:r>
          </w:p>
        </w:tc>
      </w:tr>
      <w:tr w:rsidR="00F207E8" w:rsidRPr="00F207E8" w14:paraId="007A1606" w14:textId="77777777" w:rsidTr="00F207E8">
        <w:trPr>
          <w:tblCellSpacing w:w="15" w:type="dxa"/>
        </w:trPr>
        <w:tc>
          <w:tcPr>
            <w:tcW w:w="0" w:type="auto"/>
            <w:gridSpan w:val="2"/>
            <w:vAlign w:val="center"/>
            <w:hideMark/>
          </w:tcPr>
          <w:p w14:paraId="4CF4FBA7" w14:textId="77777777" w:rsidR="00F207E8" w:rsidRPr="00F207E8" w:rsidRDefault="00F207E8" w:rsidP="00C20A6C">
            <w:pPr>
              <w:spacing w:line="240" w:lineRule="auto"/>
              <w:ind w:firstLine="0"/>
              <w:rPr>
                <w:rFonts w:ascii="Times New Roman" w:eastAsia="Times New Roman" w:hAnsi="Times New Roman" w:cs="Times New Roman"/>
              </w:rPr>
            </w:pPr>
            <w:r w:rsidRPr="00F207E8">
              <w:rPr>
                <w:rFonts w:ascii="Times New Roman" w:eastAsia="Times New Roman" w:hAnsi="Times New Roman" w:cs="Times New Roman"/>
              </w:rPr>
              <w:t>Asian Population</w:t>
            </w:r>
          </w:p>
        </w:tc>
        <w:tc>
          <w:tcPr>
            <w:tcW w:w="0" w:type="auto"/>
            <w:vAlign w:val="center"/>
            <w:hideMark/>
          </w:tcPr>
          <w:p w14:paraId="6D670730"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0.00</w:t>
            </w:r>
          </w:p>
        </w:tc>
        <w:tc>
          <w:tcPr>
            <w:tcW w:w="0" w:type="auto"/>
            <w:vAlign w:val="center"/>
            <w:hideMark/>
          </w:tcPr>
          <w:p w14:paraId="248BAE41"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0.02</w:t>
            </w:r>
          </w:p>
        </w:tc>
        <w:tc>
          <w:tcPr>
            <w:tcW w:w="0" w:type="auto"/>
            <w:vAlign w:val="center"/>
            <w:hideMark/>
          </w:tcPr>
          <w:p w14:paraId="1DA8CA28"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0.05</w:t>
            </w:r>
          </w:p>
        </w:tc>
        <w:tc>
          <w:tcPr>
            <w:tcW w:w="0" w:type="auto"/>
            <w:vAlign w:val="center"/>
            <w:hideMark/>
          </w:tcPr>
          <w:p w14:paraId="6F603280"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0.09</w:t>
            </w:r>
          </w:p>
        </w:tc>
        <w:tc>
          <w:tcPr>
            <w:tcW w:w="0" w:type="auto"/>
            <w:vAlign w:val="center"/>
            <w:hideMark/>
          </w:tcPr>
          <w:p w14:paraId="587E4DC3"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1.00</w:t>
            </w:r>
          </w:p>
        </w:tc>
      </w:tr>
      <w:tr w:rsidR="00F207E8" w:rsidRPr="00F207E8" w14:paraId="2F21C386" w14:textId="77777777" w:rsidTr="00F207E8">
        <w:trPr>
          <w:tblCellSpacing w:w="15" w:type="dxa"/>
        </w:trPr>
        <w:tc>
          <w:tcPr>
            <w:tcW w:w="0" w:type="auto"/>
            <w:gridSpan w:val="2"/>
            <w:vAlign w:val="center"/>
            <w:hideMark/>
          </w:tcPr>
          <w:p w14:paraId="66AB9209" w14:textId="77777777" w:rsidR="00F207E8" w:rsidRPr="00F207E8" w:rsidRDefault="00F207E8" w:rsidP="00C20A6C">
            <w:pPr>
              <w:spacing w:line="240" w:lineRule="auto"/>
              <w:ind w:firstLine="0"/>
              <w:rPr>
                <w:rFonts w:ascii="Times New Roman" w:eastAsia="Times New Roman" w:hAnsi="Times New Roman" w:cs="Times New Roman"/>
              </w:rPr>
            </w:pPr>
            <w:r w:rsidRPr="00F207E8">
              <w:rPr>
                <w:rFonts w:ascii="Times New Roman" w:eastAsia="Times New Roman" w:hAnsi="Times New Roman" w:cs="Times New Roman"/>
              </w:rPr>
              <w:t>Hispanic Population</w:t>
            </w:r>
          </w:p>
        </w:tc>
        <w:tc>
          <w:tcPr>
            <w:tcW w:w="0" w:type="auto"/>
            <w:vAlign w:val="center"/>
            <w:hideMark/>
          </w:tcPr>
          <w:p w14:paraId="5F0E4367"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0.00</w:t>
            </w:r>
          </w:p>
        </w:tc>
        <w:tc>
          <w:tcPr>
            <w:tcW w:w="0" w:type="auto"/>
            <w:vAlign w:val="center"/>
            <w:hideMark/>
          </w:tcPr>
          <w:p w14:paraId="413CAD72"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0.08</w:t>
            </w:r>
          </w:p>
        </w:tc>
        <w:tc>
          <w:tcPr>
            <w:tcW w:w="0" w:type="auto"/>
            <w:vAlign w:val="center"/>
            <w:hideMark/>
          </w:tcPr>
          <w:p w14:paraId="4FD6BEE3"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0.17</w:t>
            </w:r>
          </w:p>
        </w:tc>
        <w:tc>
          <w:tcPr>
            <w:tcW w:w="0" w:type="auto"/>
            <w:vAlign w:val="center"/>
            <w:hideMark/>
          </w:tcPr>
          <w:p w14:paraId="7C65E773"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0.22</w:t>
            </w:r>
          </w:p>
        </w:tc>
        <w:tc>
          <w:tcPr>
            <w:tcW w:w="0" w:type="auto"/>
            <w:vAlign w:val="center"/>
            <w:hideMark/>
          </w:tcPr>
          <w:p w14:paraId="6C6D1093"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1.00</w:t>
            </w:r>
          </w:p>
        </w:tc>
      </w:tr>
      <w:tr w:rsidR="00F207E8" w:rsidRPr="00F207E8" w14:paraId="306B6B09" w14:textId="77777777" w:rsidTr="00F207E8">
        <w:trPr>
          <w:tblCellSpacing w:w="15" w:type="dxa"/>
        </w:trPr>
        <w:tc>
          <w:tcPr>
            <w:tcW w:w="0" w:type="auto"/>
            <w:gridSpan w:val="2"/>
            <w:vAlign w:val="center"/>
            <w:hideMark/>
          </w:tcPr>
          <w:p w14:paraId="3D56C9B7" w14:textId="77777777" w:rsidR="00F207E8" w:rsidRPr="00F207E8" w:rsidRDefault="00F207E8" w:rsidP="00C20A6C">
            <w:pPr>
              <w:spacing w:line="240" w:lineRule="auto"/>
              <w:ind w:firstLine="0"/>
              <w:rPr>
                <w:rFonts w:ascii="Times New Roman" w:eastAsia="Times New Roman" w:hAnsi="Times New Roman" w:cs="Times New Roman"/>
              </w:rPr>
            </w:pPr>
            <w:r w:rsidRPr="00F207E8">
              <w:rPr>
                <w:rFonts w:ascii="Times New Roman" w:eastAsia="Times New Roman" w:hAnsi="Times New Roman" w:cs="Times New Roman"/>
              </w:rPr>
              <w:t>High School Graduate</w:t>
            </w:r>
          </w:p>
        </w:tc>
        <w:tc>
          <w:tcPr>
            <w:tcW w:w="0" w:type="auto"/>
            <w:vAlign w:val="center"/>
            <w:hideMark/>
          </w:tcPr>
          <w:p w14:paraId="458549BF"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0.00</w:t>
            </w:r>
          </w:p>
        </w:tc>
        <w:tc>
          <w:tcPr>
            <w:tcW w:w="0" w:type="auto"/>
            <w:vAlign w:val="center"/>
            <w:hideMark/>
          </w:tcPr>
          <w:p w14:paraId="256AFD2E"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0.16</w:t>
            </w:r>
          </w:p>
        </w:tc>
        <w:tc>
          <w:tcPr>
            <w:tcW w:w="0" w:type="auto"/>
            <w:vAlign w:val="center"/>
            <w:hideMark/>
          </w:tcPr>
          <w:p w14:paraId="147F8A8E"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0.16</w:t>
            </w:r>
          </w:p>
        </w:tc>
        <w:tc>
          <w:tcPr>
            <w:tcW w:w="0" w:type="auto"/>
            <w:vAlign w:val="center"/>
            <w:hideMark/>
          </w:tcPr>
          <w:p w14:paraId="7BF32FF1"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0.07</w:t>
            </w:r>
          </w:p>
        </w:tc>
        <w:tc>
          <w:tcPr>
            <w:tcW w:w="0" w:type="auto"/>
            <w:vAlign w:val="center"/>
            <w:hideMark/>
          </w:tcPr>
          <w:p w14:paraId="3B831FE5"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1.00</w:t>
            </w:r>
          </w:p>
        </w:tc>
      </w:tr>
      <w:tr w:rsidR="00F207E8" w:rsidRPr="00F207E8" w14:paraId="0B41A724" w14:textId="77777777" w:rsidTr="00F207E8">
        <w:trPr>
          <w:tblCellSpacing w:w="15" w:type="dxa"/>
        </w:trPr>
        <w:tc>
          <w:tcPr>
            <w:tcW w:w="0" w:type="auto"/>
            <w:gridSpan w:val="2"/>
            <w:vAlign w:val="center"/>
            <w:hideMark/>
          </w:tcPr>
          <w:p w14:paraId="23F5FFC1" w14:textId="77777777" w:rsidR="00F207E8" w:rsidRPr="00F207E8" w:rsidRDefault="00F207E8" w:rsidP="00C20A6C">
            <w:pPr>
              <w:spacing w:line="240" w:lineRule="auto"/>
              <w:ind w:firstLine="0"/>
              <w:rPr>
                <w:rFonts w:ascii="Times New Roman" w:eastAsia="Times New Roman" w:hAnsi="Times New Roman" w:cs="Times New Roman"/>
              </w:rPr>
            </w:pPr>
            <w:r w:rsidRPr="00F207E8">
              <w:rPr>
                <w:rFonts w:ascii="Times New Roman" w:eastAsia="Times New Roman" w:hAnsi="Times New Roman" w:cs="Times New Roman"/>
              </w:rPr>
              <w:t>Bachelor's Degree</w:t>
            </w:r>
          </w:p>
        </w:tc>
        <w:tc>
          <w:tcPr>
            <w:tcW w:w="0" w:type="auto"/>
            <w:vAlign w:val="center"/>
            <w:hideMark/>
          </w:tcPr>
          <w:p w14:paraId="2F614D88"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0.00</w:t>
            </w:r>
          </w:p>
        </w:tc>
        <w:tc>
          <w:tcPr>
            <w:tcW w:w="0" w:type="auto"/>
            <w:vAlign w:val="center"/>
            <w:hideMark/>
          </w:tcPr>
          <w:p w14:paraId="42E819A5"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0.12</w:t>
            </w:r>
          </w:p>
        </w:tc>
        <w:tc>
          <w:tcPr>
            <w:tcW w:w="0" w:type="auto"/>
            <w:vAlign w:val="center"/>
            <w:hideMark/>
          </w:tcPr>
          <w:p w14:paraId="5D2CB478"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0.14</w:t>
            </w:r>
          </w:p>
        </w:tc>
        <w:tc>
          <w:tcPr>
            <w:tcW w:w="0" w:type="auto"/>
            <w:vAlign w:val="center"/>
            <w:hideMark/>
          </w:tcPr>
          <w:p w14:paraId="17143E28"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0.08</w:t>
            </w:r>
          </w:p>
        </w:tc>
        <w:tc>
          <w:tcPr>
            <w:tcW w:w="0" w:type="auto"/>
            <w:vAlign w:val="center"/>
            <w:hideMark/>
          </w:tcPr>
          <w:p w14:paraId="7EA140D8"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1.00</w:t>
            </w:r>
          </w:p>
        </w:tc>
      </w:tr>
      <w:tr w:rsidR="00F207E8" w:rsidRPr="00F207E8" w14:paraId="17792870" w14:textId="77777777" w:rsidTr="00F207E8">
        <w:trPr>
          <w:tblCellSpacing w:w="15" w:type="dxa"/>
        </w:trPr>
        <w:tc>
          <w:tcPr>
            <w:tcW w:w="0" w:type="auto"/>
            <w:gridSpan w:val="2"/>
            <w:vAlign w:val="center"/>
            <w:hideMark/>
          </w:tcPr>
          <w:p w14:paraId="70B5CF8A" w14:textId="77777777" w:rsidR="00F207E8" w:rsidRPr="00F207E8" w:rsidRDefault="00F207E8" w:rsidP="00C20A6C">
            <w:pPr>
              <w:spacing w:line="240" w:lineRule="auto"/>
              <w:ind w:firstLine="0"/>
              <w:rPr>
                <w:rFonts w:ascii="Times New Roman" w:eastAsia="Times New Roman" w:hAnsi="Times New Roman" w:cs="Times New Roman"/>
              </w:rPr>
            </w:pPr>
            <w:r w:rsidRPr="00F207E8">
              <w:rPr>
                <w:rFonts w:ascii="Times New Roman" w:eastAsia="Times New Roman" w:hAnsi="Times New Roman" w:cs="Times New Roman"/>
              </w:rPr>
              <w:t>Master's Degree</w:t>
            </w:r>
          </w:p>
        </w:tc>
        <w:tc>
          <w:tcPr>
            <w:tcW w:w="0" w:type="auto"/>
            <w:vAlign w:val="center"/>
            <w:hideMark/>
          </w:tcPr>
          <w:p w14:paraId="09E7DB92"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0.00</w:t>
            </w:r>
          </w:p>
        </w:tc>
        <w:tc>
          <w:tcPr>
            <w:tcW w:w="0" w:type="auto"/>
            <w:vAlign w:val="center"/>
            <w:hideMark/>
          </w:tcPr>
          <w:p w14:paraId="1EDF1C06"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0.05</w:t>
            </w:r>
          </w:p>
        </w:tc>
        <w:tc>
          <w:tcPr>
            <w:tcW w:w="0" w:type="auto"/>
            <w:vAlign w:val="center"/>
            <w:hideMark/>
          </w:tcPr>
          <w:p w14:paraId="7042DD8E"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0.06</w:t>
            </w:r>
          </w:p>
        </w:tc>
        <w:tc>
          <w:tcPr>
            <w:tcW w:w="0" w:type="auto"/>
            <w:vAlign w:val="center"/>
            <w:hideMark/>
          </w:tcPr>
          <w:p w14:paraId="503A8673"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0.05</w:t>
            </w:r>
          </w:p>
        </w:tc>
        <w:tc>
          <w:tcPr>
            <w:tcW w:w="0" w:type="auto"/>
            <w:vAlign w:val="center"/>
            <w:hideMark/>
          </w:tcPr>
          <w:p w14:paraId="7044B8F9"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1.00</w:t>
            </w:r>
          </w:p>
        </w:tc>
      </w:tr>
      <w:tr w:rsidR="00F207E8" w:rsidRPr="00F207E8" w14:paraId="2EBDA380" w14:textId="77777777" w:rsidTr="00F207E8">
        <w:trPr>
          <w:tblCellSpacing w:w="15" w:type="dxa"/>
        </w:trPr>
        <w:tc>
          <w:tcPr>
            <w:tcW w:w="0" w:type="auto"/>
            <w:gridSpan w:val="2"/>
            <w:vAlign w:val="center"/>
            <w:hideMark/>
          </w:tcPr>
          <w:p w14:paraId="1E110D75" w14:textId="77777777" w:rsidR="00F207E8" w:rsidRPr="00F207E8" w:rsidRDefault="00F207E8" w:rsidP="00C20A6C">
            <w:pPr>
              <w:spacing w:line="240" w:lineRule="auto"/>
              <w:ind w:firstLine="0"/>
              <w:rPr>
                <w:rFonts w:ascii="Times New Roman" w:eastAsia="Times New Roman" w:hAnsi="Times New Roman" w:cs="Times New Roman"/>
              </w:rPr>
            </w:pPr>
            <w:r w:rsidRPr="00F207E8">
              <w:rPr>
                <w:rFonts w:ascii="Times New Roman" w:eastAsia="Times New Roman" w:hAnsi="Times New Roman" w:cs="Times New Roman"/>
              </w:rPr>
              <w:t>Owner-Occupied Housing</w:t>
            </w:r>
          </w:p>
        </w:tc>
        <w:tc>
          <w:tcPr>
            <w:tcW w:w="0" w:type="auto"/>
            <w:vAlign w:val="center"/>
            <w:hideMark/>
          </w:tcPr>
          <w:p w14:paraId="0F3E00E6"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0.00</w:t>
            </w:r>
          </w:p>
        </w:tc>
        <w:tc>
          <w:tcPr>
            <w:tcW w:w="0" w:type="auto"/>
            <w:vAlign w:val="center"/>
            <w:hideMark/>
          </w:tcPr>
          <w:p w14:paraId="58B51E4B"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0.70</w:t>
            </w:r>
          </w:p>
        </w:tc>
        <w:tc>
          <w:tcPr>
            <w:tcW w:w="0" w:type="auto"/>
            <w:vAlign w:val="center"/>
            <w:hideMark/>
          </w:tcPr>
          <w:p w14:paraId="3757F990"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0.64</w:t>
            </w:r>
          </w:p>
        </w:tc>
        <w:tc>
          <w:tcPr>
            <w:tcW w:w="0" w:type="auto"/>
            <w:vAlign w:val="center"/>
            <w:hideMark/>
          </w:tcPr>
          <w:p w14:paraId="450DECBE"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0.23</w:t>
            </w:r>
          </w:p>
        </w:tc>
        <w:tc>
          <w:tcPr>
            <w:tcW w:w="0" w:type="auto"/>
            <w:vAlign w:val="center"/>
            <w:hideMark/>
          </w:tcPr>
          <w:p w14:paraId="42401049"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1.00</w:t>
            </w:r>
          </w:p>
        </w:tc>
      </w:tr>
      <w:tr w:rsidR="00F207E8" w:rsidRPr="00F207E8" w14:paraId="4FDF0D76" w14:textId="77777777" w:rsidTr="00F207E8">
        <w:trPr>
          <w:tblCellSpacing w:w="15" w:type="dxa"/>
        </w:trPr>
        <w:tc>
          <w:tcPr>
            <w:tcW w:w="0" w:type="auto"/>
            <w:gridSpan w:val="2"/>
            <w:vAlign w:val="center"/>
            <w:hideMark/>
          </w:tcPr>
          <w:p w14:paraId="3C363D51" w14:textId="77777777" w:rsidR="00F207E8" w:rsidRPr="00F207E8" w:rsidRDefault="00F207E8" w:rsidP="00C20A6C">
            <w:pPr>
              <w:spacing w:line="240" w:lineRule="auto"/>
              <w:ind w:firstLine="0"/>
              <w:rPr>
                <w:rFonts w:ascii="Times New Roman" w:eastAsia="Times New Roman" w:hAnsi="Times New Roman" w:cs="Times New Roman"/>
              </w:rPr>
            </w:pPr>
            <w:r w:rsidRPr="00F207E8">
              <w:rPr>
                <w:rFonts w:ascii="Times New Roman" w:eastAsia="Times New Roman" w:hAnsi="Times New Roman" w:cs="Times New Roman"/>
              </w:rPr>
              <w:t>Disabled Population</w:t>
            </w:r>
          </w:p>
        </w:tc>
        <w:tc>
          <w:tcPr>
            <w:tcW w:w="0" w:type="auto"/>
            <w:vAlign w:val="center"/>
            <w:hideMark/>
          </w:tcPr>
          <w:p w14:paraId="07DB21C6"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0.00</w:t>
            </w:r>
          </w:p>
        </w:tc>
        <w:tc>
          <w:tcPr>
            <w:tcW w:w="0" w:type="auto"/>
            <w:vAlign w:val="center"/>
            <w:hideMark/>
          </w:tcPr>
          <w:p w14:paraId="7CAB5822"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0.12</w:t>
            </w:r>
          </w:p>
        </w:tc>
        <w:tc>
          <w:tcPr>
            <w:tcW w:w="0" w:type="auto"/>
            <w:vAlign w:val="center"/>
            <w:hideMark/>
          </w:tcPr>
          <w:p w14:paraId="5460FAD3"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0.13</w:t>
            </w:r>
          </w:p>
        </w:tc>
        <w:tc>
          <w:tcPr>
            <w:tcW w:w="0" w:type="auto"/>
            <w:vAlign w:val="center"/>
            <w:hideMark/>
          </w:tcPr>
          <w:p w14:paraId="27834ED7"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0.06</w:t>
            </w:r>
          </w:p>
        </w:tc>
        <w:tc>
          <w:tcPr>
            <w:tcW w:w="0" w:type="auto"/>
            <w:vAlign w:val="center"/>
            <w:hideMark/>
          </w:tcPr>
          <w:p w14:paraId="73744DF1" w14:textId="77777777" w:rsidR="00F207E8" w:rsidRPr="00F207E8" w:rsidRDefault="00F207E8" w:rsidP="00C20A6C">
            <w:pPr>
              <w:spacing w:line="240" w:lineRule="auto"/>
              <w:ind w:firstLine="0"/>
              <w:jc w:val="center"/>
              <w:rPr>
                <w:rFonts w:ascii="Times New Roman" w:eastAsia="Times New Roman" w:hAnsi="Times New Roman" w:cs="Times New Roman"/>
              </w:rPr>
            </w:pPr>
            <w:r w:rsidRPr="00F207E8">
              <w:rPr>
                <w:rFonts w:ascii="Times New Roman" w:eastAsia="Times New Roman" w:hAnsi="Times New Roman" w:cs="Times New Roman"/>
              </w:rPr>
              <w:t>1.00</w:t>
            </w:r>
          </w:p>
        </w:tc>
      </w:tr>
      <w:tr w:rsidR="00F207E8" w:rsidRPr="00F207E8" w14:paraId="14B07CD7" w14:textId="77777777" w:rsidTr="00F207E8">
        <w:trPr>
          <w:tblCellSpacing w:w="15" w:type="dxa"/>
        </w:trPr>
        <w:tc>
          <w:tcPr>
            <w:tcW w:w="0" w:type="auto"/>
            <w:gridSpan w:val="7"/>
            <w:tcBorders>
              <w:bottom w:val="single" w:sz="6" w:space="0" w:color="000000"/>
            </w:tcBorders>
            <w:vAlign w:val="center"/>
            <w:hideMark/>
          </w:tcPr>
          <w:p w14:paraId="3B144BE6" w14:textId="77777777" w:rsidR="00F207E8" w:rsidRPr="00F207E8" w:rsidRDefault="00F207E8" w:rsidP="00F207E8">
            <w:pPr>
              <w:spacing w:line="240" w:lineRule="auto"/>
              <w:ind w:firstLine="0"/>
              <w:jc w:val="center"/>
              <w:rPr>
                <w:rFonts w:ascii="Times New Roman" w:eastAsia="Times New Roman" w:hAnsi="Times New Roman" w:cs="Times New Roman"/>
              </w:rPr>
            </w:pPr>
          </w:p>
        </w:tc>
      </w:tr>
      <w:tr w:rsidR="00F207E8" w:rsidRPr="00F207E8" w14:paraId="35A187B6" w14:textId="77777777" w:rsidTr="00F207E8">
        <w:trPr>
          <w:tblCellSpacing w:w="15" w:type="dxa"/>
        </w:trPr>
        <w:tc>
          <w:tcPr>
            <w:tcW w:w="0" w:type="auto"/>
            <w:gridSpan w:val="7"/>
            <w:vAlign w:val="center"/>
            <w:hideMark/>
          </w:tcPr>
          <w:p w14:paraId="18B00048" w14:textId="77777777" w:rsidR="00F207E8" w:rsidRDefault="00F207E8" w:rsidP="00F207E8">
            <w:pPr>
              <w:spacing w:line="240" w:lineRule="auto"/>
              <w:ind w:firstLine="0"/>
              <w:rPr>
                <w:rFonts w:ascii="Times New Roman" w:eastAsia="Times New Roman" w:hAnsi="Times New Roman" w:cs="Times New Roman"/>
              </w:rPr>
            </w:pPr>
            <w:r w:rsidRPr="00F207E8">
              <w:rPr>
                <w:rFonts w:ascii="Times New Roman" w:eastAsia="Times New Roman" w:hAnsi="Times New Roman" w:cs="Times New Roman"/>
              </w:rPr>
              <w:lastRenderedPageBreak/>
              <w:t>IPW re-weighting changed raw means by less than 1% across all variables, indicating well-balanced treatment (OZ) and control groups (</w:t>
            </w:r>
            <w:proofErr w:type="gramStart"/>
            <w:r w:rsidRPr="00F207E8">
              <w:rPr>
                <w:rFonts w:ascii="Times New Roman" w:eastAsia="Times New Roman" w:hAnsi="Times New Roman" w:cs="Times New Roman"/>
              </w:rPr>
              <w:t>Non-OZ</w:t>
            </w:r>
            <w:proofErr w:type="gramEnd"/>
            <w:r w:rsidRPr="00F207E8">
              <w:rPr>
                <w:rFonts w:ascii="Times New Roman" w:eastAsia="Times New Roman" w:hAnsi="Times New Roman" w:cs="Times New Roman"/>
              </w:rPr>
              <w:t>).</w:t>
            </w:r>
          </w:p>
          <w:p w14:paraId="51B2061E" w14:textId="33079529" w:rsidR="00F207E8" w:rsidRPr="00F207E8" w:rsidRDefault="00F207E8" w:rsidP="00F207E8">
            <w:pPr>
              <w:spacing w:line="240" w:lineRule="auto"/>
              <w:ind w:firstLine="0"/>
              <w:rPr>
                <w:rFonts w:ascii="Times New Roman" w:eastAsia="Times New Roman" w:hAnsi="Times New Roman" w:cs="Times New Roman"/>
              </w:rPr>
            </w:pPr>
            <w:r w:rsidRPr="00F207E8">
              <w:rPr>
                <w:rFonts w:ascii="Times New Roman" w:eastAsia="Times New Roman" w:hAnsi="Times New Roman" w:cs="Times New Roman"/>
                <w:sz w:val="20"/>
                <w:szCs w:val="20"/>
              </w:rPr>
              <w:t>Source: 5-Year ACS, US Census Bureau &amp; Housing Urban Development</w:t>
            </w:r>
          </w:p>
        </w:tc>
      </w:tr>
      <w:tr w:rsidR="00EF3471" w:rsidRPr="00EF3471" w14:paraId="5E53D6B5" w14:textId="77777777" w:rsidTr="00EF3471">
        <w:trPr>
          <w:gridAfter w:val="6"/>
          <w:tblCellSpacing w:w="15" w:type="dxa"/>
        </w:trPr>
        <w:tc>
          <w:tcPr>
            <w:tcW w:w="0" w:type="auto"/>
            <w:tcBorders>
              <w:top w:val="nil"/>
              <w:left w:val="nil"/>
              <w:bottom w:val="nil"/>
              <w:right w:val="nil"/>
            </w:tcBorders>
            <w:vAlign w:val="center"/>
            <w:hideMark/>
          </w:tcPr>
          <w:p w14:paraId="4A7DFCB0" w14:textId="73F3E79B" w:rsidR="00EF3471" w:rsidRPr="00EF3471" w:rsidRDefault="00EF3471" w:rsidP="00EF3471">
            <w:pPr>
              <w:spacing w:line="240" w:lineRule="auto"/>
              <w:ind w:firstLine="0"/>
              <w:rPr>
                <w:rFonts w:ascii="Times New Roman" w:eastAsia="Times New Roman" w:hAnsi="Times New Roman" w:cs="Times New Roman"/>
                <w:sz w:val="20"/>
                <w:szCs w:val="20"/>
              </w:rPr>
            </w:pPr>
          </w:p>
        </w:tc>
      </w:tr>
    </w:tbl>
    <w:p w14:paraId="174DEF03" w14:textId="725EE1CC" w:rsidR="002A38DA" w:rsidRDefault="0043416C" w:rsidP="00022690">
      <w:pPr>
        <w:spacing w:line="480" w:lineRule="auto"/>
        <w:rPr>
          <w:rFonts w:ascii="Times New Roman" w:eastAsia="Times New Roman" w:hAnsi="Times New Roman" w:cs="Times New Roman"/>
        </w:rPr>
      </w:pPr>
      <w:r>
        <w:rPr>
          <w:rFonts w:ascii="Times New Roman" w:eastAsia="Times New Roman" w:hAnsi="Times New Roman" w:cs="Times New Roman"/>
        </w:rPr>
        <w:t>T</w:t>
      </w:r>
      <w:r w:rsidRPr="0043416C">
        <w:rPr>
          <w:rFonts w:ascii="Times New Roman" w:eastAsia="Times New Roman" w:hAnsi="Times New Roman" w:cs="Times New Roman"/>
        </w:rPr>
        <w:t>able 2 displays the results of the inverse probability weighted (IPW) Difference-in-Differences (</w:t>
      </w:r>
      <w:proofErr w:type="spellStart"/>
      <w:r w:rsidRPr="0043416C">
        <w:rPr>
          <w:rFonts w:ascii="Times New Roman" w:eastAsia="Times New Roman" w:hAnsi="Times New Roman" w:cs="Times New Roman"/>
        </w:rPr>
        <w:t>DiD</w:t>
      </w:r>
      <w:proofErr w:type="spellEnd"/>
      <w:r w:rsidRPr="0043416C">
        <w:rPr>
          <w:rFonts w:ascii="Times New Roman" w:eastAsia="Times New Roman" w:hAnsi="Times New Roman" w:cs="Times New Roman"/>
        </w:rPr>
        <w:t>) model estimated using ordinary least squares (OLS).</w:t>
      </w:r>
      <w:r w:rsidR="00806FDD">
        <w:rPr>
          <w:rFonts w:ascii="Times New Roman" w:eastAsia="Times New Roman" w:hAnsi="Times New Roman" w:cs="Times New Roman"/>
        </w:rPr>
        <w:t xml:space="preserve"> This model captures the OZ treatment effect on a tract’s economic well-being across the country from the time period of 2014-2018 and the time period of 2019-2023.</w:t>
      </w:r>
      <w:r w:rsidR="00521E0B">
        <w:rPr>
          <w:rFonts w:ascii="Times New Roman" w:eastAsia="Times New Roman" w:hAnsi="Times New Roman" w:cs="Times New Roman"/>
        </w:rPr>
        <w:t xml:space="preserve"> Almost all of the</w:t>
      </w:r>
      <w:r w:rsidR="003F4D37">
        <w:rPr>
          <w:rFonts w:ascii="Times New Roman" w:eastAsia="Times New Roman" w:hAnsi="Times New Roman" w:cs="Times New Roman"/>
        </w:rPr>
        <w:t xml:space="preserve"> </w:t>
      </w:r>
      <w:r w:rsidR="003F4D37" w:rsidRPr="003F4D37">
        <w:rPr>
          <w:rFonts w:ascii="Times New Roman" w:eastAsia="Times New Roman" w:hAnsi="Times New Roman" w:cs="Times New Roman"/>
        </w:rPr>
        <w:t>covariates except the</w:t>
      </w:r>
      <w:r w:rsidR="00F03DA2">
        <w:rPr>
          <w:rFonts w:ascii="Times New Roman" w:eastAsia="Times New Roman" w:hAnsi="Times New Roman" w:cs="Times New Roman"/>
        </w:rPr>
        <w:t xml:space="preserve"> post time indicator</w:t>
      </w:r>
      <w:r w:rsidR="003F4D37" w:rsidRPr="003F4D37">
        <w:rPr>
          <w:rFonts w:ascii="Times New Roman" w:eastAsia="Times New Roman" w:hAnsi="Times New Roman" w:cs="Times New Roman"/>
        </w:rPr>
        <w:t xml:space="preserve">, the </w:t>
      </w:r>
      <w:r w:rsidR="003F4D37">
        <w:rPr>
          <w:rFonts w:ascii="Times New Roman" w:eastAsia="Times New Roman" w:hAnsi="Times New Roman" w:cs="Times New Roman"/>
        </w:rPr>
        <w:t>proportion</w:t>
      </w:r>
      <w:r w:rsidR="003F4D37" w:rsidRPr="003F4D37">
        <w:rPr>
          <w:rFonts w:ascii="Times New Roman" w:eastAsia="Times New Roman" w:hAnsi="Times New Roman" w:cs="Times New Roman"/>
        </w:rPr>
        <w:t xml:space="preserve"> of Black residents, and the </w:t>
      </w:r>
      <w:r w:rsidR="003F4D37">
        <w:rPr>
          <w:rFonts w:ascii="Times New Roman" w:eastAsia="Times New Roman" w:hAnsi="Times New Roman" w:cs="Times New Roman"/>
        </w:rPr>
        <w:t>proportion</w:t>
      </w:r>
      <w:r w:rsidR="003F4D37" w:rsidRPr="003F4D37">
        <w:rPr>
          <w:rFonts w:ascii="Times New Roman" w:eastAsia="Times New Roman" w:hAnsi="Times New Roman" w:cs="Times New Roman"/>
        </w:rPr>
        <w:t xml:space="preserve"> of adults with a high school diploma were statistically significant. </w:t>
      </w:r>
      <w:r w:rsidR="005C1F32" w:rsidRPr="005C1F32">
        <w:rPr>
          <w:rFonts w:ascii="Times New Roman" w:eastAsia="Times New Roman" w:hAnsi="Times New Roman" w:cs="Times New Roman"/>
        </w:rPr>
        <w:t>The model explained a substantial portion of the variance in economic well-being, with an R² value of approximately 0.39, indicating that it accounts for about 39% of the variation in the dependent variable.</w:t>
      </w:r>
      <w:r w:rsidR="005C1F32">
        <w:rPr>
          <w:rFonts w:ascii="Times New Roman" w:eastAsia="Times New Roman" w:hAnsi="Times New Roman" w:cs="Times New Roman"/>
        </w:rPr>
        <w:t xml:space="preserve"> </w:t>
      </w:r>
      <w:r w:rsidR="00521E0B">
        <w:rPr>
          <w:rFonts w:ascii="Times New Roman" w:eastAsia="Times New Roman" w:hAnsi="Times New Roman" w:cs="Times New Roman"/>
        </w:rPr>
        <w:t xml:space="preserve">There are likely many other variables that </w:t>
      </w:r>
      <w:r w:rsidR="00F17E9F">
        <w:rPr>
          <w:rFonts w:ascii="Times New Roman" w:eastAsia="Times New Roman" w:hAnsi="Times New Roman" w:cs="Times New Roman"/>
        </w:rPr>
        <w:t>af</w:t>
      </w:r>
      <w:r w:rsidR="00521E0B">
        <w:rPr>
          <w:rFonts w:ascii="Times New Roman" w:eastAsia="Times New Roman" w:hAnsi="Times New Roman" w:cs="Times New Roman"/>
        </w:rPr>
        <w:t>fect the economic well-being of a tract, but adding more covariates runs the risk</w:t>
      </w:r>
      <w:r w:rsidR="00CE43CC">
        <w:rPr>
          <w:rFonts w:ascii="Times New Roman" w:eastAsia="Times New Roman" w:hAnsi="Times New Roman" w:cs="Times New Roman"/>
        </w:rPr>
        <w:t xml:space="preserve"> of</w:t>
      </w:r>
      <w:r w:rsidR="00521E0B">
        <w:rPr>
          <w:rFonts w:ascii="Times New Roman" w:eastAsia="Times New Roman" w:hAnsi="Times New Roman" w:cs="Times New Roman"/>
        </w:rPr>
        <w:t xml:space="preserve"> overfitting the model</w:t>
      </w:r>
      <w:r w:rsidR="00CE43CC">
        <w:rPr>
          <w:rFonts w:ascii="Times New Roman" w:eastAsia="Times New Roman" w:hAnsi="Times New Roman" w:cs="Times New Roman"/>
        </w:rPr>
        <w:t xml:space="preserve"> or capturing the noise and not general trends</w:t>
      </w:r>
      <w:r w:rsidR="00521E0B">
        <w:rPr>
          <w:rFonts w:ascii="Times New Roman" w:eastAsia="Times New Roman" w:hAnsi="Times New Roman" w:cs="Times New Roman"/>
        </w:rPr>
        <w:t>.</w:t>
      </w:r>
      <w:r w:rsidR="00B747FA">
        <w:rPr>
          <w:rFonts w:ascii="Times New Roman" w:eastAsia="Times New Roman" w:hAnsi="Times New Roman" w:cs="Times New Roman"/>
        </w:rPr>
        <w:t xml:space="preserve"> </w:t>
      </w:r>
    </w:p>
    <w:p w14:paraId="0C615C9F" w14:textId="79346658" w:rsidR="002A38DA" w:rsidRDefault="002A1196" w:rsidP="00022690">
      <w:pPr>
        <w:spacing w:line="480" w:lineRule="auto"/>
        <w:rPr>
          <w:rFonts w:ascii="Times New Roman" w:eastAsia="Times New Roman" w:hAnsi="Times New Roman" w:cs="Times New Roman"/>
        </w:rPr>
      </w:pPr>
      <w:r>
        <w:rPr>
          <w:rFonts w:ascii="Times New Roman" w:eastAsia="Times New Roman" w:hAnsi="Times New Roman" w:cs="Times New Roman"/>
        </w:rPr>
        <w:t xml:space="preserve">Since the model </w:t>
      </w:r>
      <w:r w:rsidR="00B55079">
        <w:rPr>
          <w:rFonts w:ascii="Times New Roman" w:eastAsia="Times New Roman" w:hAnsi="Times New Roman" w:cs="Times New Roman"/>
        </w:rPr>
        <w:t>includes</w:t>
      </w:r>
      <w:r>
        <w:rPr>
          <w:rFonts w:ascii="Times New Roman" w:eastAsia="Times New Roman" w:hAnsi="Times New Roman" w:cs="Times New Roman"/>
        </w:rPr>
        <w:t xml:space="preserve"> an interaction term between OZ designation</w:t>
      </w:r>
      <w:r w:rsidR="004B5637">
        <w:rPr>
          <w:rFonts w:ascii="Times New Roman" w:eastAsia="Times New Roman" w:hAnsi="Times New Roman" w:cs="Times New Roman"/>
        </w:rPr>
        <w:t xml:space="preserve"> (OZ)</w:t>
      </w:r>
      <w:r>
        <w:rPr>
          <w:rFonts w:ascii="Times New Roman" w:eastAsia="Times New Roman" w:hAnsi="Times New Roman" w:cs="Times New Roman"/>
        </w:rPr>
        <w:t xml:space="preserve"> and the post-period</w:t>
      </w:r>
      <w:r w:rsidR="004B5637">
        <w:rPr>
          <w:rFonts w:ascii="Times New Roman" w:eastAsia="Times New Roman" w:hAnsi="Times New Roman" w:cs="Times New Roman"/>
        </w:rPr>
        <w:t xml:space="preserve"> (Post)</w:t>
      </w:r>
      <w:r w:rsidR="00663EFD">
        <w:rPr>
          <w:rFonts w:ascii="Times New Roman" w:eastAsia="Times New Roman" w:hAnsi="Times New Roman" w:cs="Times New Roman"/>
        </w:rPr>
        <w:t>,</w:t>
      </w:r>
      <w:r>
        <w:rPr>
          <w:rFonts w:ascii="Times New Roman" w:eastAsia="Times New Roman" w:hAnsi="Times New Roman" w:cs="Times New Roman"/>
        </w:rPr>
        <w:t xml:space="preserve"> both</w:t>
      </w:r>
      <w:r w:rsidR="00B55079">
        <w:rPr>
          <w:rFonts w:ascii="Times New Roman" w:eastAsia="Times New Roman" w:hAnsi="Times New Roman" w:cs="Times New Roman"/>
        </w:rPr>
        <w:t xml:space="preserve"> the</w:t>
      </w:r>
      <w:r>
        <w:rPr>
          <w:rFonts w:ascii="Times New Roman" w:eastAsia="Times New Roman" w:hAnsi="Times New Roman" w:cs="Times New Roman"/>
        </w:rPr>
        <w:t xml:space="preserve"> OZ and Post coefficients </w:t>
      </w:r>
      <w:r w:rsidR="00B55079">
        <w:rPr>
          <w:rFonts w:ascii="Times New Roman" w:eastAsia="Times New Roman" w:hAnsi="Times New Roman" w:cs="Times New Roman"/>
        </w:rPr>
        <w:t>must be</w:t>
      </w:r>
      <w:r>
        <w:rPr>
          <w:rFonts w:ascii="Times New Roman" w:eastAsia="Times New Roman" w:hAnsi="Times New Roman" w:cs="Times New Roman"/>
        </w:rPr>
        <w:t xml:space="preserve"> interpreted conditional</w:t>
      </w:r>
      <w:r w:rsidR="00B55079">
        <w:rPr>
          <w:rFonts w:ascii="Times New Roman" w:eastAsia="Times New Roman" w:hAnsi="Times New Roman" w:cs="Times New Roman"/>
        </w:rPr>
        <w:t xml:space="preserve">ly. </w:t>
      </w:r>
      <w:r>
        <w:rPr>
          <w:rFonts w:ascii="Times New Roman" w:eastAsia="Times New Roman" w:hAnsi="Times New Roman" w:cs="Times New Roman"/>
        </w:rPr>
        <w:t>T</w:t>
      </w:r>
      <w:r w:rsidR="00663EFD">
        <w:rPr>
          <w:rFonts w:ascii="Times New Roman" w:eastAsia="Times New Roman" w:hAnsi="Times New Roman" w:cs="Times New Roman"/>
        </w:rPr>
        <w:t>he</w:t>
      </w:r>
      <w:r w:rsidR="003A7F52">
        <w:rPr>
          <w:rFonts w:ascii="Times New Roman" w:eastAsia="Times New Roman" w:hAnsi="Times New Roman" w:cs="Times New Roman"/>
        </w:rPr>
        <w:t xml:space="preserve"> OZ</w:t>
      </w:r>
      <w:r w:rsidR="00663EFD">
        <w:rPr>
          <w:rFonts w:ascii="Times New Roman" w:eastAsia="Times New Roman" w:hAnsi="Times New Roman" w:cs="Times New Roman"/>
        </w:rPr>
        <w:t xml:space="preserve"> coefficient</w:t>
      </w:r>
      <w:r w:rsidR="003A7F52">
        <w:rPr>
          <w:rFonts w:ascii="Times New Roman" w:eastAsia="Times New Roman" w:hAnsi="Times New Roman" w:cs="Times New Roman"/>
        </w:rPr>
        <w:t xml:space="preserve"> of -.9, indicates that OZ designated tracts and tracts that had a high probability of being a</w:t>
      </w:r>
      <w:r w:rsidR="005C448C">
        <w:rPr>
          <w:rFonts w:ascii="Times New Roman" w:eastAsia="Times New Roman" w:hAnsi="Times New Roman" w:cs="Times New Roman"/>
        </w:rPr>
        <w:t>n</w:t>
      </w:r>
      <w:r w:rsidR="003A7F52">
        <w:rPr>
          <w:rFonts w:ascii="Times New Roman" w:eastAsia="Times New Roman" w:hAnsi="Times New Roman" w:cs="Times New Roman"/>
        </w:rPr>
        <w:t xml:space="preserve"> OZ were nearly 1 point lower on the economic well-being index than non-OZ tracts during the 2014-2018 time period. This suggests that the parallel trends assumption was likely violated as</w:t>
      </w:r>
      <w:r w:rsidR="009A0CA2">
        <w:rPr>
          <w:rFonts w:ascii="Times New Roman" w:eastAsia="Times New Roman" w:hAnsi="Times New Roman" w:cs="Times New Roman"/>
        </w:rPr>
        <w:t xml:space="preserve"> the coefficient was highly significant and</w:t>
      </w:r>
      <w:r w:rsidR="003A7F52">
        <w:rPr>
          <w:rFonts w:ascii="Times New Roman" w:eastAsia="Times New Roman" w:hAnsi="Times New Roman" w:cs="Times New Roman"/>
        </w:rPr>
        <w:t xml:space="preserve"> both groups of tracts were on different economic well-being courses before the implementation of the OZ program.</w:t>
      </w:r>
      <w:r w:rsidR="007243D7">
        <w:rPr>
          <w:rFonts w:ascii="Times New Roman" w:eastAsia="Times New Roman" w:hAnsi="Times New Roman" w:cs="Times New Roman"/>
        </w:rPr>
        <w:t xml:space="preserve"> The Post</w:t>
      </w:r>
      <w:r w:rsidR="004E25A3">
        <w:rPr>
          <w:rFonts w:ascii="Times New Roman" w:eastAsia="Times New Roman" w:hAnsi="Times New Roman" w:cs="Times New Roman"/>
        </w:rPr>
        <w:t xml:space="preserve"> variable</w:t>
      </w:r>
      <w:r w:rsidR="007243D7">
        <w:rPr>
          <w:rFonts w:ascii="Times New Roman" w:eastAsia="Times New Roman" w:hAnsi="Times New Roman" w:cs="Times New Roman"/>
        </w:rPr>
        <w:t xml:space="preserve"> </w:t>
      </w:r>
      <w:r w:rsidR="004E25A3">
        <w:rPr>
          <w:rFonts w:ascii="Times New Roman" w:eastAsia="Times New Roman" w:hAnsi="Times New Roman" w:cs="Times New Roman"/>
        </w:rPr>
        <w:t>coefficient</w:t>
      </w:r>
      <w:r w:rsidR="007243D7">
        <w:rPr>
          <w:rFonts w:ascii="Times New Roman" w:eastAsia="Times New Roman" w:hAnsi="Times New Roman" w:cs="Times New Roman"/>
        </w:rPr>
        <w:t xml:space="preserve"> </w:t>
      </w:r>
      <w:r w:rsidR="004E25A3">
        <w:rPr>
          <w:rFonts w:ascii="Times New Roman" w:eastAsia="Times New Roman" w:hAnsi="Times New Roman" w:cs="Times New Roman"/>
        </w:rPr>
        <w:t>represents</w:t>
      </w:r>
      <w:r w:rsidR="007243D7">
        <w:rPr>
          <w:rFonts w:ascii="Times New Roman" w:eastAsia="Times New Roman" w:hAnsi="Times New Roman" w:cs="Times New Roman"/>
        </w:rPr>
        <w:t xml:space="preserve"> non-OZ tracts </w:t>
      </w:r>
      <w:r w:rsidR="00BD2497">
        <w:rPr>
          <w:rFonts w:ascii="Times New Roman" w:eastAsia="Times New Roman" w:hAnsi="Times New Roman" w:cs="Times New Roman"/>
        </w:rPr>
        <w:t xml:space="preserve">in the </w:t>
      </w:r>
      <w:r w:rsidR="007243D7">
        <w:rPr>
          <w:rFonts w:ascii="Times New Roman" w:eastAsia="Times New Roman" w:hAnsi="Times New Roman" w:cs="Times New Roman"/>
        </w:rPr>
        <w:t>2019-2023</w:t>
      </w:r>
      <w:r w:rsidR="00BD2497">
        <w:rPr>
          <w:rFonts w:ascii="Times New Roman" w:eastAsia="Times New Roman" w:hAnsi="Times New Roman" w:cs="Times New Roman"/>
        </w:rPr>
        <w:t xml:space="preserve"> post-implementation period</w:t>
      </w:r>
      <w:r w:rsidR="007243D7">
        <w:rPr>
          <w:rFonts w:ascii="Times New Roman" w:eastAsia="Times New Roman" w:hAnsi="Times New Roman" w:cs="Times New Roman"/>
        </w:rPr>
        <w:t>. Non-OZ tracts were associated with a negative economic well-being coefficient</w:t>
      </w:r>
      <w:r w:rsidR="00BD2497">
        <w:rPr>
          <w:rFonts w:ascii="Times New Roman" w:eastAsia="Times New Roman" w:hAnsi="Times New Roman" w:cs="Times New Roman"/>
        </w:rPr>
        <w:t xml:space="preserve"> in the post-implementation period</w:t>
      </w:r>
      <w:r w:rsidR="007243D7">
        <w:rPr>
          <w:rFonts w:ascii="Times New Roman" w:eastAsia="Times New Roman" w:hAnsi="Times New Roman" w:cs="Times New Roman"/>
        </w:rPr>
        <w:t xml:space="preserve">; however, it is not statistically significant. </w:t>
      </w:r>
    </w:p>
    <w:p w14:paraId="2FE00360" w14:textId="23D70ED9" w:rsidR="00DF289D" w:rsidRDefault="00A5724F" w:rsidP="00022690">
      <w:pPr>
        <w:spacing w:line="480" w:lineRule="auto"/>
        <w:rPr>
          <w:rFonts w:ascii="Times New Roman" w:eastAsia="Times New Roman" w:hAnsi="Times New Roman" w:cs="Times New Roman"/>
        </w:rPr>
      </w:pPr>
      <w:r w:rsidRPr="00A5724F">
        <w:rPr>
          <w:rFonts w:ascii="Times New Roman" w:eastAsia="Times New Roman" w:hAnsi="Times New Roman" w:cs="Times New Roman"/>
        </w:rPr>
        <w:t xml:space="preserve">The primary coefficient of interest is the interaction term between OZ designation and the post-implementation period </w:t>
      </w:r>
      <w:r w:rsidR="00842D0F">
        <w:rPr>
          <w:rFonts w:ascii="Times New Roman" w:eastAsia="Times New Roman" w:hAnsi="Times New Roman" w:cs="Times New Roman"/>
        </w:rPr>
        <w:t>(</w:t>
      </w:r>
      <w:r w:rsidRPr="00A5724F">
        <w:rPr>
          <w:rFonts w:ascii="Times New Roman" w:eastAsia="Times New Roman" w:hAnsi="Times New Roman" w:cs="Times New Roman"/>
        </w:rPr>
        <w:t xml:space="preserve">OZ </w:t>
      </w:r>
      <w:r w:rsidR="006A7E4D">
        <w:rPr>
          <w:rFonts w:ascii="Times New Roman" w:eastAsia="Times New Roman" w:hAnsi="Times New Roman" w:cs="Times New Roman"/>
        </w:rPr>
        <w:t>*</w:t>
      </w:r>
      <w:r w:rsidRPr="00A5724F">
        <w:rPr>
          <w:rFonts w:ascii="Times New Roman" w:eastAsia="Times New Roman" w:hAnsi="Times New Roman" w:cs="Times New Roman"/>
        </w:rPr>
        <w:t xml:space="preserve"> Post</w:t>
      </w:r>
      <w:r w:rsidR="00842D0F">
        <w:rPr>
          <w:rFonts w:ascii="Times New Roman" w:eastAsia="Times New Roman" w:hAnsi="Times New Roman" w:cs="Times New Roman"/>
        </w:rPr>
        <w:t>)</w:t>
      </w:r>
      <w:r w:rsidRPr="00A5724F">
        <w:rPr>
          <w:rFonts w:ascii="Times New Roman" w:eastAsia="Times New Roman" w:hAnsi="Times New Roman" w:cs="Times New Roman"/>
        </w:rPr>
        <w:t xml:space="preserve">. This coefficient indicates that OZ-designated tracts </w:t>
      </w:r>
      <w:r w:rsidRPr="00A5724F">
        <w:rPr>
          <w:rFonts w:ascii="Times New Roman" w:eastAsia="Times New Roman" w:hAnsi="Times New Roman" w:cs="Times New Roman"/>
        </w:rPr>
        <w:lastRenderedPageBreak/>
        <w:t>experienced a greater improvement in economic well-being during the post-period compared to non-OZ tracts. Although statistically significant at the 1% level, the effect size was relatively modest (0.274), suggesting that the benefits of the OZ program were limited in magnitude.</w:t>
      </w:r>
      <w:r>
        <w:rPr>
          <w:rFonts w:ascii="Times New Roman" w:eastAsia="Times New Roman" w:hAnsi="Times New Roman" w:cs="Times New Roman"/>
        </w:rPr>
        <w:t xml:space="preserve"> </w:t>
      </w:r>
      <w:r w:rsidR="002377FF">
        <w:rPr>
          <w:rFonts w:ascii="Times New Roman" w:eastAsia="Times New Roman" w:hAnsi="Times New Roman" w:cs="Times New Roman"/>
        </w:rPr>
        <w:t>The F statistic is</w:t>
      </w:r>
      <w:r w:rsidR="00577BA4">
        <w:rPr>
          <w:rFonts w:ascii="Times New Roman" w:eastAsia="Times New Roman" w:hAnsi="Times New Roman" w:cs="Times New Roman"/>
        </w:rPr>
        <w:t xml:space="preserve"> both</w:t>
      </w:r>
      <w:r w:rsidR="002377FF">
        <w:rPr>
          <w:rFonts w:ascii="Times New Roman" w:eastAsia="Times New Roman" w:hAnsi="Times New Roman" w:cs="Times New Roman"/>
        </w:rPr>
        <w:t xml:space="preserve"> highly significant </w:t>
      </w:r>
      <w:r w:rsidR="00577BA4">
        <w:rPr>
          <w:rFonts w:ascii="Times New Roman" w:eastAsia="Times New Roman" w:hAnsi="Times New Roman" w:cs="Times New Roman"/>
        </w:rPr>
        <w:t xml:space="preserve">and has a high F statistic value of 7,742 indicating </w:t>
      </w:r>
      <w:r w:rsidR="009E0412">
        <w:rPr>
          <w:rFonts w:ascii="Times New Roman" w:eastAsia="Times New Roman" w:hAnsi="Times New Roman" w:cs="Times New Roman"/>
        </w:rPr>
        <w:t xml:space="preserve">that the model captures a large amount of the overall variance and is a better fit compared to a model predicting </w:t>
      </w:r>
      <w:r w:rsidR="005C11D4">
        <w:rPr>
          <w:rFonts w:ascii="Times New Roman" w:eastAsia="Times New Roman" w:hAnsi="Times New Roman" w:cs="Times New Roman"/>
        </w:rPr>
        <w:t>only</w:t>
      </w:r>
      <w:r w:rsidR="009E0412">
        <w:rPr>
          <w:rFonts w:ascii="Times New Roman" w:eastAsia="Times New Roman" w:hAnsi="Times New Roman" w:cs="Times New Roman"/>
        </w:rPr>
        <w:t xml:space="preserve"> the economic well-being index with no predictors.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2"/>
        <w:gridCol w:w="2780"/>
      </w:tblGrid>
      <w:tr w:rsidR="002A4E48" w:rsidRPr="002A4E48" w14:paraId="1B45ECBE" w14:textId="77777777" w:rsidTr="002A4E48">
        <w:trPr>
          <w:tblCellSpacing w:w="15" w:type="dxa"/>
        </w:trPr>
        <w:tc>
          <w:tcPr>
            <w:tcW w:w="0" w:type="auto"/>
            <w:gridSpan w:val="2"/>
            <w:tcBorders>
              <w:top w:val="nil"/>
              <w:left w:val="nil"/>
              <w:bottom w:val="nil"/>
              <w:right w:val="nil"/>
            </w:tcBorders>
            <w:vAlign w:val="center"/>
            <w:hideMark/>
          </w:tcPr>
          <w:p w14:paraId="7F69DCBB" w14:textId="1C40893B" w:rsidR="002A4E48" w:rsidRPr="002A4E48" w:rsidRDefault="002A4E48" w:rsidP="002A4E48">
            <w:pPr>
              <w:spacing w:line="240" w:lineRule="auto"/>
              <w:ind w:firstLine="0"/>
              <w:rPr>
                <w:rFonts w:ascii="Times New Roman" w:eastAsia="Times New Roman" w:hAnsi="Times New Roman" w:cs="Times New Roman"/>
                <w:sz w:val="20"/>
                <w:szCs w:val="20"/>
              </w:rPr>
            </w:pPr>
          </w:p>
        </w:tc>
      </w:tr>
      <w:tr w:rsidR="002A4E48" w:rsidRPr="002A4E48" w14:paraId="3B5F2993" w14:textId="77777777" w:rsidTr="002A4E48">
        <w:trPr>
          <w:tblCellSpacing w:w="15" w:type="dxa"/>
        </w:trPr>
        <w:tc>
          <w:tcPr>
            <w:tcW w:w="0" w:type="auto"/>
            <w:gridSpan w:val="2"/>
            <w:tcBorders>
              <w:bottom w:val="single" w:sz="6" w:space="0" w:color="000000"/>
            </w:tcBorders>
            <w:vAlign w:val="center"/>
            <w:hideMark/>
          </w:tcPr>
          <w:p w14:paraId="649803C5" w14:textId="77777777" w:rsidR="002A4E48" w:rsidRPr="0007365A" w:rsidRDefault="002A4E48" w:rsidP="00C041C7">
            <w:pPr>
              <w:pStyle w:val="Heading2"/>
              <w:jc w:val="center"/>
              <w:rPr>
                <w:rFonts w:eastAsia="Times New Roman"/>
              </w:rPr>
            </w:pPr>
            <w:bookmarkStart w:id="22" w:name="_Toc197870274"/>
            <w:bookmarkStart w:id="23" w:name="_Toc197886819"/>
            <w:bookmarkStart w:id="24" w:name="_Toc197887526"/>
            <w:bookmarkStart w:id="25" w:name="_Toc197889232"/>
            <w:r w:rsidRPr="0007365A">
              <w:rPr>
                <w:rFonts w:eastAsia="Times New Roman"/>
              </w:rPr>
              <w:t>Table 2: OLS IPW Difference-in-Differences Model: Impact of OZ Policy</w:t>
            </w:r>
            <w:bookmarkEnd w:id="22"/>
            <w:bookmarkEnd w:id="23"/>
            <w:bookmarkEnd w:id="24"/>
            <w:bookmarkEnd w:id="25"/>
          </w:p>
          <w:p w14:paraId="36D59919" w14:textId="77777777" w:rsidR="002A4E48" w:rsidRPr="002A4E48" w:rsidRDefault="002A4E48" w:rsidP="002A4E48">
            <w:pPr>
              <w:spacing w:line="240" w:lineRule="auto"/>
              <w:ind w:firstLine="0"/>
              <w:rPr>
                <w:rFonts w:ascii="Times New Roman" w:eastAsia="Times New Roman" w:hAnsi="Times New Roman" w:cs="Times New Roman"/>
                <w:sz w:val="20"/>
                <w:szCs w:val="20"/>
              </w:rPr>
            </w:pPr>
          </w:p>
        </w:tc>
      </w:tr>
      <w:tr w:rsidR="002A4E48" w:rsidRPr="001051CA" w14:paraId="05235574" w14:textId="77777777" w:rsidTr="002A4E48">
        <w:trPr>
          <w:tblCellSpacing w:w="15" w:type="dxa"/>
        </w:trPr>
        <w:tc>
          <w:tcPr>
            <w:tcW w:w="0" w:type="auto"/>
            <w:vAlign w:val="center"/>
            <w:hideMark/>
          </w:tcPr>
          <w:p w14:paraId="4CCACFE8" w14:textId="77777777" w:rsidR="002A4E48" w:rsidRPr="001051CA" w:rsidRDefault="002A4E48" w:rsidP="002A4E48">
            <w:pPr>
              <w:spacing w:line="240" w:lineRule="auto"/>
              <w:ind w:firstLine="0"/>
              <w:jc w:val="center"/>
              <w:rPr>
                <w:rFonts w:ascii="Times New Roman" w:eastAsia="Times New Roman" w:hAnsi="Times New Roman" w:cs="Times New Roman"/>
                <w:sz w:val="22"/>
                <w:szCs w:val="22"/>
              </w:rPr>
            </w:pPr>
          </w:p>
        </w:tc>
        <w:tc>
          <w:tcPr>
            <w:tcW w:w="0" w:type="auto"/>
            <w:vAlign w:val="center"/>
            <w:hideMark/>
          </w:tcPr>
          <w:p w14:paraId="1B96D984" w14:textId="77777777" w:rsidR="002A4E48" w:rsidRPr="001051CA" w:rsidRDefault="002A4E48" w:rsidP="002A4E48">
            <w:pPr>
              <w:spacing w:line="240" w:lineRule="auto"/>
              <w:ind w:firstLine="0"/>
              <w:jc w:val="center"/>
              <w:rPr>
                <w:rFonts w:ascii="Times New Roman" w:eastAsia="Times New Roman" w:hAnsi="Times New Roman" w:cs="Times New Roman"/>
                <w:sz w:val="22"/>
                <w:szCs w:val="22"/>
              </w:rPr>
            </w:pPr>
            <w:r w:rsidRPr="001051CA">
              <w:rPr>
                <w:rFonts w:ascii="Times New Roman" w:eastAsia="Times New Roman" w:hAnsi="Times New Roman" w:cs="Times New Roman"/>
                <w:i/>
                <w:iCs/>
                <w:sz w:val="22"/>
                <w:szCs w:val="22"/>
              </w:rPr>
              <w:t>Dependent variable:</w:t>
            </w:r>
          </w:p>
        </w:tc>
      </w:tr>
      <w:tr w:rsidR="002A4E48" w:rsidRPr="001051CA" w14:paraId="5656BB55" w14:textId="77777777" w:rsidTr="002A4E48">
        <w:trPr>
          <w:tblCellSpacing w:w="15" w:type="dxa"/>
        </w:trPr>
        <w:tc>
          <w:tcPr>
            <w:tcW w:w="0" w:type="auto"/>
            <w:vAlign w:val="center"/>
            <w:hideMark/>
          </w:tcPr>
          <w:p w14:paraId="3791F4F8" w14:textId="77777777" w:rsidR="002A4E48" w:rsidRPr="001051CA" w:rsidRDefault="002A4E48" w:rsidP="002A4E48">
            <w:pPr>
              <w:spacing w:line="240" w:lineRule="auto"/>
              <w:ind w:firstLine="0"/>
              <w:jc w:val="center"/>
              <w:rPr>
                <w:rFonts w:ascii="Times New Roman" w:eastAsia="Times New Roman" w:hAnsi="Times New Roman" w:cs="Times New Roman"/>
                <w:sz w:val="22"/>
                <w:szCs w:val="22"/>
              </w:rPr>
            </w:pPr>
          </w:p>
        </w:tc>
        <w:tc>
          <w:tcPr>
            <w:tcW w:w="0" w:type="auto"/>
            <w:tcBorders>
              <w:bottom w:val="single" w:sz="6" w:space="0" w:color="000000"/>
            </w:tcBorders>
            <w:vAlign w:val="center"/>
            <w:hideMark/>
          </w:tcPr>
          <w:p w14:paraId="756F9FEA" w14:textId="77777777" w:rsidR="002A4E48" w:rsidRPr="001051CA" w:rsidRDefault="002A4E48" w:rsidP="002A4E48">
            <w:pPr>
              <w:spacing w:line="240" w:lineRule="auto"/>
              <w:ind w:firstLine="0"/>
              <w:jc w:val="center"/>
              <w:rPr>
                <w:rFonts w:ascii="Times New Roman" w:eastAsia="Times New Roman" w:hAnsi="Times New Roman" w:cs="Times New Roman"/>
                <w:sz w:val="22"/>
                <w:szCs w:val="22"/>
              </w:rPr>
            </w:pPr>
          </w:p>
        </w:tc>
      </w:tr>
      <w:tr w:rsidR="002A4E48" w:rsidRPr="001051CA" w14:paraId="7379F739" w14:textId="77777777" w:rsidTr="002A4E48">
        <w:trPr>
          <w:tblCellSpacing w:w="15" w:type="dxa"/>
        </w:trPr>
        <w:tc>
          <w:tcPr>
            <w:tcW w:w="0" w:type="auto"/>
            <w:vAlign w:val="center"/>
            <w:hideMark/>
          </w:tcPr>
          <w:p w14:paraId="585D984D" w14:textId="77777777" w:rsidR="002A4E48" w:rsidRPr="001051CA" w:rsidRDefault="002A4E48" w:rsidP="002A4E48">
            <w:pPr>
              <w:spacing w:line="240" w:lineRule="auto"/>
              <w:ind w:firstLine="0"/>
              <w:jc w:val="center"/>
              <w:rPr>
                <w:rFonts w:ascii="Times New Roman" w:eastAsia="Times New Roman" w:hAnsi="Times New Roman" w:cs="Times New Roman"/>
                <w:sz w:val="22"/>
                <w:szCs w:val="22"/>
              </w:rPr>
            </w:pPr>
          </w:p>
        </w:tc>
        <w:tc>
          <w:tcPr>
            <w:tcW w:w="0" w:type="auto"/>
            <w:vAlign w:val="center"/>
            <w:hideMark/>
          </w:tcPr>
          <w:p w14:paraId="19A89572" w14:textId="77777777" w:rsidR="002A4E48" w:rsidRPr="001051CA" w:rsidRDefault="002A4E48" w:rsidP="002A4E48">
            <w:pPr>
              <w:spacing w:line="240" w:lineRule="auto"/>
              <w:ind w:firstLine="0"/>
              <w:jc w:val="center"/>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Economic Well-being Index</w:t>
            </w:r>
          </w:p>
        </w:tc>
      </w:tr>
      <w:tr w:rsidR="002A4E48" w:rsidRPr="001051CA" w14:paraId="244C256E" w14:textId="77777777" w:rsidTr="002A4E48">
        <w:trPr>
          <w:tblCellSpacing w:w="15" w:type="dxa"/>
        </w:trPr>
        <w:tc>
          <w:tcPr>
            <w:tcW w:w="0" w:type="auto"/>
            <w:gridSpan w:val="2"/>
            <w:tcBorders>
              <w:bottom w:val="single" w:sz="6" w:space="0" w:color="000000"/>
            </w:tcBorders>
            <w:vAlign w:val="center"/>
            <w:hideMark/>
          </w:tcPr>
          <w:p w14:paraId="290E4A7B" w14:textId="77777777" w:rsidR="002A4E48" w:rsidRPr="001051CA" w:rsidRDefault="002A4E48" w:rsidP="002A4E48">
            <w:pPr>
              <w:spacing w:line="240" w:lineRule="auto"/>
              <w:ind w:firstLine="0"/>
              <w:jc w:val="center"/>
              <w:rPr>
                <w:rFonts w:ascii="Times New Roman" w:eastAsia="Times New Roman" w:hAnsi="Times New Roman" w:cs="Times New Roman"/>
                <w:sz w:val="22"/>
                <w:szCs w:val="22"/>
              </w:rPr>
            </w:pPr>
          </w:p>
        </w:tc>
      </w:tr>
      <w:tr w:rsidR="002A4E48" w:rsidRPr="001051CA" w14:paraId="010F726F" w14:textId="77777777" w:rsidTr="002A4E48">
        <w:trPr>
          <w:tblCellSpacing w:w="15" w:type="dxa"/>
        </w:trPr>
        <w:tc>
          <w:tcPr>
            <w:tcW w:w="0" w:type="auto"/>
            <w:vAlign w:val="center"/>
            <w:hideMark/>
          </w:tcPr>
          <w:p w14:paraId="1844B126" w14:textId="77777777" w:rsidR="002A4E48" w:rsidRPr="001051CA" w:rsidRDefault="002A4E48" w:rsidP="00C20A6C">
            <w:pPr>
              <w:spacing w:line="240" w:lineRule="auto"/>
              <w:ind w:firstLine="0"/>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 xml:space="preserve">OZ (OZ = 1, </w:t>
            </w:r>
            <w:proofErr w:type="gramStart"/>
            <w:r w:rsidRPr="001051CA">
              <w:rPr>
                <w:rFonts w:ascii="Times New Roman" w:eastAsia="Times New Roman" w:hAnsi="Times New Roman" w:cs="Times New Roman"/>
                <w:sz w:val="22"/>
                <w:szCs w:val="22"/>
              </w:rPr>
              <w:t>Non-OZ</w:t>
            </w:r>
            <w:proofErr w:type="gramEnd"/>
            <w:r w:rsidRPr="001051CA">
              <w:rPr>
                <w:rFonts w:ascii="Times New Roman" w:eastAsia="Times New Roman" w:hAnsi="Times New Roman" w:cs="Times New Roman"/>
                <w:sz w:val="22"/>
                <w:szCs w:val="22"/>
              </w:rPr>
              <w:t xml:space="preserve"> = 0)</w:t>
            </w:r>
          </w:p>
        </w:tc>
        <w:tc>
          <w:tcPr>
            <w:tcW w:w="0" w:type="auto"/>
            <w:vAlign w:val="center"/>
            <w:hideMark/>
          </w:tcPr>
          <w:p w14:paraId="1E4CBD86"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-0.902</w:t>
            </w:r>
            <w:r w:rsidRPr="001051CA">
              <w:rPr>
                <w:rFonts w:ascii="Times New Roman" w:eastAsia="Times New Roman" w:hAnsi="Times New Roman" w:cs="Times New Roman"/>
                <w:sz w:val="22"/>
                <w:szCs w:val="22"/>
                <w:vertAlign w:val="superscript"/>
              </w:rPr>
              <w:t>***</w:t>
            </w:r>
          </w:p>
        </w:tc>
      </w:tr>
      <w:tr w:rsidR="002A4E48" w:rsidRPr="001051CA" w14:paraId="47EB104B" w14:textId="77777777" w:rsidTr="002A4E48">
        <w:trPr>
          <w:tblCellSpacing w:w="15" w:type="dxa"/>
        </w:trPr>
        <w:tc>
          <w:tcPr>
            <w:tcW w:w="0" w:type="auto"/>
            <w:vAlign w:val="center"/>
            <w:hideMark/>
          </w:tcPr>
          <w:p w14:paraId="48A5BB01"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p>
        </w:tc>
        <w:tc>
          <w:tcPr>
            <w:tcW w:w="0" w:type="auto"/>
            <w:vAlign w:val="center"/>
            <w:hideMark/>
          </w:tcPr>
          <w:p w14:paraId="1903F56D"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(0.030)</w:t>
            </w:r>
          </w:p>
        </w:tc>
      </w:tr>
      <w:tr w:rsidR="002A4E48" w:rsidRPr="001051CA" w14:paraId="210A46CE" w14:textId="77777777" w:rsidTr="002A4E48">
        <w:trPr>
          <w:tblCellSpacing w:w="15" w:type="dxa"/>
        </w:trPr>
        <w:tc>
          <w:tcPr>
            <w:tcW w:w="0" w:type="auto"/>
            <w:vAlign w:val="center"/>
            <w:hideMark/>
          </w:tcPr>
          <w:p w14:paraId="1FDCE1D8" w14:textId="77777777" w:rsidR="002A4E48" w:rsidRPr="001051CA" w:rsidRDefault="002A4E48" w:rsidP="00C20A6C">
            <w:pPr>
              <w:spacing w:line="240" w:lineRule="auto"/>
              <w:ind w:firstLine="0"/>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Post (2019-2023 = 1, 2014-2018 = 0)</w:t>
            </w:r>
          </w:p>
        </w:tc>
        <w:tc>
          <w:tcPr>
            <w:tcW w:w="0" w:type="auto"/>
            <w:vAlign w:val="center"/>
            <w:hideMark/>
          </w:tcPr>
          <w:p w14:paraId="77D0D1B7"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-0.037</w:t>
            </w:r>
          </w:p>
        </w:tc>
      </w:tr>
      <w:tr w:rsidR="002A4E48" w:rsidRPr="001051CA" w14:paraId="5FD62ACF" w14:textId="77777777" w:rsidTr="002A4E48">
        <w:trPr>
          <w:tblCellSpacing w:w="15" w:type="dxa"/>
        </w:trPr>
        <w:tc>
          <w:tcPr>
            <w:tcW w:w="0" w:type="auto"/>
            <w:vAlign w:val="center"/>
            <w:hideMark/>
          </w:tcPr>
          <w:p w14:paraId="224B00EA"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p>
        </w:tc>
        <w:tc>
          <w:tcPr>
            <w:tcW w:w="0" w:type="auto"/>
            <w:vAlign w:val="center"/>
            <w:hideMark/>
          </w:tcPr>
          <w:p w14:paraId="326ECDB3"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(0.030)</w:t>
            </w:r>
          </w:p>
        </w:tc>
      </w:tr>
      <w:tr w:rsidR="002A4E48" w:rsidRPr="001051CA" w14:paraId="7A981651" w14:textId="77777777" w:rsidTr="002A4E48">
        <w:trPr>
          <w:tblCellSpacing w:w="15" w:type="dxa"/>
        </w:trPr>
        <w:tc>
          <w:tcPr>
            <w:tcW w:w="0" w:type="auto"/>
            <w:vAlign w:val="center"/>
            <w:hideMark/>
          </w:tcPr>
          <w:p w14:paraId="36353EC9" w14:textId="77777777" w:rsidR="002A4E48" w:rsidRPr="001051CA" w:rsidRDefault="002A4E48" w:rsidP="00C20A6C">
            <w:pPr>
              <w:spacing w:line="240" w:lineRule="auto"/>
              <w:ind w:firstLine="0"/>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White Population</w:t>
            </w:r>
          </w:p>
        </w:tc>
        <w:tc>
          <w:tcPr>
            <w:tcW w:w="0" w:type="auto"/>
            <w:vAlign w:val="center"/>
            <w:hideMark/>
          </w:tcPr>
          <w:p w14:paraId="33B67AF7"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1.486</w:t>
            </w:r>
            <w:r w:rsidRPr="001051CA">
              <w:rPr>
                <w:rFonts w:ascii="Times New Roman" w:eastAsia="Times New Roman" w:hAnsi="Times New Roman" w:cs="Times New Roman"/>
                <w:sz w:val="22"/>
                <w:szCs w:val="22"/>
                <w:vertAlign w:val="superscript"/>
              </w:rPr>
              <w:t>***</w:t>
            </w:r>
          </w:p>
        </w:tc>
      </w:tr>
      <w:tr w:rsidR="002A4E48" w:rsidRPr="001051CA" w14:paraId="563384FD" w14:textId="77777777" w:rsidTr="002A4E48">
        <w:trPr>
          <w:tblCellSpacing w:w="15" w:type="dxa"/>
        </w:trPr>
        <w:tc>
          <w:tcPr>
            <w:tcW w:w="0" w:type="auto"/>
            <w:vAlign w:val="center"/>
            <w:hideMark/>
          </w:tcPr>
          <w:p w14:paraId="379D114B"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p>
        </w:tc>
        <w:tc>
          <w:tcPr>
            <w:tcW w:w="0" w:type="auto"/>
            <w:vAlign w:val="center"/>
            <w:hideMark/>
          </w:tcPr>
          <w:p w14:paraId="1FAD4B6E"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(0.136)</w:t>
            </w:r>
          </w:p>
        </w:tc>
      </w:tr>
      <w:tr w:rsidR="002A4E48" w:rsidRPr="001051CA" w14:paraId="5A8030D2" w14:textId="77777777" w:rsidTr="002A4E48">
        <w:trPr>
          <w:tblCellSpacing w:w="15" w:type="dxa"/>
        </w:trPr>
        <w:tc>
          <w:tcPr>
            <w:tcW w:w="0" w:type="auto"/>
            <w:vAlign w:val="center"/>
            <w:hideMark/>
          </w:tcPr>
          <w:p w14:paraId="1181C96F" w14:textId="77777777" w:rsidR="002A4E48" w:rsidRPr="001051CA" w:rsidRDefault="002A4E48" w:rsidP="00C20A6C">
            <w:pPr>
              <w:spacing w:line="240" w:lineRule="auto"/>
              <w:ind w:firstLine="0"/>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Black Population</w:t>
            </w:r>
          </w:p>
        </w:tc>
        <w:tc>
          <w:tcPr>
            <w:tcW w:w="0" w:type="auto"/>
            <w:vAlign w:val="center"/>
            <w:hideMark/>
          </w:tcPr>
          <w:p w14:paraId="3B1973E7"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-0.078</w:t>
            </w:r>
          </w:p>
        </w:tc>
      </w:tr>
      <w:tr w:rsidR="002A4E48" w:rsidRPr="001051CA" w14:paraId="3829BFAE" w14:textId="77777777" w:rsidTr="002A4E48">
        <w:trPr>
          <w:tblCellSpacing w:w="15" w:type="dxa"/>
        </w:trPr>
        <w:tc>
          <w:tcPr>
            <w:tcW w:w="0" w:type="auto"/>
            <w:vAlign w:val="center"/>
            <w:hideMark/>
          </w:tcPr>
          <w:p w14:paraId="02DDC235"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p>
        </w:tc>
        <w:tc>
          <w:tcPr>
            <w:tcW w:w="0" w:type="auto"/>
            <w:vAlign w:val="center"/>
            <w:hideMark/>
          </w:tcPr>
          <w:p w14:paraId="10701D89"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(0.133)</w:t>
            </w:r>
          </w:p>
        </w:tc>
      </w:tr>
      <w:tr w:rsidR="002A4E48" w:rsidRPr="001051CA" w14:paraId="397E28E5" w14:textId="77777777" w:rsidTr="002A4E48">
        <w:trPr>
          <w:tblCellSpacing w:w="15" w:type="dxa"/>
        </w:trPr>
        <w:tc>
          <w:tcPr>
            <w:tcW w:w="0" w:type="auto"/>
            <w:vAlign w:val="center"/>
            <w:hideMark/>
          </w:tcPr>
          <w:p w14:paraId="34AB3574" w14:textId="77777777" w:rsidR="002A4E48" w:rsidRPr="001051CA" w:rsidRDefault="002A4E48" w:rsidP="00C20A6C">
            <w:pPr>
              <w:spacing w:line="240" w:lineRule="auto"/>
              <w:ind w:firstLine="0"/>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Asian Population</w:t>
            </w:r>
          </w:p>
        </w:tc>
        <w:tc>
          <w:tcPr>
            <w:tcW w:w="0" w:type="auto"/>
            <w:vAlign w:val="center"/>
            <w:hideMark/>
          </w:tcPr>
          <w:p w14:paraId="272E624F"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12.076</w:t>
            </w:r>
            <w:r w:rsidRPr="001051CA">
              <w:rPr>
                <w:rFonts w:ascii="Times New Roman" w:eastAsia="Times New Roman" w:hAnsi="Times New Roman" w:cs="Times New Roman"/>
                <w:sz w:val="22"/>
                <w:szCs w:val="22"/>
                <w:vertAlign w:val="superscript"/>
              </w:rPr>
              <w:t>***</w:t>
            </w:r>
          </w:p>
        </w:tc>
      </w:tr>
      <w:tr w:rsidR="002A4E48" w:rsidRPr="001051CA" w14:paraId="3EC5D541" w14:textId="77777777" w:rsidTr="002A4E48">
        <w:trPr>
          <w:tblCellSpacing w:w="15" w:type="dxa"/>
        </w:trPr>
        <w:tc>
          <w:tcPr>
            <w:tcW w:w="0" w:type="auto"/>
            <w:vAlign w:val="center"/>
            <w:hideMark/>
          </w:tcPr>
          <w:p w14:paraId="37F3BBDF"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p>
        </w:tc>
        <w:tc>
          <w:tcPr>
            <w:tcW w:w="0" w:type="auto"/>
            <w:vAlign w:val="center"/>
            <w:hideMark/>
          </w:tcPr>
          <w:p w14:paraId="1C7B3C52"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(0.227)</w:t>
            </w:r>
          </w:p>
        </w:tc>
      </w:tr>
      <w:tr w:rsidR="002A4E48" w:rsidRPr="001051CA" w14:paraId="38056A5F" w14:textId="77777777" w:rsidTr="002A4E48">
        <w:trPr>
          <w:tblCellSpacing w:w="15" w:type="dxa"/>
        </w:trPr>
        <w:tc>
          <w:tcPr>
            <w:tcW w:w="0" w:type="auto"/>
            <w:vAlign w:val="center"/>
            <w:hideMark/>
          </w:tcPr>
          <w:p w14:paraId="4692F2AF" w14:textId="77777777" w:rsidR="002A4E48" w:rsidRPr="001051CA" w:rsidRDefault="002A4E48" w:rsidP="00C20A6C">
            <w:pPr>
              <w:spacing w:line="240" w:lineRule="auto"/>
              <w:ind w:firstLine="0"/>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Hispanic Population</w:t>
            </w:r>
          </w:p>
        </w:tc>
        <w:tc>
          <w:tcPr>
            <w:tcW w:w="0" w:type="auto"/>
            <w:vAlign w:val="center"/>
            <w:hideMark/>
          </w:tcPr>
          <w:p w14:paraId="0E74F5C6"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4.140</w:t>
            </w:r>
            <w:r w:rsidRPr="001051CA">
              <w:rPr>
                <w:rFonts w:ascii="Times New Roman" w:eastAsia="Times New Roman" w:hAnsi="Times New Roman" w:cs="Times New Roman"/>
                <w:sz w:val="22"/>
                <w:szCs w:val="22"/>
                <w:vertAlign w:val="superscript"/>
              </w:rPr>
              <w:t>***</w:t>
            </w:r>
          </w:p>
        </w:tc>
      </w:tr>
      <w:tr w:rsidR="002A4E48" w:rsidRPr="001051CA" w14:paraId="2DF7089A" w14:textId="77777777" w:rsidTr="002A4E48">
        <w:trPr>
          <w:tblCellSpacing w:w="15" w:type="dxa"/>
        </w:trPr>
        <w:tc>
          <w:tcPr>
            <w:tcW w:w="0" w:type="auto"/>
            <w:vAlign w:val="center"/>
            <w:hideMark/>
          </w:tcPr>
          <w:p w14:paraId="42CE9641"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p>
        </w:tc>
        <w:tc>
          <w:tcPr>
            <w:tcW w:w="0" w:type="auto"/>
            <w:vAlign w:val="center"/>
            <w:hideMark/>
          </w:tcPr>
          <w:p w14:paraId="0A6709FE"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(0.133)</w:t>
            </w:r>
          </w:p>
        </w:tc>
      </w:tr>
      <w:tr w:rsidR="002A4E48" w:rsidRPr="001051CA" w14:paraId="6A7DC704" w14:textId="77777777" w:rsidTr="002A4E48">
        <w:trPr>
          <w:tblCellSpacing w:w="15" w:type="dxa"/>
        </w:trPr>
        <w:tc>
          <w:tcPr>
            <w:tcW w:w="0" w:type="auto"/>
            <w:vAlign w:val="center"/>
            <w:hideMark/>
          </w:tcPr>
          <w:p w14:paraId="7911BFAD" w14:textId="77777777" w:rsidR="002A4E48" w:rsidRPr="001051CA" w:rsidRDefault="002A4E48" w:rsidP="00C20A6C">
            <w:pPr>
              <w:spacing w:line="240" w:lineRule="auto"/>
              <w:ind w:firstLine="0"/>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High School Graduate</w:t>
            </w:r>
          </w:p>
        </w:tc>
        <w:tc>
          <w:tcPr>
            <w:tcW w:w="0" w:type="auto"/>
            <w:vAlign w:val="center"/>
            <w:hideMark/>
          </w:tcPr>
          <w:p w14:paraId="38F357D8"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0.196</w:t>
            </w:r>
          </w:p>
        </w:tc>
      </w:tr>
      <w:tr w:rsidR="002A4E48" w:rsidRPr="001051CA" w14:paraId="78F1B2F6" w14:textId="77777777" w:rsidTr="002A4E48">
        <w:trPr>
          <w:tblCellSpacing w:w="15" w:type="dxa"/>
        </w:trPr>
        <w:tc>
          <w:tcPr>
            <w:tcW w:w="0" w:type="auto"/>
            <w:vAlign w:val="center"/>
            <w:hideMark/>
          </w:tcPr>
          <w:p w14:paraId="7648E494"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p>
        </w:tc>
        <w:tc>
          <w:tcPr>
            <w:tcW w:w="0" w:type="auto"/>
            <w:vAlign w:val="center"/>
            <w:hideMark/>
          </w:tcPr>
          <w:p w14:paraId="6575F2D5"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(0.208)</w:t>
            </w:r>
          </w:p>
        </w:tc>
      </w:tr>
      <w:tr w:rsidR="002A4E48" w:rsidRPr="001051CA" w14:paraId="33D911E9" w14:textId="77777777" w:rsidTr="002A4E48">
        <w:trPr>
          <w:tblCellSpacing w:w="15" w:type="dxa"/>
        </w:trPr>
        <w:tc>
          <w:tcPr>
            <w:tcW w:w="0" w:type="auto"/>
            <w:vAlign w:val="center"/>
            <w:hideMark/>
          </w:tcPr>
          <w:p w14:paraId="6B6B828C" w14:textId="77777777" w:rsidR="002A4E48" w:rsidRPr="001051CA" w:rsidRDefault="002A4E48" w:rsidP="00C20A6C">
            <w:pPr>
              <w:spacing w:line="240" w:lineRule="auto"/>
              <w:ind w:firstLine="0"/>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Bachelor's Degree</w:t>
            </w:r>
          </w:p>
        </w:tc>
        <w:tc>
          <w:tcPr>
            <w:tcW w:w="0" w:type="auto"/>
            <w:vAlign w:val="center"/>
            <w:hideMark/>
          </w:tcPr>
          <w:p w14:paraId="167C2661"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23.592</w:t>
            </w:r>
            <w:r w:rsidRPr="001051CA">
              <w:rPr>
                <w:rFonts w:ascii="Times New Roman" w:eastAsia="Times New Roman" w:hAnsi="Times New Roman" w:cs="Times New Roman"/>
                <w:sz w:val="22"/>
                <w:szCs w:val="22"/>
                <w:vertAlign w:val="superscript"/>
              </w:rPr>
              <w:t>***</w:t>
            </w:r>
          </w:p>
        </w:tc>
      </w:tr>
      <w:tr w:rsidR="002A4E48" w:rsidRPr="001051CA" w14:paraId="0F3C7CA5" w14:textId="77777777" w:rsidTr="002A4E48">
        <w:trPr>
          <w:tblCellSpacing w:w="15" w:type="dxa"/>
        </w:trPr>
        <w:tc>
          <w:tcPr>
            <w:tcW w:w="0" w:type="auto"/>
            <w:vAlign w:val="center"/>
            <w:hideMark/>
          </w:tcPr>
          <w:p w14:paraId="2990D3BD"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p>
        </w:tc>
        <w:tc>
          <w:tcPr>
            <w:tcW w:w="0" w:type="auto"/>
            <w:vAlign w:val="center"/>
            <w:hideMark/>
          </w:tcPr>
          <w:p w14:paraId="3417C710"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(0.287)</w:t>
            </w:r>
          </w:p>
        </w:tc>
      </w:tr>
      <w:tr w:rsidR="002A4E48" w:rsidRPr="001051CA" w14:paraId="2194D2F2" w14:textId="77777777" w:rsidTr="002A4E48">
        <w:trPr>
          <w:tblCellSpacing w:w="15" w:type="dxa"/>
        </w:trPr>
        <w:tc>
          <w:tcPr>
            <w:tcW w:w="0" w:type="auto"/>
            <w:vAlign w:val="center"/>
            <w:hideMark/>
          </w:tcPr>
          <w:p w14:paraId="1E867287" w14:textId="77777777" w:rsidR="002A4E48" w:rsidRPr="001051CA" w:rsidRDefault="002A4E48" w:rsidP="00C20A6C">
            <w:pPr>
              <w:spacing w:line="240" w:lineRule="auto"/>
              <w:ind w:firstLine="0"/>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Master's Degree</w:t>
            </w:r>
          </w:p>
        </w:tc>
        <w:tc>
          <w:tcPr>
            <w:tcW w:w="0" w:type="auto"/>
            <w:vAlign w:val="center"/>
            <w:hideMark/>
          </w:tcPr>
          <w:p w14:paraId="26E45B71"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26.545</w:t>
            </w:r>
            <w:r w:rsidRPr="001051CA">
              <w:rPr>
                <w:rFonts w:ascii="Times New Roman" w:eastAsia="Times New Roman" w:hAnsi="Times New Roman" w:cs="Times New Roman"/>
                <w:sz w:val="22"/>
                <w:szCs w:val="22"/>
                <w:vertAlign w:val="superscript"/>
              </w:rPr>
              <w:t>***</w:t>
            </w:r>
          </w:p>
        </w:tc>
      </w:tr>
      <w:tr w:rsidR="002A4E48" w:rsidRPr="001051CA" w14:paraId="0DFEE5AD" w14:textId="77777777" w:rsidTr="002A4E48">
        <w:trPr>
          <w:tblCellSpacing w:w="15" w:type="dxa"/>
        </w:trPr>
        <w:tc>
          <w:tcPr>
            <w:tcW w:w="0" w:type="auto"/>
            <w:vAlign w:val="center"/>
            <w:hideMark/>
          </w:tcPr>
          <w:p w14:paraId="656D6009"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p>
        </w:tc>
        <w:tc>
          <w:tcPr>
            <w:tcW w:w="0" w:type="auto"/>
            <w:vAlign w:val="center"/>
            <w:hideMark/>
          </w:tcPr>
          <w:p w14:paraId="300A161B"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(0.506)</w:t>
            </w:r>
          </w:p>
        </w:tc>
      </w:tr>
      <w:tr w:rsidR="002A4E48" w:rsidRPr="001051CA" w14:paraId="00DFD352" w14:textId="77777777" w:rsidTr="002A4E48">
        <w:trPr>
          <w:tblCellSpacing w:w="15" w:type="dxa"/>
        </w:trPr>
        <w:tc>
          <w:tcPr>
            <w:tcW w:w="0" w:type="auto"/>
            <w:vAlign w:val="center"/>
            <w:hideMark/>
          </w:tcPr>
          <w:p w14:paraId="06BDC57D" w14:textId="77777777" w:rsidR="002A4E48" w:rsidRPr="001051CA" w:rsidRDefault="002A4E48" w:rsidP="00C20A6C">
            <w:pPr>
              <w:spacing w:line="240" w:lineRule="auto"/>
              <w:ind w:firstLine="0"/>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Owner-Occupied Housing</w:t>
            </w:r>
          </w:p>
        </w:tc>
        <w:tc>
          <w:tcPr>
            <w:tcW w:w="0" w:type="auto"/>
            <w:vAlign w:val="center"/>
            <w:hideMark/>
          </w:tcPr>
          <w:p w14:paraId="394E0342"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2.956</w:t>
            </w:r>
            <w:r w:rsidRPr="001051CA">
              <w:rPr>
                <w:rFonts w:ascii="Times New Roman" w:eastAsia="Times New Roman" w:hAnsi="Times New Roman" w:cs="Times New Roman"/>
                <w:sz w:val="22"/>
                <w:szCs w:val="22"/>
                <w:vertAlign w:val="superscript"/>
              </w:rPr>
              <w:t>***</w:t>
            </w:r>
          </w:p>
        </w:tc>
      </w:tr>
      <w:tr w:rsidR="002A4E48" w:rsidRPr="001051CA" w14:paraId="2B1C7321" w14:textId="77777777" w:rsidTr="002A4E48">
        <w:trPr>
          <w:tblCellSpacing w:w="15" w:type="dxa"/>
        </w:trPr>
        <w:tc>
          <w:tcPr>
            <w:tcW w:w="0" w:type="auto"/>
            <w:vAlign w:val="center"/>
            <w:hideMark/>
          </w:tcPr>
          <w:p w14:paraId="25BAAA30"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p>
        </w:tc>
        <w:tc>
          <w:tcPr>
            <w:tcW w:w="0" w:type="auto"/>
            <w:vAlign w:val="center"/>
            <w:hideMark/>
          </w:tcPr>
          <w:p w14:paraId="051FAC2A"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(0.057)</w:t>
            </w:r>
          </w:p>
        </w:tc>
      </w:tr>
      <w:tr w:rsidR="002A4E48" w:rsidRPr="001051CA" w14:paraId="57D0B4BA" w14:textId="77777777" w:rsidTr="002A4E48">
        <w:trPr>
          <w:tblCellSpacing w:w="15" w:type="dxa"/>
        </w:trPr>
        <w:tc>
          <w:tcPr>
            <w:tcW w:w="0" w:type="auto"/>
            <w:vAlign w:val="center"/>
            <w:hideMark/>
          </w:tcPr>
          <w:p w14:paraId="7D798D18" w14:textId="77777777" w:rsidR="002A4E48" w:rsidRPr="001051CA" w:rsidRDefault="002A4E48" w:rsidP="00C20A6C">
            <w:pPr>
              <w:spacing w:line="240" w:lineRule="auto"/>
              <w:ind w:firstLine="0"/>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Disabled Population</w:t>
            </w:r>
          </w:p>
        </w:tc>
        <w:tc>
          <w:tcPr>
            <w:tcW w:w="0" w:type="auto"/>
            <w:vAlign w:val="center"/>
            <w:hideMark/>
          </w:tcPr>
          <w:p w14:paraId="3B26BA95"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-19.806</w:t>
            </w:r>
            <w:r w:rsidRPr="001051CA">
              <w:rPr>
                <w:rFonts w:ascii="Times New Roman" w:eastAsia="Times New Roman" w:hAnsi="Times New Roman" w:cs="Times New Roman"/>
                <w:sz w:val="22"/>
                <w:szCs w:val="22"/>
                <w:vertAlign w:val="superscript"/>
              </w:rPr>
              <w:t>***</w:t>
            </w:r>
          </w:p>
        </w:tc>
      </w:tr>
      <w:tr w:rsidR="002A4E48" w:rsidRPr="001051CA" w14:paraId="0DEBBD1B" w14:textId="77777777" w:rsidTr="002A4E48">
        <w:trPr>
          <w:tblCellSpacing w:w="15" w:type="dxa"/>
        </w:trPr>
        <w:tc>
          <w:tcPr>
            <w:tcW w:w="0" w:type="auto"/>
            <w:vAlign w:val="center"/>
            <w:hideMark/>
          </w:tcPr>
          <w:p w14:paraId="7CB23229"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p>
        </w:tc>
        <w:tc>
          <w:tcPr>
            <w:tcW w:w="0" w:type="auto"/>
            <w:vAlign w:val="center"/>
            <w:hideMark/>
          </w:tcPr>
          <w:p w14:paraId="5B3B52FE"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(0.188)</w:t>
            </w:r>
          </w:p>
        </w:tc>
      </w:tr>
      <w:tr w:rsidR="002A4E48" w:rsidRPr="001051CA" w14:paraId="1C2B0080" w14:textId="77777777" w:rsidTr="002A4E48">
        <w:trPr>
          <w:tblCellSpacing w:w="15" w:type="dxa"/>
        </w:trPr>
        <w:tc>
          <w:tcPr>
            <w:tcW w:w="0" w:type="auto"/>
            <w:vAlign w:val="center"/>
            <w:hideMark/>
          </w:tcPr>
          <w:p w14:paraId="27C27EB1" w14:textId="77777777" w:rsidR="002A4E48" w:rsidRPr="001051CA" w:rsidRDefault="002A4E48" w:rsidP="00C20A6C">
            <w:pPr>
              <w:spacing w:line="240" w:lineRule="auto"/>
              <w:ind w:firstLine="0"/>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OZ * Post (</w:t>
            </w:r>
            <w:proofErr w:type="spellStart"/>
            <w:r w:rsidRPr="001051CA">
              <w:rPr>
                <w:rFonts w:ascii="Times New Roman" w:eastAsia="Times New Roman" w:hAnsi="Times New Roman" w:cs="Times New Roman"/>
                <w:sz w:val="22"/>
                <w:szCs w:val="22"/>
              </w:rPr>
              <w:t>DiD</w:t>
            </w:r>
            <w:proofErr w:type="spellEnd"/>
            <w:r w:rsidRPr="001051CA">
              <w:rPr>
                <w:rFonts w:ascii="Times New Roman" w:eastAsia="Times New Roman" w:hAnsi="Times New Roman" w:cs="Times New Roman"/>
                <w:sz w:val="22"/>
                <w:szCs w:val="22"/>
              </w:rPr>
              <w:t xml:space="preserve"> Effect)</w:t>
            </w:r>
          </w:p>
        </w:tc>
        <w:tc>
          <w:tcPr>
            <w:tcW w:w="0" w:type="auto"/>
            <w:vAlign w:val="center"/>
            <w:hideMark/>
          </w:tcPr>
          <w:p w14:paraId="6B830385"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0.274</w:t>
            </w:r>
            <w:r w:rsidRPr="001051CA">
              <w:rPr>
                <w:rFonts w:ascii="Times New Roman" w:eastAsia="Times New Roman" w:hAnsi="Times New Roman" w:cs="Times New Roman"/>
                <w:sz w:val="22"/>
                <w:szCs w:val="22"/>
                <w:vertAlign w:val="superscript"/>
              </w:rPr>
              <w:t>***</w:t>
            </w:r>
          </w:p>
        </w:tc>
      </w:tr>
      <w:tr w:rsidR="002A4E48" w:rsidRPr="001051CA" w14:paraId="6AFA419C" w14:textId="77777777" w:rsidTr="002A4E48">
        <w:trPr>
          <w:tblCellSpacing w:w="15" w:type="dxa"/>
        </w:trPr>
        <w:tc>
          <w:tcPr>
            <w:tcW w:w="0" w:type="auto"/>
            <w:vAlign w:val="center"/>
            <w:hideMark/>
          </w:tcPr>
          <w:p w14:paraId="38BEF9A7"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p>
        </w:tc>
        <w:tc>
          <w:tcPr>
            <w:tcW w:w="0" w:type="auto"/>
            <w:vAlign w:val="center"/>
            <w:hideMark/>
          </w:tcPr>
          <w:p w14:paraId="117C5CA1"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(0.042)</w:t>
            </w:r>
          </w:p>
        </w:tc>
      </w:tr>
      <w:tr w:rsidR="002A4E48" w:rsidRPr="001051CA" w14:paraId="042D57E4" w14:textId="77777777" w:rsidTr="002A4E48">
        <w:trPr>
          <w:tblCellSpacing w:w="15" w:type="dxa"/>
        </w:trPr>
        <w:tc>
          <w:tcPr>
            <w:tcW w:w="0" w:type="auto"/>
            <w:vAlign w:val="center"/>
            <w:hideMark/>
          </w:tcPr>
          <w:p w14:paraId="1DB3F58F" w14:textId="77777777" w:rsidR="002A4E48" w:rsidRPr="001051CA" w:rsidRDefault="002A4E48" w:rsidP="00C20A6C">
            <w:pPr>
              <w:spacing w:line="240" w:lineRule="auto"/>
              <w:ind w:firstLine="0"/>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Constant</w:t>
            </w:r>
          </w:p>
        </w:tc>
        <w:tc>
          <w:tcPr>
            <w:tcW w:w="0" w:type="auto"/>
            <w:vAlign w:val="center"/>
            <w:hideMark/>
          </w:tcPr>
          <w:p w14:paraId="1BE03A68"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7.050</w:t>
            </w:r>
            <w:r w:rsidRPr="001051CA">
              <w:rPr>
                <w:rFonts w:ascii="Times New Roman" w:eastAsia="Times New Roman" w:hAnsi="Times New Roman" w:cs="Times New Roman"/>
                <w:sz w:val="22"/>
                <w:szCs w:val="22"/>
                <w:vertAlign w:val="superscript"/>
              </w:rPr>
              <w:t>***</w:t>
            </w:r>
          </w:p>
        </w:tc>
      </w:tr>
      <w:tr w:rsidR="002A4E48" w:rsidRPr="001051CA" w14:paraId="15577AC5" w14:textId="77777777" w:rsidTr="002A4E48">
        <w:trPr>
          <w:tblCellSpacing w:w="15" w:type="dxa"/>
        </w:trPr>
        <w:tc>
          <w:tcPr>
            <w:tcW w:w="0" w:type="auto"/>
            <w:vAlign w:val="center"/>
            <w:hideMark/>
          </w:tcPr>
          <w:p w14:paraId="5A916A77"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p>
        </w:tc>
        <w:tc>
          <w:tcPr>
            <w:tcW w:w="0" w:type="auto"/>
            <w:vAlign w:val="center"/>
            <w:hideMark/>
          </w:tcPr>
          <w:p w14:paraId="17AE509E" w14:textId="77777777" w:rsidR="002A4E48" w:rsidRPr="001051CA" w:rsidRDefault="002A4E48" w:rsidP="00C20A6C">
            <w:pPr>
              <w:spacing w:line="240" w:lineRule="auto"/>
              <w:ind w:firstLine="0"/>
              <w:jc w:val="center"/>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(0.138)</w:t>
            </w:r>
          </w:p>
        </w:tc>
      </w:tr>
      <w:tr w:rsidR="002A4E48" w:rsidRPr="001051CA" w14:paraId="19402652" w14:textId="77777777" w:rsidTr="002A4E48">
        <w:trPr>
          <w:tblCellSpacing w:w="15" w:type="dxa"/>
        </w:trPr>
        <w:tc>
          <w:tcPr>
            <w:tcW w:w="0" w:type="auto"/>
            <w:gridSpan w:val="2"/>
            <w:tcBorders>
              <w:bottom w:val="single" w:sz="6" w:space="0" w:color="000000"/>
            </w:tcBorders>
            <w:vAlign w:val="center"/>
            <w:hideMark/>
          </w:tcPr>
          <w:p w14:paraId="580D81FA" w14:textId="77777777" w:rsidR="002A4E48" w:rsidRPr="001051CA" w:rsidRDefault="002A4E48" w:rsidP="002A4E48">
            <w:pPr>
              <w:spacing w:line="240" w:lineRule="auto"/>
              <w:ind w:firstLine="0"/>
              <w:jc w:val="center"/>
              <w:rPr>
                <w:rFonts w:ascii="Times New Roman" w:eastAsia="Times New Roman" w:hAnsi="Times New Roman" w:cs="Times New Roman"/>
                <w:sz w:val="22"/>
                <w:szCs w:val="22"/>
              </w:rPr>
            </w:pPr>
          </w:p>
        </w:tc>
      </w:tr>
      <w:tr w:rsidR="002A4E48" w:rsidRPr="001051CA" w14:paraId="432E7408" w14:textId="77777777" w:rsidTr="002A4E48">
        <w:trPr>
          <w:tblCellSpacing w:w="15" w:type="dxa"/>
        </w:trPr>
        <w:tc>
          <w:tcPr>
            <w:tcW w:w="0" w:type="auto"/>
            <w:vAlign w:val="center"/>
            <w:hideMark/>
          </w:tcPr>
          <w:p w14:paraId="4D0ACABD" w14:textId="77777777" w:rsidR="002A4E48" w:rsidRPr="001051CA" w:rsidRDefault="002A4E48" w:rsidP="002A4E48">
            <w:pPr>
              <w:spacing w:line="240" w:lineRule="auto"/>
              <w:ind w:firstLine="0"/>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lastRenderedPageBreak/>
              <w:t>Observations</w:t>
            </w:r>
          </w:p>
        </w:tc>
        <w:tc>
          <w:tcPr>
            <w:tcW w:w="0" w:type="auto"/>
            <w:vAlign w:val="center"/>
            <w:hideMark/>
          </w:tcPr>
          <w:p w14:paraId="3210A248" w14:textId="77777777" w:rsidR="002A4E48" w:rsidRPr="001051CA" w:rsidRDefault="002A4E48" w:rsidP="002A4E48">
            <w:pPr>
              <w:spacing w:line="240" w:lineRule="auto"/>
              <w:ind w:firstLine="0"/>
              <w:jc w:val="center"/>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146,286</w:t>
            </w:r>
          </w:p>
        </w:tc>
      </w:tr>
      <w:tr w:rsidR="002A4E48" w:rsidRPr="001051CA" w14:paraId="0F0C3E9E" w14:textId="77777777" w:rsidTr="002A4E48">
        <w:trPr>
          <w:tblCellSpacing w:w="15" w:type="dxa"/>
        </w:trPr>
        <w:tc>
          <w:tcPr>
            <w:tcW w:w="0" w:type="auto"/>
            <w:vAlign w:val="center"/>
            <w:hideMark/>
          </w:tcPr>
          <w:p w14:paraId="68262282" w14:textId="77777777" w:rsidR="002A4E48" w:rsidRPr="001051CA" w:rsidRDefault="002A4E48" w:rsidP="002A4E48">
            <w:pPr>
              <w:spacing w:line="240" w:lineRule="auto"/>
              <w:ind w:firstLine="0"/>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R</w:t>
            </w:r>
            <w:r w:rsidRPr="001051CA">
              <w:rPr>
                <w:rFonts w:ascii="Times New Roman" w:eastAsia="Times New Roman" w:hAnsi="Times New Roman" w:cs="Times New Roman"/>
                <w:sz w:val="22"/>
                <w:szCs w:val="22"/>
                <w:vertAlign w:val="superscript"/>
              </w:rPr>
              <w:t>2</w:t>
            </w:r>
          </w:p>
        </w:tc>
        <w:tc>
          <w:tcPr>
            <w:tcW w:w="0" w:type="auto"/>
            <w:vAlign w:val="center"/>
            <w:hideMark/>
          </w:tcPr>
          <w:p w14:paraId="1A06B9A2" w14:textId="77777777" w:rsidR="002A4E48" w:rsidRPr="001051CA" w:rsidRDefault="002A4E48" w:rsidP="002A4E48">
            <w:pPr>
              <w:spacing w:line="240" w:lineRule="auto"/>
              <w:ind w:firstLine="0"/>
              <w:jc w:val="center"/>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0.388</w:t>
            </w:r>
          </w:p>
        </w:tc>
      </w:tr>
      <w:tr w:rsidR="002A4E48" w:rsidRPr="001051CA" w14:paraId="396FB19B" w14:textId="77777777" w:rsidTr="002A4E48">
        <w:trPr>
          <w:tblCellSpacing w:w="15" w:type="dxa"/>
        </w:trPr>
        <w:tc>
          <w:tcPr>
            <w:tcW w:w="0" w:type="auto"/>
            <w:vAlign w:val="center"/>
            <w:hideMark/>
          </w:tcPr>
          <w:p w14:paraId="63CAE0CE" w14:textId="77777777" w:rsidR="002A4E48" w:rsidRPr="001051CA" w:rsidRDefault="002A4E48" w:rsidP="002A4E48">
            <w:pPr>
              <w:spacing w:line="240" w:lineRule="auto"/>
              <w:ind w:firstLine="0"/>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Adjusted R</w:t>
            </w:r>
            <w:r w:rsidRPr="001051CA">
              <w:rPr>
                <w:rFonts w:ascii="Times New Roman" w:eastAsia="Times New Roman" w:hAnsi="Times New Roman" w:cs="Times New Roman"/>
                <w:sz w:val="22"/>
                <w:szCs w:val="22"/>
                <w:vertAlign w:val="superscript"/>
              </w:rPr>
              <w:t>2</w:t>
            </w:r>
          </w:p>
        </w:tc>
        <w:tc>
          <w:tcPr>
            <w:tcW w:w="0" w:type="auto"/>
            <w:vAlign w:val="center"/>
            <w:hideMark/>
          </w:tcPr>
          <w:p w14:paraId="791F1B85" w14:textId="77777777" w:rsidR="002A4E48" w:rsidRPr="001051CA" w:rsidRDefault="002A4E48" w:rsidP="002A4E48">
            <w:pPr>
              <w:spacing w:line="240" w:lineRule="auto"/>
              <w:ind w:firstLine="0"/>
              <w:jc w:val="center"/>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0.388</w:t>
            </w:r>
          </w:p>
        </w:tc>
      </w:tr>
      <w:tr w:rsidR="002A4E48" w:rsidRPr="001051CA" w14:paraId="25A506F6" w14:textId="77777777" w:rsidTr="002A4E48">
        <w:trPr>
          <w:tblCellSpacing w:w="15" w:type="dxa"/>
        </w:trPr>
        <w:tc>
          <w:tcPr>
            <w:tcW w:w="0" w:type="auto"/>
            <w:vAlign w:val="center"/>
            <w:hideMark/>
          </w:tcPr>
          <w:p w14:paraId="0CFD5D8E" w14:textId="77777777" w:rsidR="002A4E48" w:rsidRPr="001051CA" w:rsidRDefault="002A4E48" w:rsidP="002A4E48">
            <w:pPr>
              <w:spacing w:line="240" w:lineRule="auto"/>
              <w:ind w:firstLine="0"/>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Residual Std. Error</w:t>
            </w:r>
          </w:p>
        </w:tc>
        <w:tc>
          <w:tcPr>
            <w:tcW w:w="0" w:type="auto"/>
            <w:vAlign w:val="center"/>
            <w:hideMark/>
          </w:tcPr>
          <w:p w14:paraId="6EFAC6AE" w14:textId="77777777" w:rsidR="002A4E48" w:rsidRPr="001051CA" w:rsidRDefault="002A4E48" w:rsidP="002A4E48">
            <w:pPr>
              <w:spacing w:line="240" w:lineRule="auto"/>
              <w:ind w:firstLine="0"/>
              <w:jc w:val="center"/>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1.724 (</w:t>
            </w:r>
            <w:proofErr w:type="spellStart"/>
            <w:r w:rsidRPr="001051CA">
              <w:rPr>
                <w:rFonts w:ascii="Times New Roman" w:eastAsia="Times New Roman" w:hAnsi="Times New Roman" w:cs="Times New Roman"/>
                <w:sz w:val="22"/>
                <w:szCs w:val="22"/>
              </w:rPr>
              <w:t>df</w:t>
            </w:r>
            <w:proofErr w:type="spellEnd"/>
            <w:r w:rsidRPr="001051CA">
              <w:rPr>
                <w:rFonts w:ascii="Times New Roman" w:eastAsia="Times New Roman" w:hAnsi="Times New Roman" w:cs="Times New Roman"/>
                <w:sz w:val="22"/>
                <w:szCs w:val="22"/>
              </w:rPr>
              <w:t xml:space="preserve"> = 146273)</w:t>
            </w:r>
          </w:p>
        </w:tc>
      </w:tr>
      <w:tr w:rsidR="002A4E48" w:rsidRPr="001051CA" w14:paraId="0034AB92" w14:textId="77777777" w:rsidTr="002A4E48">
        <w:trPr>
          <w:tblCellSpacing w:w="15" w:type="dxa"/>
        </w:trPr>
        <w:tc>
          <w:tcPr>
            <w:tcW w:w="0" w:type="auto"/>
            <w:vAlign w:val="center"/>
            <w:hideMark/>
          </w:tcPr>
          <w:p w14:paraId="4708C7AF" w14:textId="77777777" w:rsidR="002A4E48" w:rsidRPr="001051CA" w:rsidRDefault="002A4E48" w:rsidP="002A4E48">
            <w:pPr>
              <w:spacing w:line="240" w:lineRule="auto"/>
              <w:ind w:firstLine="0"/>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F Statistic</w:t>
            </w:r>
          </w:p>
        </w:tc>
        <w:tc>
          <w:tcPr>
            <w:tcW w:w="0" w:type="auto"/>
            <w:vAlign w:val="center"/>
            <w:hideMark/>
          </w:tcPr>
          <w:p w14:paraId="36E166E2" w14:textId="77777777" w:rsidR="002A4E48" w:rsidRPr="001051CA" w:rsidRDefault="002A4E48" w:rsidP="002A4E48">
            <w:pPr>
              <w:spacing w:line="240" w:lineRule="auto"/>
              <w:ind w:firstLine="0"/>
              <w:jc w:val="center"/>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rPr>
              <w:t>7,742.820</w:t>
            </w:r>
            <w:r w:rsidRPr="001051CA">
              <w:rPr>
                <w:rFonts w:ascii="Times New Roman" w:eastAsia="Times New Roman" w:hAnsi="Times New Roman" w:cs="Times New Roman"/>
                <w:sz w:val="22"/>
                <w:szCs w:val="22"/>
                <w:vertAlign w:val="superscript"/>
              </w:rPr>
              <w:t>***</w:t>
            </w:r>
            <w:r w:rsidRPr="001051CA">
              <w:rPr>
                <w:rFonts w:ascii="Times New Roman" w:eastAsia="Times New Roman" w:hAnsi="Times New Roman" w:cs="Times New Roman"/>
                <w:sz w:val="22"/>
                <w:szCs w:val="22"/>
              </w:rPr>
              <w:t> (</w:t>
            </w:r>
            <w:proofErr w:type="spellStart"/>
            <w:r w:rsidRPr="001051CA">
              <w:rPr>
                <w:rFonts w:ascii="Times New Roman" w:eastAsia="Times New Roman" w:hAnsi="Times New Roman" w:cs="Times New Roman"/>
                <w:sz w:val="22"/>
                <w:szCs w:val="22"/>
              </w:rPr>
              <w:t>df</w:t>
            </w:r>
            <w:proofErr w:type="spellEnd"/>
            <w:r w:rsidRPr="001051CA">
              <w:rPr>
                <w:rFonts w:ascii="Times New Roman" w:eastAsia="Times New Roman" w:hAnsi="Times New Roman" w:cs="Times New Roman"/>
                <w:sz w:val="22"/>
                <w:szCs w:val="22"/>
              </w:rPr>
              <w:t xml:space="preserve"> = 12; 146273)</w:t>
            </w:r>
          </w:p>
        </w:tc>
      </w:tr>
      <w:tr w:rsidR="002A4E48" w:rsidRPr="001051CA" w14:paraId="38644A96" w14:textId="77777777" w:rsidTr="002A4E48">
        <w:trPr>
          <w:tblCellSpacing w:w="15" w:type="dxa"/>
        </w:trPr>
        <w:tc>
          <w:tcPr>
            <w:tcW w:w="0" w:type="auto"/>
            <w:gridSpan w:val="2"/>
            <w:tcBorders>
              <w:bottom w:val="single" w:sz="6" w:space="0" w:color="000000"/>
            </w:tcBorders>
            <w:vAlign w:val="center"/>
            <w:hideMark/>
          </w:tcPr>
          <w:p w14:paraId="7FA6ADBE" w14:textId="77777777" w:rsidR="002A4E48" w:rsidRPr="001051CA" w:rsidRDefault="002A4E48" w:rsidP="002A4E48">
            <w:pPr>
              <w:spacing w:line="240" w:lineRule="auto"/>
              <w:ind w:firstLine="0"/>
              <w:jc w:val="center"/>
              <w:rPr>
                <w:rFonts w:ascii="Times New Roman" w:eastAsia="Times New Roman" w:hAnsi="Times New Roman" w:cs="Times New Roman"/>
                <w:sz w:val="22"/>
                <w:szCs w:val="22"/>
              </w:rPr>
            </w:pPr>
          </w:p>
        </w:tc>
      </w:tr>
      <w:tr w:rsidR="002A4E48" w:rsidRPr="001051CA" w14:paraId="20DC06F3" w14:textId="77777777" w:rsidTr="002A4E48">
        <w:trPr>
          <w:tblCellSpacing w:w="15" w:type="dxa"/>
        </w:trPr>
        <w:tc>
          <w:tcPr>
            <w:tcW w:w="0" w:type="auto"/>
            <w:vAlign w:val="center"/>
            <w:hideMark/>
          </w:tcPr>
          <w:p w14:paraId="7A8E2864" w14:textId="77777777" w:rsidR="002A4E48" w:rsidRPr="001051CA" w:rsidRDefault="002A4E48" w:rsidP="002A4E48">
            <w:pPr>
              <w:spacing w:line="240" w:lineRule="auto"/>
              <w:ind w:firstLine="0"/>
              <w:rPr>
                <w:rFonts w:ascii="Times New Roman" w:eastAsia="Times New Roman" w:hAnsi="Times New Roman" w:cs="Times New Roman"/>
                <w:sz w:val="22"/>
                <w:szCs w:val="22"/>
              </w:rPr>
            </w:pPr>
            <w:r w:rsidRPr="001051CA">
              <w:rPr>
                <w:rFonts w:ascii="Times New Roman" w:eastAsia="Times New Roman" w:hAnsi="Times New Roman" w:cs="Times New Roman"/>
                <w:i/>
                <w:iCs/>
                <w:sz w:val="22"/>
                <w:szCs w:val="22"/>
              </w:rPr>
              <w:t>Note:</w:t>
            </w:r>
          </w:p>
        </w:tc>
        <w:tc>
          <w:tcPr>
            <w:tcW w:w="0" w:type="auto"/>
            <w:vAlign w:val="center"/>
            <w:hideMark/>
          </w:tcPr>
          <w:p w14:paraId="3AB0849B" w14:textId="77777777" w:rsidR="002A4E48" w:rsidRPr="001051CA" w:rsidRDefault="002A4E48" w:rsidP="002A4E48">
            <w:pPr>
              <w:spacing w:line="240" w:lineRule="auto"/>
              <w:ind w:firstLine="0"/>
              <w:jc w:val="right"/>
              <w:rPr>
                <w:rFonts w:ascii="Times New Roman" w:eastAsia="Times New Roman" w:hAnsi="Times New Roman" w:cs="Times New Roman"/>
                <w:sz w:val="22"/>
                <w:szCs w:val="22"/>
              </w:rPr>
            </w:pPr>
            <w:r w:rsidRPr="001051CA">
              <w:rPr>
                <w:rFonts w:ascii="Times New Roman" w:eastAsia="Times New Roman" w:hAnsi="Times New Roman" w:cs="Times New Roman"/>
                <w:sz w:val="22"/>
                <w:szCs w:val="22"/>
                <w:vertAlign w:val="superscript"/>
              </w:rPr>
              <w:t>*</w:t>
            </w:r>
            <w:r w:rsidRPr="001051CA">
              <w:rPr>
                <w:rFonts w:ascii="Times New Roman" w:eastAsia="Times New Roman" w:hAnsi="Times New Roman" w:cs="Times New Roman"/>
                <w:sz w:val="22"/>
                <w:szCs w:val="22"/>
              </w:rPr>
              <w:t>p&lt;0.1; </w:t>
            </w:r>
            <w:r w:rsidRPr="001051CA">
              <w:rPr>
                <w:rFonts w:ascii="Times New Roman" w:eastAsia="Times New Roman" w:hAnsi="Times New Roman" w:cs="Times New Roman"/>
                <w:sz w:val="22"/>
                <w:szCs w:val="22"/>
                <w:vertAlign w:val="superscript"/>
              </w:rPr>
              <w:t>**</w:t>
            </w:r>
            <w:r w:rsidRPr="001051CA">
              <w:rPr>
                <w:rFonts w:ascii="Times New Roman" w:eastAsia="Times New Roman" w:hAnsi="Times New Roman" w:cs="Times New Roman"/>
                <w:sz w:val="22"/>
                <w:szCs w:val="22"/>
              </w:rPr>
              <w:t>p&lt;0.05; </w:t>
            </w:r>
            <w:r w:rsidRPr="001051CA">
              <w:rPr>
                <w:rFonts w:ascii="Times New Roman" w:eastAsia="Times New Roman" w:hAnsi="Times New Roman" w:cs="Times New Roman"/>
                <w:sz w:val="22"/>
                <w:szCs w:val="22"/>
                <w:vertAlign w:val="superscript"/>
              </w:rPr>
              <w:t>***</w:t>
            </w:r>
            <w:r w:rsidRPr="001051CA">
              <w:rPr>
                <w:rFonts w:ascii="Times New Roman" w:eastAsia="Times New Roman" w:hAnsi="Times New Roman" w:cs="Times New Roman"/>
                <w:sz w:val="22"/>
                <w:szCs w:val="22"/>
              </w:rPr>
              <w:t>p&lt;0.01</w:t>
            </w:r>
          </w:p>
        </w:tc>
      </w:tr>
      <w:tr w:rsidR="002A4E48" w:rsidRPr="002A4E48" w14:paraId="2729232E" w14:textId="77777777" w:rsidTr="002A4E48">
        <w:trPr>
          <w:tblCellSpacing w:w="15" w:type="dxa"/>
        </w:trPr>
        <w:tc>
          <w:tcPr>
            <w:tcW w:w="0" w:type="auto"/>
            <w:vAlign w:val="center"/>
          </w:tcPr>
          <w:p w14:paraId="6DB0E70A" w14:textId="703773AD" w:rsidR="002A4E48" w:rsidRPr="002A4E48" w:rsidRDefault="002A4E48" w:rsidP="002A4E48">
            <w:pPr>
              <w:spacing w:line="240" w:lineRule="auto"/>
              <w:ind w:firstLine="0"/>
              <w:rPr>
                <w:rFonts w:ascii="Times New Roman" w:eastAsia="Times New Roman" w:hAnsi="Times New Roman" w:cs="Times New Roman"/>
                <w:i/>
                <w:iCs/>
              </w:rPr>
            </w:pPr>
            <w:r w:rsidRPr="002A4E48">
              <w:rPr>
                <w:rFonts w:ascii="Times New Roman" w:eastAsia="Times New Roman" w:hAnsi="Times New Roman" w:cs="Times New Roman"/>
                <w:sz w:val="20"/>
                <w:szCs w:val="20"/>
              </w:rPr>
              <w:t>Source: 5-Year ACS, US Census Bureau &amp; Housing Urban Development</w:t>
            </w:r>
          </w:p>
        </w:tc>
        <w:tc>
          <w:tcPr>
            <w:tcW w:w="0" w:type="auto"/>
            <w:vAlign w:val="center"/>
          </w:tcPr>
          <w:p w14:paraId="369C59AD" w14:textId="77777777" w:rsidR="002A4E48" w:rsidRPr="002A4E48" w:rsidRDefault="002A4E48" w:rsidP="002A4E48">
            <w:pPr>
              <w:spacing w:line="240" w:lineRule="auto"/>
              <w:ind w:firstLine="0"/>
              <w:jc w:val="right"/>
              <w:rPr>
                <w:rFonts w:ascii="Times New Roman" w:eastAsia="Times New Roman" w:hAnsi="Times New Roman" w:cs="Times New Roman"/>
                <w:vertAlign w:val="superscript"/>
              </w:rPr>
            </w:pPr>
          </w:p>
        </w:tc>
      </w:tr>
    </w:tbl>
    <w:p w14:paraId="087034D0" w14:textId="77777777" w:rsidR="002A4E48" w:rsidRDefault="002A4E48" w:rsidP="004E58DC">
      <w:pPr>
        <w:spacing w:line="480" w:lineRule="auto"/>
        <w:ind w:firstLine="0"/>
        <w:rPr>
          <w:rFonts w:ascii="Times New Roman" w:eastAsia="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A61A8" w:rsidRPr="00DA61A8" w14:paraId="09100753" w14:textId="77777777" w:rsidTr="00DA61A8">
        <w:trPr>
          <w:tblCellSpacing w:w="15" w:type="dxa"/>
        </w:trPr>
        <w:tc>
          <w:tcPr>
            <w:tcW w:w="0" w:type="auto"/>
            <w:tcBorders>
              <w:top w:val="nil"/>
              <w:left w:val="nil"/>
              <w:bottom w:val="nil"/>
              <w:right w:val="nil"/>
            </w:tcBorders>
            <w:vAlign w:val="center"/>
            <w:hideMark/>
          </w:tcPr>
          <w:p w14:paraId="4AFDE391" w14:textId="4F119AEA" w:rsidR="00DA61A8" w:rsidRPr="00DA61A8" w:rsidRDefault="00DA61A8" w:rsidP="00DA61A8">
            <w:pPr>
              <w:spacing w:line="240" w:lineRule="auto"/>
              <w:ind w:firstLine="0"/>
              <w:rPr>
                <w:rFonts w:ascii="Times New Roman" w:eastAsia="Times New Roman" w:hAnsi="Times New Roman" w:cs="Times New Roman"/>
                <w:sz w:val="20"/>
                <w:szCs w:val="20"/>
              </w:rPr>
            </w:pPr>
          </w:p>
        </w:tc>
      </w:tr>
    </w:tbl>
    <w:p w14:paraId="79BD0576" w14:textId="3498ABD8" w:rsidR="00DA61A8" w:rsidRDefault="003328B2" w:rsidP="004E58DC">
      <w:pPr>
        <w:spacing w:line="480" w:lineRule="auto"/>
        <w:rPr>
          <w:rFonts w:ascii="Times New Roman" w:eastAsia="Times New Roman" w:hAnsi="Times New Roman" w:cs="Times New Roman"/>
        </w:rPr>
      </w:pPr>
      <w:r>
        <w:rPr>
          <w:rFonts w:ascii="Times New Roman" w:eastAsia="Times New Roman" w:hAnsi="Times New Roman" w:cs="Times New Roman"/>
        </w:rPr>
        <w:t>Figure 1 provides a visual of th</w:t>
      </w:r>
      <w:r w:rsidR="00AB7212">
        <w:rPr>
          <w:rFonts w:ascii="Times New Roman" w:eastAsia="Times New Roman" w:hAnsi="Times New Roman" w:cs="Times New Roman"/>
        </w:rPr>
        <w:t>e</w:t>
      </w:r>
      <w:r w:rsidR="00EC4DA2">
        <w:rPr>
          <w:rFonts w:ascii="Times New Roman" w:eastAsia="Times New Roman" w:hAnsi="Times New Roman" w:cs="Times New Roman"/>
        </w:rPr>
        <w:t xml:space="preserve"> average</w:t>
      </w:r>
      <w:r w:rsidR="007D762D">
        <w:rPr>
          <w:rFonts w:ascii="Times New Roman" w:eastAsia="Times New Roman" w:hAnsi="Times New Roman" w:cs="Times New Roman"/>
        </w:rPr>
        <w:t xml:space="preserve"> predicted economic well-being scores from the</w:t>
      </w:r>
      <w:r>
        <w:rPr>
          <w:rFonts w:ascii="Times New Roman" w:eastAsia="Times New Roman" w:hAnsi="Times New Roman" w:cs="Times New Roman"/>
        </w:rPr>
        <w:t xml:space="preserve"> </w:t>
      </w:r>
      <w:proofErr w:type="spellStart"/>
      <w:r>
        <w:rPr>
          <w:rFonts w:ascii="Times New Roman" w:eastAsia="Times New Roman" w:hAnsi="Times New Roman" w:cs="Times New Roman"/>
        </w:rPr>
        <w:t>DiD</w:t>
      </w:r>
      <w:proofErr w:type="spellEnd"/>
      <w:r w:rsidR="00AB7212">
        <w:rPr>
          <w:rFonts w:ascii="Times New Roman" w:eastAsia="Times New Roman" w:hAnsi="Times New Roman" w:cs="Times New Roman"/>
        </w:rPr>
        <w:t xml:space="preserve"> model</w:t>
      </w:r>
      <w:r w:rsidR="00ED6278">
        <w:rPr>
          <w:rFonts w:ascii="Times New Roman" w:eastAsia="Times New Roman" w:hAnsi="Times New Roman" w:cs="Times New Roman"/>
        </w:rPr>
        <w:t xml:space="preserve"> in Table 2</w:t>
      </w:r>
      <w:r w:rsidR="007D762D">
        <w:rPr>
          <w:rFonts w:ascii="Times New Roman" w:eastAsia="Times New Roman" w:hAnsi="Times New Roman" w:cs="Times New Roman"/>
        </w:rPr>
        <w:t xml:space="preserve"> across</w:t>
      </w:r>
      <w:r w:rsidR="00AB7212">
        <w:rPr>
          <w:rFonts w:ascii="Times New Roman" w:eastAsia="Times New Roman" w:hAnsi="Times New Roman" w:cs="Times New Roman"/>
        </w:rPr>
        <w:t xml:space="preserve"> each time period and</w:t>
      </w:r>
      <w:r w:rsidR="007D762D">
        <w:rPr>
          <w:rFonts w:ascii="Times New Roman" w:eastAsia="Times New Roman" w:hAnsi="Times New Roman" w:cs="Times New Roman"/>
        </w:rPr>
        <w:t xml:space="preserve"> for</w:t>
      </w:r>
      <w:r w:rsidR="00AB7212">
        <w:rPr>
          <w:rFonts w:ascii="Times New Roman" w:eastAsia="Times New Roman" w:hAnsi="Times New Roman" w:cs="Times New Roman"/>
        </w:rPr>
        <w:t xml:space="preserve"> OZ</w:t>
      </w:r>
      <w:r w:rsidR="007D762D">
        <w:rPr>
          <w:rFonts w:ascii="Times New Roman" w:eastAsia="Times New Roman" w:hAnsi="Times New Roman" w:cs="Times New Roman"/>
        </w:rPr>
        <w:t xml:space="preserve"> and</w:t>
      </w:r>
      <w:r w:rsidR="00AB7212">
        <w:rPr>
          <w:rFonts w:ascii="Times New Roman" w:eastAsia="Times New Roman" w:hAnsi="Times New Roman" w:cs="Times New Roman"/>
        </w:rPr>
        <w:t xml:space="preserve"> non-OZ </w:t>
      </w:r>
      <w:r w:rsidR="007D762D">
        <w:rPr>
          <w:rFonts w:ascii="Times New Roman" w:eastAsia="Times New Roman" w:hAnsi="Times New Roman" w:cs="Times New Roman"/>
        </w:rPr>
        <w:t>tracts</w:t>
      </w:r>
      <w:r>
        <w:rPr>
          <w:rFonts w:ascii="Times New Roman" w:eastAsia="Times New Roman" w:hAnsi="Times New Roman" w:cs="Times New Roman"/>
        </w:rPr>
        <w:t>. OZ designated and tracts with high propensity scores are represented by the red line and show a clear positive economic well-being trend between the two time periods, whereas non-OZ tracts witnessed a slight decrease in economic well-being in the same two time periods.</w:t>
      </w:r>
      <w:r w:rsidR="00A63131">
        <w:rPr>
          <w:rFonts w:ascii="Times New Roman" w:eastAsia="Times New Roman" w:hAnsi="Times New Roman" w:cs="Times New Roman"/>
        </w:rPr>
        <w:t xml:space="preserve"> Notably, the average economic well-being score</w:t>
      </w:r>
      <w:r w:rsidR="005E54CE">
        <w:rPr>
          <w:rFonts w:ascii="Times New Roman" w:eastAsia="Times New Roman" w:hAnsi="Times New Roman" w:cs="Times New Roman"/>
        </w:rPr>
        <w:t xml:space="preserve"> for non-OZ tracts</w:t>
      </w:r>
      <w:r w:rsidR="00A63131">
        <w:rPr>
          <w:rFonts w:ascii="Times New Roman" w:eastAsia="Times New Roman" w:hAnsi="Times New Roman" w:cs="Times New Roman"/>
        </w:rPr>
        <w:t xml:space="preserve"> was only about </w:t>
      </w:r>
      <w:r w:rsidR="005E54CE">
        <w:rPr>
          <w:rFonts w:ascii="Times New Roman" w:eastAsia="Times New Roman" w:hAnsi="Times New Roman" w:cs="Times New Roman"/>
        </w:rPr>
        <w:t>one</w:t>
      </w:r>
      <w:r w:rsidR="00A63131">
        <w:rPr>
          <w:rFonts w:ascii="Times New Roman" w:eastAsia="Times New Roman" w:hAnsi="Times New Roman" w:cs="Times New Roman"/>
        </w:rPr>
        <w:t xml:space="preserve"> point higher</w:t>
      </w:r>
      <w:r w:rsidR="005E54CE">
        <w:rPr>
          <w:rFonts w:ascii="Times New Roman" w:eastAsia="Times New Roman" w:hAnsi="Times New Roman" w:cs="Times New Roman"/>
        </w:rPr>
        <w:t xml:space="preserve"> than that of</w:t>
      </w:r>
      <w:r w:rsidR="00A63131">
        <w:rPr>
          <w:rFonts w:ascii="Times New Roman" w:eastAsia="Times New Roman" w:hAnsi="Times New Roman" w:cs="Times New Roman"/>
        </w:rPr>
        <w:t xml:space="preserve"> OZ tracts </w:t>
      </w:r>
      <w:r w:rsidR="005E54CE">
        <w:rPr>
          <w:rFonts w:ascii="Times New Roman" w:eastAsia="Times New Roman" w:hAnsi="Times New Roman" w:cs="Times New Roman"/>
        </w:rPr>
        <w:t>prior to</w:t>
      </w:r>
      <w:r w:rsidR="00A63131">
        <w:rPr>
          <w:rFonts w:ascii="Times New Roman" w:eastAsia="Times New Roman" w:hAnsi="Times New Roman" w:cs="Times New Roman"/>
        </w:rPr>
        <w:t xml:space="preserve"> implementation. Th</w:t>
      </w:r>
      <w:r w:rsidR="00907931">
        <w:rPr>
          <w:rFonts w:ascii="Times New Roman" w:eastAsia="Times New Roman" w:hAnsi="Times New Roman" w:cs="Times New Roman"/>
        </w:rPr>
        <w:t>is</w:t>
      </w:r>
      <w:r w:rsidR="00A63131">
        <w:rPr>
          <w:rFonts w:ascii="Times New Roman" w:eastAsia="Times New Roman" w:hAnsi="Times New Roman" w:cs="Times New Roman"/>
        </w:rPr>
        <w:t xml:space="preserve"> gap </w:t>
      </w:r>
      <w:r w:rsidR="00907931">
        <w:rPr>
          <w:rFonts w:ascii="Times New Roman" w:eastAsia="Times New Roman" w:hAnsi="Times New Roman" w:cs="Times New Roman"/>
        </w:rPr>
        <w:t>narrowed</w:t>
      </w:r>
      <w:r w:rsidR="00A63131">
        <w:rPr>
          <w:rFonts w:ascii="Times New Roman" w:eastAsia="Times New Roman" w:hAnsi="Times New Roman" w:cs="Times New Roman"/>
        </w:rPr>
        <w:t xml:space="preserve"> to </w:t>
      </w:r>
      <w:r w:rsidR="00907931">
        <w:rPr>
          <w:rFonts w:ascii="Times New Roman" w:eastAsia="Times New Roman" w:hAnsi="Times New Roman" w:cs="Times New Roman"/>
        </w:rPr>
        <w:t>roughly</w:t>
      </w:r>
      <w:r w:rsidR="00A63131">
        <w:rPr>
          <w:rFonts w:ascii="Times New Roman" w:eastAsia="Times New Roman" w:hAnsi="Times New Roman" w:cs="Times New Roman"/>
        </w:rPr>
        <w:t xml:space="preserve"> </w:t>
      </w:r>
      <w:r w:rsidR="00907931">
        <w:rPr>
          <w:rFonts w:ascii="Times New Roman" w:eastAsia="Times New Roman" w:hAnsi="Times New Roman" w:cs="Times New Roman"/>
        </w:rPr>
        <w:t>half a</w:t>
      </w:r>
      <w:r w:rsidR="00A63131">
        <w:rPr>
          <w:rFonts w:ascii="Times New Roman" w:eastAsia="Times New Roman" w:hAnsi="Times New Roman" w:cs="Times New Roman"/>
        </w:rPr>
        <w:t xml:space="preserve"> </w:t>
      </w:r>
      <w:r w:rsidR="00F2293F">
        <w:rPr>
          <w:rFonts w:ascii="Times New Roman" w:eastAsia="Times New Roman" w:hAnsi="Times New Roman" w:cs="Times New Roman"/>
        </w:rPr>
        <w:t>point</w:t>
      </w:r>
      <w:r w:rsidR="00A63131">
        <w:rPr>
          <w:rFonts w:ascii="Times New Roman" w:eastAsia="Times New Roman" w:hAnsi="Times New Roman" w:cs="Times New Roman"/>
        </w:rPr>
        <w:t xml:space="preserve"> in the post period</w:t>
      </w:r>
      <w:r w:rsidR="00907931">
        <w:rPr>
          <w:rFonts w:ascii="Times New Roman" w:eastAsia="Times New Roman" w:hAnsi="Times New Roman" w:cs="Times New Roman"/>
        </w:rPr>
        <w:t>, suggesting a modest relative improvement for OZ-designated tracts.</w:t>
      </w:r>
      <w:r w:rsidR="00A63131">
        <w:rPr>
          <w:rFonts w:ascii="Times New Roman" w:eastAsia="Times New Roman" w:hAnsi="Times New Roman" w:cs="Times New Roman"/>
        </w:rPr>
        <w:t xml:space="preserve"> </w:t>
      </w:r>
    </w:p>
    <w:p w14:paraId="00000088" w14:textId="36A22867" w:rsidR="008F49C7" w:rsidRPr="00DD46F4" w:rsidRDefault="000E5E2C" w:rsidP="00DD46F4">
      <w:pPr>
        <w:rPr>
          <w:rFonts w:eastAsiaTheme="majorEastAsia"/>
        </w:rPr>
      </w:pPr>
      <w:r>
        <w:rPr>
          <w:noProof/>
        </w:rPr>
        <w:drawing>
          <wp:inline distT="0" distB="0" distL="0" distR="0" wp14:anchorId="51D36B85" wp14:editId="548B29C3">
            <wp:extent cx="4610099" cy="3457575"/>
            <wp:effectExtent l="0" t="0" r="635" b="0"/>
            <wp:docPr id="1372710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27352" cy="3470515"/>
                    </a:xfrm>
                    <a:prstGeom prst="rect">
                      <a:avLst/>
                    </a:prstGeom>
                    <a:noFill/>
                    <a:ln>
                      <a:noFill/>
                    </a:ln>
                  </pic:spPr>
                </pic:pic>
              </a:graphicData>
            </a:graphic>
          </wp:inline>
        </w:drawing>
      </w:r>
    </w:p>
    <w:p w14:paraId="43F26F30" w14:textId="15060391" w:rsidR="007C1BA8" w:rsidRDefault="00A51985">
      <w:pPr>
        <w:spacing w:line="480" w:lineRule="auto"/>
        <w:rPr>
          <w:rFonts w:ascii="Times New Roman" w:eastAsia="Times New Roman" w:hAnsi="Times New Roman" w:cs="Times New Roman"/>
        </w:rPr>
      </w:pPr>
      <w:r w:rsidRPr="007D6963">
        <w:rPr>
          <w:rFonts w:ascii="Times New Roman" w:eastAsia="Times New Roman" w:hAnsi="Times New Roman" w:cs="Times New Roman"/>
        </w:rPr>
        <w:lastRenderedPageBreak/>
        <w:t xml:space="preserve">Table 3 </w:t>
      </w:r>
      <w:r w:rsidR="00A94BAC">
        <w:rPr>
          <w:rFonts w:ascii="Times New Roman" w:eastAsia="Times New Roman" w:hAnsi="Times New Roman" w:cs="Times New Roman"/>
        </w:rPr>
        <w:t>presents the results of</w:t>
      </w:r>
      <w:r w:rsidR="00EE238F">
        <w:rPr>
          <w:rFonts w:ascii="Times New Roman" w:eastAsia="Times New Roman" w:hAnsi="Times New Roman" w:cs="Times New Roman"/>
        </w:rPr>
        <w:t xml:space="preserve"> three quantile regression model</w:t>
      </w:r>
      <w:r w:rsidR="00A94BAC">
        <w:rPr>
          <w:rFonts w:ascii="Times New Roman" w:eastAsia="Times New Roman" w:hAnsi="Times New Roman" w:cs="Times New Roman"/>
        </w:rPr>
        <w:t>s estimated at the</w:t>
      </w:r>
      <w:r w:rsidR="00EE238F">
        <w:rPr>
          <w:rFonts w:ascii="Times New Roman" w:eastAsia="Times New Roman" w:hAnsi="Times New Roman" w:cs="Times New Roman"/>
        </w:rPr>
        <w:t xml:space="preserve"> 25</w:t>
      </w:r>
      <w:r w:rsidR="00EE238F" w:rsidRPr="00EE238F">
        <w:rPr>
          <w:rFonts w:ascii="Times New Roman" w:eastAsia="Times New Roman" w:hAnsi="Times New Roman" w:cs="Times New Roman"/>
          <w:vertAlign w:val="superscript"/>
        </w:rPr>
        <w:t>th</w:t>
      </w:r>
      <w:r w:rsidR="00EE238F">
        <w:rPr>
          <w:rFonts w:ascii="Times New Roman" w:eastAsia="Times New Roman" w:hAnsi="Times New Roman" w:cs="Times New Roman"/>
        </w:rPr>
        <w:t>, 50</w:t>
      </w:r>
      <w:r w:rsidR="00EE238F" w:rsidRPr="00EE238F">
        <w:rPr>
          <w:rFonts w:ascii="Times New Roman" w:eastAsia="Times New Roman" w:hAnsi="Times New Roman" w:cs="Times New Roman"/>
          <w:vertAlign w:val="superscript"/>
        </w:rPr>
        <w:t>th</w:t>
      </w:r>
      <w:r w:rsidR="00EE238F">
        <w:rPr>
          <w:rFonts w:ascii="Times New Roman" w:eastAsia="Times New Roman" w:hAnsi="Times New Roman" w:cs="Times New Roman"/>
        </w:rPr>
        <w:t>, and 75</w:t>
      </w:r>
      <w:r w:rsidR="00EE238F" w:rsidRPr="00EE238F">
        <w:rPr>
          <w:rFonts w:ascii="Times New Roman" w:eastAsia="Times New Roman" w:hAnsi="Times New Roman" w:cs="Times New Roman"/>
          <w:vertAlign w:val="superscript"/>
        </w:rPr>
        <w:t>th</w:t>
      </w:r>
      <w:r w:rsidR="00EE238F">
        <w:rPr>
          <w:rFonts w:ascii="Times New Roman" w:eastAsia="Times New Roman" w:hAnsi="Times New Roman" w:cs="Times New Roman"/>
        </w:rPr>
        <w:t xml:space="preserve"> percentiles</w:t>
      </w:r>
      <w:r w:rsidR="00A94BAC">
        <w:rPr>
          <w:rFonts w:ascii="Times New Roman" w:eastAsia="Times New Roman" w:hAnsi="Times New Roman" w:cs="Times New Roman"/>
        </w:rPr>
        <w:t xml:space="preserve"> of the conditional distribution of the economic well-being index</w:t>
      </w:r>
      <w:r w:rsidR="00EE238F">
        <w:rPr>
          <w:rFonts w:ascii="Times New Roman" w:eastAsia="Times New Roman" w:hAnsi="Times New Roman" w:cs="Times New Roman"/>
        </w:rPr>
        <w:t>. The</w:t>
      </w:r>
      <w:r w:rsidR="00A94BAC">
        <w:rPr>
          <w:rFonts w:ascii="Times New Roman" w:eastAsia="Times New Roman" w:hAnsi="Times New Roman" w:cs="Times New Roman"/>
        </w:rPr>
        <w:t xml:space="preserve"> </w:t>
      </w:r>
      <w:r w:rsidR="00EE238F">
        <w:rPr>
          <w:rFonts w:ascii="Times New Roman" w:eastAsia="Times New Roman" w:hAnsi="Times New Roman" w:cs="Times New Roman"/>
        </w:rPr>
        <w:t xml:space="preserve">percentiles were </w:t>
      </w:r>
      <w:r w:rsidR="00A94BAC">
        <w:rPr>
          <w:rFonts w:ascii="Times New Roman" w:eastAsia="Times New Roman" w:hAnsi="Times New Roman" w:cs="Times New Roman"/>
        </w:rPr>
        <w:t>selected</w:t>
      </w:r>
      <w:r w:rsidR="00EE238F">
        <w:rPr>
          <w:rFonts w:ascii="Times New Roman" w:eastAsia="Times New Roman" w:hAnsi="Times New Roman" w:cs="Times New Roman"/>
        </w:rPr>
        <w:t xml:space="preserve"> to </w:t>
      </w:r>
      <w:r w:rsidR="00A94BAC">
        <w:rPr>
          <w:rFonts w:ascii="Times New Roman" w:eastAsia="Times New Roman" w:hAnsi="Times New Roman" w:cs="Times New Roman"/>
        </w:rPr>
        <w:t>capture potential heterogeneity in the</w:t>
      </w:r>
      <w:r w:rsidR="00EE238F">
        <w:rPr>
          <w:rFonts w:ascii="Times New Roman" w:eastAsia="Times New Roman" w:hAnsi="Times New Roman" w:cs="Times New Roman"/>
        </w:rPr>
        <w:t xml:space="preserve"> OZ program</w:t>
      </w:r>
      <w:r w:rsidR="00A94BAC">
        <w:rPr>
          <w:rFonts w:ascii="Times New Roman" w:eastAsia="Times New Roman" w:hAnsi="Times New Roman" w:cs="Times New Roman"/>
        </w:rPr>
        <w:t>’s effects across tracts with different baseline levels of economic well-being.</w:t>
      </w:r>
      <w:r w:rsidR="00EE238F">
        <w:rPr>
          <w:rFonts w:ascii="Times New Roman" w:eastAsia="Times New Roman" w:hAnsi="Times New Roman" w:cs="Times New Roman"/>
        </w:rPr>
        <w:t xml:space="preserve"> The significance of the variables </w:t>
      </w:r>
      <w:r w:rsidR="005D3C5C">
        <w:rPr>
          <w:rFonts w:ascii="Times New Roman" w:eastAsia="Times New Roman" w:hAnsi="Times New Roman" w:cs="Times New Roman"/>
        </w:rPr>
        <w:t>is</w:t>
      </w:r>
      <w:r w:rsidR="00EE238F">
        <w:rPr>
          <w:rFonts w:ascii="Times New Roman" w:eastAsia="Times New Roman" w:hAnsi="Times New Roman" w:cs="Times New Roman"/>
        </w:rPr>
        <w:t xml:space="preserve"> almost the same as the general OLS model from Table 2, with the exception of High School </w:t>
      </w:r>
      <w:r w:rsidR="00573F51">
        <w:rPr>
          <w:rFonts w:ascii="Times New Roman" w:eastAsia="Times New Roman" w:hAnsi="Times New Roman" w:cs="Times New Roman"/>
        </w:rPr>
        <w:t>Graduate</w:t>
      </w:r>
      <w:r w:rsidR="00EE238F">
        <w:rPr>
          <w:rFonts w:ascii="Times New Roman" w:eastAsia="Times New Roman" w:hAnsi="Times New Roman" w:cs="Times New Roman"/>
        </w:rPr>
        <w:t>, where a tract’s proportion of high school graduates was significant in the 25</w:t>
      </w:r>
      <w:r w:rsidR="00EE238F" w:rsidRPr="00EE238F">
        <w:rPr>
          <w:rFonts w:ascii="Times New Roman" w:eastAsia="Times New Roman" w:hAnsi="Times New Roman" w:cs="Times New Roman"/>
          <w:vertAlign w:val="superscript"/>
        </w:rPr>
        <w:t>th</w:t>
      </w:r>
      <w:r w:rsidR="00EE238F">
        <w:rPr>
          <w:rFonts w:ascii="Times New Roman" w:eastAsia="Times New Roman" w:hAnsi="Times New Roman" w:cs="Times New Roman"/>
        </w:rPr>
        <w:t xml:space="preserve"> and 50</w:t>
      </w:r>
      <w:r w:rsidR="00EE238F" w:rsidRPr="00EE238F">
        <w:rPr>
          <w:rFonts w:ascii="Times New Roman" w:eastAsia="Times New Roman" w:hAnsi="Times New Roman" w:cs="Times New Roman"/>
          <w:vertAlign w:val="superscript"/>
        </w:rPr>
        <w:t>th</w:t>
      </w:r>
      <w:r w:rsidR="00EE238F">
        <w:rPr>
          <w:rFonts w:ascii="Times New Roman" w:eastAsia="Times New Roman" w:hAnsi="Times New Roman" w:cs="Times New Roman"/>
        </w:rPr>
        <w:t xml:space="preserve"> percentiles, but not the 75</w:t>
      </w:r>
      <w:r w:rsidR="00EE238F" w:rsidRPr="00EE238F">
        <w:rPr>
          <w:rFonts w:ascii="Times New Roman" w:eastAsia="Times New Roman" w:hAnsi="Times New Roman" w:cs="Times New Roman"/>
          <w:vertAlign w:val="superscript"/>
        </w:rPr>
        <w:t>th</w:t>
      </w:r>
      <w:r w:rsidR="00EE238F">
        <w:rPr>
          <w:rFonts w:ascii="Times New Roman" w:eastAsia="Times New Roman" w:hAnsi="Times New Roman" w:cs="Times New Roman"/>
        </w:rPr>
        <w:t xml:space="preserve"> percentile. This may suggest that higher proportions of high school graduates in a tract increases its economic well-being for tracts with lower economic well-being.</w:t>
      </w:r>
      <w:r w:rsidR="00BA03E9">
        <w:rPr>
          <w:rFonts w:ascii="Times New Roman" w:eastAsia="Times New Roman" w:hAnsi="Times New Roman" w:cs="Times New Roman"/>
        </w:rPr>
        <w:t xml:space="preserve"> </w:t>
      </w:r>
    </w:p>
    <w:p w14:paraId="07BEB5CC" w14:textId="3A50F700" w:rsidR="001E03B8" w:rsidRDefault="001E03B8">
      <w:pPr>
        <w:spacing w:line="480" w:lineRule="auto"/>
        <w:rPr>
          <w:rFonts w:ascii="Times New Roman" w:eastAsia="Times New Roman" w:hAnsi="Times New Roman" w:cs="Times New Roman"/>
        </w:rPr>
      </w:pPr>
      <w:r w:rsidRPr="00A03F22">
        <w:rPr>
          <w:rFonts w:ascii="Times New Roman" w:eastAsia="Times New Roman" w:hAnsi="Times New Roman" w:cs="Times New Roman"/>
        </w:rPr>
        <w:t>Another highlight is the positive coefficient for</w:t>
      </w:r>
      <w:r>
        <w:rPr>
          <w:rFonts w:ascii="Times New Roman" w:eastAsia="Times New Roman" w:hAnsi="Times New Roman" w:cs="Times New Roman"/>
        </w:rPr>
        <w:t xml:space="preserve"> the Post variable, or</w:t>
      </w:r>
      <w:r w:rsidRPr="00A03F22">
        <w:rPr>
          <w:rFonts w:ascii="Times New Roman" w:eastAsia="Times New Roman" w:hAnsi="Times New Roman" w:cs="Times New Roman"/>
        </w:rPr>
        <w:t xml:space="preserve"> non-OZ tracts in the post period; however, this effect is only slightly significant in the 50th percentile quantile regression model. This suggests that, for a</w:t>
      </w:r>
      <w:r>
        <w:rPr>
          <w:rFonts w:ascii="Times New Roman" w:eastAsia="Times New Roman" w:hAnsi="Times New Roman" w:cs="Times New Roman"/>
        </w:rPr>
        <w:t xml:space="preserve"> non-OZ</w:t>
      </w:r>
      <w:r w:rsidRPr="00A03F22">
        <w:rPr>
          <w:rFonts w:ascii="Times New Roman" w:eastAsia="Times New Roman" w:hAnsi="Times New Roman" w:cs="Times New Roman"/>
        </w:rPr>
        <w:t xml:space="preserve"> tract</w:t>
      </w:r>
      <w:r>
        <w:rPr>
          <w:rFonts w:ascii="Times New Roman" w:eastAsia="Times New Roman" w:hAnsi="Times New Roman" w:cs="Times New Roman"/>
        </w:rPr>
        <w:t>,</w:t>
      </w:r>
      <w:r w:rsidRPr="00A03F22">
        <w:rPr>
          <w:rFonts w:ascii="Times New Roman" w:eastAsia="Times New Roman" w:hAnsi="Times New Roman" w:cs="Times New Roman"/>
        </w:rPr>
        <w:t xml:space="preserve"> with average characteristics, the median predicted economic well-being</w:t>
      </w:r>
      <w:r>
        <w:rPr>
          <w:rFonts w:ascii="Times New Roman" w:eastAsia="Times New Roman" w:hAnsi="Times New Roman" w:cs="Times New Roman"/>
        </w:rPr>
        <w:t xml:space="preserve"> score</w:t>
      </w:r>
      <w:r w:rsidRPr="00A03F22">
        <w:rPr>
          <w:rFonts w:ascii="Times New Roman" w:eastAsia="Times New Roman" w:hAnsi="Times New Roman" w:cs="Times New Roman"/>
        </w:rPr>
        <w:t xml:space="preserve"> slightly increased over time. Meanwhile, tracts at the lower and upper conditional quantiles did not show meaningful changes. The negative coefficient for non-OZs in the post period, as shown in the OLS model (Table 2 and Figure 1), was likely influenced by extreme values pulling the overall average down. In contrast, quantile regression is more robust to outliers, which may explain the difference in the estimated coefficients.</w:t>
      </w:r>
    </w:p>
    <w:p w14:paraId="4CD20C76" w14:textId="068CF34A" w:rsidR="00030E4B" w:rsidRDefault="00314CBF" w:rsidP="00C041C7">
      <w:pPr>
        <w:spacing w:line="480" w:lineRule="auto"/>
        <w:rPr>
          <w:rFonts w:ascii="Times New Roman" w:eastAsia="Times New Roman" w:hAnsi="Times New Roman" w:cs="Times New Roman"/>
        </w:rPr>
      </w:pPr>
      <w:r w:rsidRPr="00314CBF">
        <w:rPr>
          <w:rFonts w:ascii="Times New Roman" w:eastAsia="Times New Roman" w:hAnsi="Times New Roman" w:cs="Times New Roman"/>
        </w:rPr>
        <w:t>Across all three percentiles,</w:t>
      </w:r>
      <w:r w:rsidR="00E3583C">
        <w:rPr>
          <w:rFonts w:ascii="Times New Roman" w:eastAsia="Times New Roman" w:hAnsi="Times New Roman" w:cs="Times New Roman"/>
        </w:rPr>
        <w:t xml:space="preserve"> the </w:t>
      </w:r>
      <w:proofErr w:type="spellStart"/>
      <w:r w:rsidR="00E3583C">
        <w:rPr>
          <w:rFonts w:ascii="Times New Roman" w:eastAsia="Times New Roman" w:hAnsi="Times New Roman" w:cs="Times New Roman"/>
        </w:rPr>
        <w:t>DiD</w:t>
      </w:r>
      <w:proofErr w:type="spellEnd"/>
      <w:r w:rsidR="00E3583C">
        <w:rPr>
          <w:rFonts w:ascii="Times New Roman" w:eastAsia="Times New Roman" w:hAnsi="Times New Roman" w:cs="Times New Roman"/>
        </w:rPr>
        <w:t xml:space="preserve"> Effect’s coefficient</w:t>
      </w:r>
      <w:r w:rsidR="00A55094">
        <w:rPr>
          <w:rFonts w:ascii="Times New Roman" w:eastAsia="Times New Roman" w:hAnsi="Times New Roman" w:cs="Times New Roman"/>
        </w:rPr>
        <w:t xml:space="preserve"> (OZ * Post)</w:t>
      </w:r>
      <w:r w:rsidR="00E3583C">
        <w:rPr>
          <w:rFonts w:ascii="Times New Roman" w:eastAsia="Times New Roman" w:hAnsi="Times New Roman" w:cs="Times New Roman"/>
        </w:rPr>
        <w:t xml:space="preserve"> was highly significant and increased with higher percentiles. This suggests that</w:t>
      </w:r>
      <w:r w:rsidRPr="00314CBF">
        <w:rPr>
          <w:rFonts w:ascii="Times New Roman" w:eastAsia="Times New Roman" w:hAnsi="Times New Roman" w:cs="Times New Roman"/>
        </w:rPr>
        <w:t xml:space="preserve"> OZ-designated tracts experienced a</w:t>
      </w:r>
      <w:r w:rsidR="003F603F">
        <w:rPr>
          <w:rFonts w:ascii="Times New Roman" w:eastAsia="Times New Roman" w:hAnsi="Times New Roman" w:cs="Times New Roman"/>
        </w:rPr>
        <w:t xml:space="preserve"> </w:t>
      </w:r>
      <w:r w:rsidRPr="00314CBF">
        <w:rPr>
          <w:rFonts w:ascii="Times New Roman" w:eastAsia="Times New Roman" w:hAnsi="Times New Roman" w:cs="Times New Roman"/>
        </w:rPr>
        <w:t>greater improvement in economic well-being relative to the change observed in non-OZ tracts between the pre- and post-implementation periods</w:t>
      </w:r>
      <w:r>
        <w:rPr>
          <w:rFonts w:ascii="Times New Roman" w:eastAsia="Times New Roman" w:hAnsi="Times New Roman" w:cs="Times New Roman"/>
        </w:rPr>
        <w:t xml:space="preserve">. </w:t>
      </w:r>
      <w:r w:rsidR="00E3583C">
        <w:rPr>
          <w:rFonts w:ascii="Times New Roman" w:eastAsia="Times New Roman" w:hAnsi="Times New Roman" w:cs="Times New Roman"/>
        </w:rPr>
        <w:t>Due to the</w:t>
      </w:r>
      <w:r w:rsidR="00FB48AF" w:rsidRPr="00FB48AF">
        <w:rPr>
          <w:rFonts w:ascii="Times New Roman" w:eastAsia="Times New Roman" w:hAnsi="Times New Roman" w:cs="Times New Roman"/>
        </w:rPr>
        <w:t xml:space="preserve"> increas</w:t>
      </w:r>
      <w:r w:rsidR="00E3583C">
        <w:rPr>
          <w:rFonts w:ascii="Times New Roman" w:eastAsia="Times New Roman" w:hAnsi="Times New Roman" w:cs="Times New Roman"/>
        </w:rPr>
        <w:t>ing effect</w:t>
      </w:r>
      <w:r w:rsidR="00FB48AF" w:rsidRPr="00FB48AF">
        <w:rPr>
          <w:rFonts w:ascii="Times New Roman" w:eastAsia="Times New Roman" w:hAnsi="Times New Roman" w:cs="Times New Roman"/>
        </w:rPr>
        <w:t xml:space="preserve"> across the</w:t>
      </w:r>
      <w:r w:rsidR="00170D63">
        <w:rPr>
          <w:rFonts w:ascii="Times New Roman" w:eastAsia="Times New Roman" w:hAnsi="Times New Roman" w:cs="Times New Roman"/>
        </w:rPr>
        <w:t xml:space="preserve"> higher</w:t>
      </w:r>
      <w:r w:rsidR="00FB48AF" w:rsidRPr="00FB48AF">
        <w:rPr>
          <w:rFonts w:ascii="Times New Roman" w:eastAsia="Times New Roman" w:hAnsi="Times New Roman" w:cs="Times New Roman"/>
        </w:rPr>
        <w:t xml:space="preserve"> percentiles,</w:t>
      </w:r>
      <w:r w:rsidR="00E3583C">
        <w:rPr>
          <w:rFonts w:ascii="Times New Roman" w:eastAsia="Times New Roman" w:hAnsi="Times New Roman" w:cs="Times New Roman"/>
        </w:rPr>
        <w:t xml:space="preserve"> this</w:t>
      </w:r>
      <w:r w:rsidR="00FB48AF" w:rsidRPr="00FB48AF">
        <w:rPr>
          <w:rFonts w:ascii="Times New Roman" w:eastAsia="Times New Roman" w:hAnsi="Times New Roman" w:cs="Times New Roman"/>
        </w:rPr>
        <w:t xml:space="preserve"> sugges</w:t>
      </w:r>
      <w:r w:rsidR="00E3583C">
        <w:rPr>
          <w:rFonts w:ascii="Times New Roman" w:eastAsia="Times New Roman" w:hAnsi="Times New Roman" w:cs="Times New Roman"/>
        </w:rPr>
        <w:t>ts</w:t>
      </w:r>
      <w:r w:rsidR="00FB48AF" w:rsidRPr="00FB48AF">
        <w:rPr>
          <w:rFonts w:ascii="Times New Roman" w:eastAsia="Times New Roman" w:hAnsi="Times New Roman" w:cs="Times New Roman"/>
        </w:rPr>
        <w:t xml:space="preserve"> that the</w:t>
      </w:r>
      <w:r w:rsidR="00FB48AF">
        <w:rPr>
          <w:rFonts w:ascii="Times New Roman" w:eastAsia="Times New Roman" w:hAnsi="Times New Roman" w:cs="Times New Roman"/>
        </w:rPr>
        <w:t xml:space="preserve"> OZ </w:t>
      </w:r>
      <w:r w:rsidR="00FB48AF" w:rsidRPr="00FB48AF">
        <w:rPr>
          <w:rFonts w:ascii="Times New Roman" w:eastAsia="Times New Roman" w:hAnsi="Times New Roman" w:cs="Times New Roman"/>
        </w:rPr>
        <w:t xml:space="preserve">program had a larger impact on more economically well-off tracts, and a comparatively smaller impact on </w:t>
      </w:r>
      <w:r w:rsidR="006E4BBA">
        <w:rPr>
          <w:rFonts w:ascii="Times New Roman" w:eastAsia="Times New Roman" w:hAnsi="Times New Roman" w:cs="Times New Roman"/>
        </w:rPr>
        <w:t>more</w:t>
      </w:r>
      <w:r w:rsidR="00FB48AF" w:rsidRPr="00FB48AF">
        <w:rPr>
          <w:rFonts w:ascii="Times New Roman" w:eastAsia="Times New Roman" w:hAnsi="Times New Roman" w:cs="Times New Roman"/>
        </w:rPr>
        <w:t xml:space="preserve"> economically distressed </w:t>
      </w:r>
      <w:r w:rsidR="004301FE">
        <w:rPr>
          <w:rFonts w:ascii="Times New Roman" w:eastAsia="Times New Roman" w:hAnsi="Times New Roman" w:cs="Times New Roman"/>
        </w:rPr>
        <w:t>tracts</w:t>
      </w:r>
      <w:r w:rsidR="00FB48AF" w:rsidRPr="00FB48AF">
        <w:rPr>
          <w:rFonts w:ascii="Times New Roman" w:eastAsia="Times New Roman" w:hAnsi="Times New Roman" w:cs="Times New Roman"/>
        </w:rPr>
        <w:t>.</w:t>
      </w:r>
      <w:r w:rsidR="00556170">
        <w:rPr>
          <w:rFonts w:ascii="Times New Roman" w:eastAsia="Times New Roman" w:hAnsi="Times New Roman" w:cs="Times New Roman"/>
        </w:rPr>
        <w:t xml:space="preserve"> These findings provide evidence of treatment effect heterogeneity, indicating </w:t>
      </w:r>
      <w:r w:rsidR="00556170">
        <w:rPr>
          <w:rFonts w:ascii="Times New Roman" w:eastAsia="Times New Roman" w:hAnsi="Times New Roman" w:cs="Times New Roman"/>
        </w:rPr>
        <w:lastRenderedPageBreak/>
        <w:t>that the program’s impact varies significantly depending on a tract’s initial level (pre-period) of economic well-being.</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3597"/>
        <w:gridCol w:w="1142"/>
        <w:gridCol w:w="1142"/>
        <w:gridCol w:w="1157"/>
      </w:tblGrid>
      <w:tr w:rsidR="00480CCC" w:rsidRPr="00480CCC" w14:paraId="47892685" w14:textId="77777777" w:rsidTr="00480CCC">
        <w:trPr>
          <w:tblHeader/>
          <w:tblCellSpacing w:w="15" w:type="dxa"/>
        </w:trPr>
        <w:tc>
          <w:tcPr>
            <w:tcW w:w="0" w:type="auto"/>
            <w:gridSpan w:val="4"/>
            <w:tcBorders>
              <w:top w:val="nil"/>
              <w:left w:val="nil"/>
              <w:bottom w:val="nil"/>
              <w:right w:val="nil"/>
            </w:tcBorders>
            <w:vAlign w:val="center"/>
            <w:hideMark/>
          </w:tcPr>
          <w:p w14:paraId="1ABFB4D6" w14:textId="77777777" w:rsidR="00480CCC" w:rsidRPr="00480CCC" w:rsidRDefault="00480CCC" w:rsidP="00C041C7">
            <w:pPr>
              <w:spacing w:line="240" w:lineRule="auto"/>
              <w:ind w:firstLine="0"/>
              <w:jc w:val="center"/>
              <w:rPr>
                <w:rFonts w:ascii="Times New Roman" w:eastAsia="Times New Roman" w:hAnsi="Times New Roman" w:cs="Times New Roman"/>
                <w:color w:val="000000"/>
              </w:rPr>
            </w:pPr>
            <w:bookmarkStart w:id="26" w:name="_Toc197870275"/>
            <w:bookmarkStart w:id="27" w:name="_Toc197886820"/>
            <w:bookmarkStart w:id="28" w:name="_Toc197887527"/>
            <w:bookmarkStart w:id="29" w:name="_Toc197889233"/>
            <w:r w:rsidRPr="00C041C7">
              <w:rPr>
                <w:rStyle w:val="Heading2Char"/>
              </w:rPr>
              <w:t>Table 3: 25th, 50th, and 75th Quantile Regression Results with IPW</w:t>
            </w:r>
            <w:bookmarkEnd w:id="26"/>
            <w:bookmarkEnd w:id="27"/>
            <w:bookmarkEnd w:id="28"/>
            <w:bookmarkEnd w:id="29"/>
            <w:r w:rsidRPr="00480CCC">
              <w:rPr>
                <w:rFonts w:ascii="Times New Roman" w:eastAsia="Times New Roman" w:hAnsi="Times New Roman" w:cs="Times New Roman"/>
                <w:color w:val="000000"/>
              </w:rPr>
              <w:br/>
            </w:r>
            <w:r w:rsidRPr="00480CCC">
              <w:rPr>
                <w:rFonts w:ascii="Times New Roman" w:eastAsia="Times New Roman" w:hAnsi="Times New Roman" w:cs="Times New Roman"/>
                <w:i/>
                <w:iCs/>
                <w:color w:val="000000"/>
                <w:sz w:val="21"/>
                <w:szCs w:val="21"/>
              </w:rPr>
              <w:t>Dependent Variable: Economic Well-being Index</w:t>
            </w:r>
          </w:p>
        </w:tc>
      </w:tr>
      <w:tr w:rsidR="00480CCC" w:rsidRPr="00480CCC" w14:paraId="4D913F1B" w14:textId="77777777" w:rsidTr="00480CCC">
        <w:trPr>
          <w:tblHeader/>
          <w:tblCellSpacing w:w="15" w:type="dxa"/>
        </w:trPr>
        <w:tc>
          <w:tcPr>
            <w:tcW w:w="0" w:type="auto"/>
            <w:vAlign w:val="center"/>
            <w:hideMark/>
          </w:tcPr>
          <w:p w14:paraId="73979FAB" w14:textId="77777777" w:rsidR="00480CCC" w:rsidRPr="00480CCC" w:rsidRDefault="00480CCC" w:rsidP="00480CCC">
            <w:pPr>
              <w:spacing w:line="240" w:lineRule="auto"/>
              <w:ind w:firstLine="0"/>
              <w:rPr>
                <w:rFonts w:ascii="Times New Roman" w:eastAsia="Times New Roman" w:hAnsi="Times New Roman" w:cs="Times New Roman"/>
                <w:b/>
                <w:bCs/>
                <w:color w:val="000000"/>
              </w:rPr>
            </w:pPr>
            <w:r w:rsidRPr="00480CCC">
              <w:rPr>
                <w:rFonts w:ascii="Times New Roman" w:eastAsia="Times New Roman" w:hAnsi="Times New Roman" w:cs="Times New Roman"/>
                <w:b/>
                <w:bCs/>
                <w:color w:val="000000"/>
              </w:rPr>
              <w:t>Term</w:t>
            </w:r>
          </w:p>
        </w:tc>
        <w:tc>
          <w:tcPr>
            <w:tcW w:w="0" w:type="auto"/>
            <w:vAlign w:val="center"/>
            <w:hideMark/>
          </w:tcPr>
          <w:p w14:paraId="1AD55DC8" w14:textId="77777777" w:rsidR="00480CCC" w:rsidRPr="00480CCC" w:rsidRDefault="00480CCC" w:rsidP="00480CCC">
            <w:pPr>
              <w:spacing w:line="240" w:lineRule="auto"/>
              <w:ind w:firstLine="0"/>
              <w:rPr>
                <w:rFonts w:ascii="Times New Roman" w:eastAsia="Times New Roman" w:hAnsi="Times New Roman" w:cs="Times New Roman"/>
                <w:b/>
                <w:bCs/>
                <w:color w:val="000000"/>
              </w:rPr>
            </w:pPr>
            <w:r w:rsidRPr="00480CCC">
              <w:rPr>
                <w:rFonts w:ascii="Times New Roman" w:eastAsia="Times New Roman" w:hAnsi="Times New Roman" w:cs="Times New Roman"/>
                <w:b/>
                <w:bCs/>
                <w:color w:val="000000"/>
              </w:rPr>
              <w:t>25th</w:t>
            </w:r>
          </w:p>
        </w:tc>
        <w:tc>
          <w:tcPr>
            <w:tcW w:w="0" w:type="auto"/>
            <w:vAlign w:val="center"/>
            <w:hideMark/>
          </w:tcPr>
          <w:p w14:paraId="067B8279" w14:textId="77777777" w:rsidR="00480CCC" w:rsidRPr="00480CCC" w:rsidRDefault="00480CCC" w:rsidP="00480CCC">
            <w:pPr>
              <w:spacing w:line="240" w:lineRule="auto"/>
              <w:ind w:firstLine="0"/>
              <w:rPr>
                <w:rFonts w:ascii="Times New Roman" w:eastAsia="Times New Roman" w:hAnsi="Times New Roman" w:cs="Times New Roman"/>
                <w:b/>
                <w:bCs/>
                <w:color w:val="000000"/>
              </w:rPr>
            </w:pPr>
            <w:r w:rsidRPr="00480CCC">
              <w:rPr>
                <w:rFonts w:ascii="Times New Roman" w:eastAsia="Times New Roman" w:hAnsi="Times New Roman" w:cs="Times New Roman"/>
                <w:b/>
                <w:bCs/>
                <w:color w:val="000000"/>
              </w:rPr>
              <w:t>50th</w:t>
            </w:r>
          </w:p>
        </w:tc>
        <w:tc>
          <w:tcPr>
            <w:tcW w:w="0" w:type="auto"/>
            <w:vAlign w:val="center"/>
            <w:hideMark/>
          </w:tcPr>
          <w:p w14:paraId="4B491401" w14:textId="77777777" w:rsidR="00480CCC" w:rsidRPr="00480CCC" w:rsidRDefault="00480CCC" w:rsidP="00480CCC">
            <w:pPr>
              <w:spacing w:line="240" w:lineRule="auto"/>
              <w:ind w:firstLine="0"/>
              <w:rPr>
                <w:rFonts w:ascii="Times New Roman" w:eastAsia="Times New Roman" w:hAnsi="Times New Roman" w:cs="Times New Roman"/>
                <w:b/>
                <w:bCs/>
                <w:color w:val="000000"/>
              </w:rPr>
            </w:pPr>
            <w:r w:rsidRPr="00480CCC">
              <w:rPr>
                <w:rFonts w:ascii="Times New Roman" w:eastAsia="Times New Roman" w:hAnsi="Times New Roman" w:cs="Times New Roman"/>
                <w:b/>
                <w:bCs/>
                <w:color w:val="000000"/>
              </w:rPr>
              <w:t>75th</w:t>
            </w:r>
          </w:p>
        </w:tc>
      </w:tr>
      <w:tr w:rsidR="00480CCC" w:rsidRPr="00480CCC" w14:paraId="2F1C8382" w14:textId="77777777" w:rsidTr="00480CCC">
        <w:trPr>
          <w:tblCellSpacing w:w="15" w:type="dxa"/>
        </w:trPr>
        <w:tc>
          <w:tcPr>
            <w:tcW w:w="0" w:type="auto"/>
            <w:vAlign w:val="center"/>
            <w:hideMark/>
          </w:tcPr>
          <w:p w14:paraId="582ED95B"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Intercept</w:t>
            </w:r>
          </w:p>
        </w:tc>
        <w:tc>
          <w:tcPr>
            <w:tcW w:w="0" w:type="auto"/>
            <w:vAlign w:val="center"/>
            <w:hideMark/>
          </w:tcPr>
          <w:p w14:paraId="18555D24"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3.429***</w:t>
            </w:r>
          </w:p>
        </w:tc>
        <w:tc>
          <w:tcPr>
            <w:tcW w:w="0" w:type="auto"/>
            <w:vAlign w:val="center"/>
            <w:hideMark/>
          </w:tcPr>
          <w:p w14:paraId="1DE2E2D4"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5.754***</w:t>
            </w:r>
          </w:p>
        </w:tc>
        <w:tc>
          <w:tcPr>
            <w:tcW w:w="0" w:type="auto"/>
            <w:vAlign w:val="center"/>
            <w:hideMark/>
          </w:tcPr>
          <w:p w14:paraId="2424B410"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8.099***</w:t>
            </w:r>
          </w:p>
        </w:tc>
      </w:tr>
      <w:tr w:rsidR="00480CCC" w:rsidRPr="00480CCC" w14:paraId="5231FBBF" w14:textId="77777777" w:rsidTr="00480CCC">
        <w:trPr>
          <w:tblCellSpacing w:w="15" w:type="dxa"/>
        </w:trPr>
        <w:tc>
          <w:tcPr>
            <w:tcW w:w="0" w:type="auto"/>
            <w:vAlign w:val="center"/>
            <w:hideMark/>
          </w:tcPr>
          <w:p w14:paraId="73EDE6D1"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p>
        </w:tc>
        <w:tc>
          <w:tcPr>
            <w:tcW w:w="0" w:type="auto"/>
            <w:vAlign w:val="center"/>
            <w:hideMark/>
          </w:tcPr>
          <w:p w14:paraId="08BCE2E7"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(0.215)</w:t>
            </w:r>
          </w:p>
        </w:tc>
        <w:tc>
          <w:tcPr>
            <w:tcW w:w="0" w:type="auto"/>
            <w:vAlign w:val="center"/>
            <w:hideMark/>
          </w:tcPr>
          <w:p w14:paraId="51597EE0"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(0.24)</w:t>
            </w:r>
          </w:p>
        </w:tc>
        <w:tc>
          <w:tcPr>
            <w:tcW w:w="0" w:type="auto"/>
            <w:vAlign w:val="center"/>
            <w:hideMark/>
          </w:tcPr>
          <w:p w14:paraId="716531BC"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(0.284)</w:t>
            </w:r>
          </w:p>
        </w:tc>
      </w:tr>
      <w:tr w:rsidR="00480CCC" w:rsidRPr="00480CCC" w14:paraId="40769F38" w14:textId="77777777" w:rsidTr="00480CCC">
        <w:trPr>
          <w:tblCellSpacing w:w="15" w:type="dxa"/>
        </w:trPr>
        <w:tc>
          <w:tcPr>
            <w:tcW w:w="0" w:type="auto"/>
            <w:vAlign w:val="center"/>
            <w:hideMark/>
          </w:tcPr>
          <w:p w14:paraId="6293B15D"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 xml:space="preserve">OZ (OZ = 1, </w:t>
            </w:r>
            <w:proofErr w:type="gramStart"/>
            <w:r w:rsidRPr="0031766A">
              <w:rPr>
                <w:rFonts w:ascii="Times New Roman" w:eastAsia="Times New Roman" w:hAnsi="Times New Roman" w:cs="Times New Roman"/>
                <w:color w:val="000000"/>
                <w:sz w:val="22"/>
                <w:szCs w:val="22"/>
              </w:rPr>
              <w:t>Non-OZ</w:t>
            </w:r>
            <w:proofErr w:type="gramEnd"/>
            <w:r w:rsidRPr="0031766A">
              <w:rPr>
                <w:rFonts w:ascii="Times New Roman" w:eastAsia="Times New Roman" w:hAnsi="Times New Roman" w:cs="Times New Roman"/>
                <w:color w:val="000000"/>
                <w:sz w:val="22"/>
                <w:szCs w:val="22"/>
              </w:rPr>
              <w:t xml:space="preserve"> = 0)</w:t>
            </w:r>
          </w:p>
        </w:tc>
        <w:tc>
          <w:tcPr>
            <w:tcW w:w="0" w:type="auto"/>
            <w:vAlign w:val="center"/>
            <w:hideMark/>
          </w:tcPr>
          <w:p w14:paraId="57083AF7"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-0.515***</w:t>
            </w:r>
          </w:p>
        </w:tc>
        <w:tc>
          <w:tcPr>
            <w:tcW w:w="0" w:type="auto"/>
            <w:vAlign w:val="center"/>
            <w:hideMark/>
          </w:tcPr>
          <w:p w14:paraId="71CAEB12"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-0.726***</w:t>
            </w:r>
          </w:p>
        </w:tc>
        <w:tc>
          <w:tcPr>
            <w:tcW w:w="0" w:type="auto"/>
            <w:vAlign w:val="center"/>
            <w:hideMark/>
          </w:tcPr>
          <w:p w14:paraId="10A90D79"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-1.004***</w:t>
            </w:r>
          </w:p>
        </w:tc>
      </w:tr>
      <w:tr w:rsidR="00480CCC" w:rsidRPr="00480CCC" w14:paraId="73A3E0CE" w14:textId="77777777" w:rsidTr="00480CCC">
        <w:trPr>
          <w:tblCellSpacing w:w="15" w:type="dxa"/>
        </w:trPr>
        <w:tc>
          <w:tcPr>
            <w:tcW w:w="0" w:type="auto"/>
            <w:vAlign w:val="center"/>
            <w:hideMark/>
          </w:tcPr>
          <w:p w14:paraId="21C6ED07"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p>
        </w:tc>
        <w:tc>
          <w:tcPr>
            <w:tcW w:w="0" w:type="auto"/>
            <w:vAlign w:val="center"/>
            <w:hideMark/>
          </w:tcPr>
          <w:p w14:paraId="677FFC88"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(0.048)</w:t>
            </w:r>
          </w:p>
        </w:tc>
        <w:tc>
          <w:tcPr>
            <w:tcW w:w="0" w:type="auto"/>
            <w:vAlign w:val="center"/>
            <w:hideMark/>
          </w:tcPr>
          <w:p w14:paraId="3407E930"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(0.056)</w:t>
            </w:r>
          </w:p>
        </w:tc>
        <w:tc>
          <w:tcPr>
            <w:tcW w:w="0" w:type="auto"/>
            <w:vAlign w:val="center"/>
            <w:hideMark/>
          </w:tcPr>
          <w:p w14:paraId="2E89B2FA"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(0.07)</w:t>
            </w:r>
          </w:p>
        </w:tc>
      </w:tr>
      <w:tr w:rsidR="00480CCC" w:rsidRPr="00480CCC" w14:paraId="7FDFAED4" w14:textId="77777777" w:rsidTr="00480CCC">
        <w:trPr>
          <w:tblCellSpacing w:w="15" w:type="dxa"/>
        </w:trPr>
        <w:tc>
          <w:tcPr>
            <w:tcW w:w="0" w:type="auto"/>
            <w:vAlign w:val="center"/>
            <w:hideMark/>
          </w:tcPr>
          <w:p w14:paraId="70F443AE"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Post (2019-2023 = 1, 2014-2018 = 0)</w:t>
            </w:r>
          </w:p>
        </w:tc>
        <w:tc>
          <w:tcPr>
            <w:tcW w:w="0" w:type="auto"/>
            <w:vAlign w:val="center"/>
            <w:hideMark/>
          </w:tcPr>
          <w:p w14:paraId="65D56C5C"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0.034</w:t>
            </w:r>
          </w:p>
        </w:tc>
        <w:tc>
          <w:tcPr>
            <w:tcW w:w="0" w:type="auto"/>
            <w:vAlign w:val="center"/>
            <w:hideMark/>
          </w:tcPr>
          <w:p w14:paraId="47AAF2E4"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0.08*</w:t>
            </w:r>
          </w:p>
        </w:tc>
        <w:tc>
          <w:tcPr>
            <w:tcW w:w="0" w:type="auto"/>
            <w:vAlign w:val="center"/>
            <w:hideMark/>
          </w:tcPr>
          <w:p w14:paraId="0434FD22"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0.012</w:t>
            </w:r>
          </w:p>
        </w:tc>
      </w:tr>
      <w:tr w:rsidR="00480CCC" w:rsidRPr="00480CCC" w14:paraId="2B0384E7" w14:textId="77777777" w:rsidTr="00480CCC">
        <w:trPr>
          <w:tblCellSpacing w:w="15" w:type="dxa"/>
        </w:trPr>
        <w:tc>
          <w:tcPr>
            <w:tcW w:w="0" w:type="auto"/>
            <w:vAlign w:val="center"/>
            <w:hideMark/>
          </w:tcPr>
          <w:p w14:paraId="43430509"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p>
        </w:tc>
        <w:tc>
          <w:tcPr>
            <w:tcW w:w="0" w:type="auto"/>
            <w:vAlign w:val="center"/>
            <w:hideMark/>
          </w:tcPr>
          <w:p w14:paraId="7D24F438"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(0.041)</w:t>
            </w:r>
          </w:p>
        </w:tc>
        <w:tc>
          <w:tcPr>
            <w:tcW w:w="0" w:type="auto"/>
            <w:vAlign w:val="center"/>
            <w:hideMark/>
          </w:tcPr>
          <w:p w14:paraId="0DBA1344"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(0.042)</w:t>
            </w:r>
          </w:p>
        </w:tc>
        <w:tc>
          <w:tcPr>
            <w:tcW w:w="0" w:type="auto"/>
            <w:vAlign w:val="center"/>
            <w:hideMark/>
          </w:tcPr>
          <w:p w14:paraId="3681C230"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(0.06)</w:t>
            </w:r>
          </w:p>
        </w:tc>
      </w:tr>
      <w:tr w:rsidR="00480CCC" w:rsidRPr="00480CCC" w14:paraId="78C12D33" w14:textId="77777777" w:rsidTr="00480CCC">
        <w:trPr>
          <w:tblCellSpacing w:w="15" w:type="dxa"/>
        </w:trPr>
        <w:tc>
          <w:tcPr>
            <w:tcW w:w="0" w:type="auto"/>
            <w:vAlign w:val="center"/>
            <w:hideMark/>
          </w:tcPr>
          <w:p w14:paraId="410E671D"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White Population</w:t>
            </w:r>
          </w:p>
        </w:tc>
        <w:tc>
          <w:tcPr>
            <w:tcW w:w="0" w:type="auto"/>
            <w:vAlign w:val="center"/>
            <w:hideMark/>
          </w:tcPr>
          <w:p w14:paraId="60968B2A"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2.474***</w:t>
            </w:r>
          </w:p>
        </w:tc>
        <w:tc>
          <w:tcPr>
            <w:tcW w:w="0" w:type="auto"/>
            <w:vAlign w:val="center"/>
            <w:hideMark/>
          </w:tcPr>
          <w:p w14:paraId="0A65BCFA"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1.654***</w:t>
            </w:r>
          </w:p>
        </w:tc>
        <w:tc>
          <w:tcPr>
            <w:tcW w:w="0" w:type="auto"/>
            <w:vAlign w:val="center"/>
            <w:hideMark/>
          </w:tcPr>
          <w:p w14:paraId="7C0F79D0"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1.247***</w:t>
            </w:r>
          </w:p>
        </w:tc>
      </w:tr>
      <w:tr w:rsidR="00480CCC" w:rsidRPr="00480CCC" w14:paraId="01ABDB81" w14:textId="77777777" w:rsidTr="00480CCC">
        <w:trPr>
          <w:tblCellSpacing w:w="15" w:type="dxa"/>
        </w:trPr>
        <w:tc>
          <w:tcPr>
            <w:tcW w:w="0" w:type="auto"/>
            <w:vAlign w:val="center"/>
            <w:hideMark/>
          </w:tcPr>
          <w:p w14:paraId="25EFFB7C"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p>
        </w:tc>
        <w:tc>
          <w:tcPr>
            <w:tcW w:w="0" w:type="auto"/>
            <w:vAlign w:val="center"/>
            <w:hideMark/>
          </w:tcPr>
          <w:p w14:paraId="028F8490"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(0.216)</w:t>
            </w:r>
          </w:p>
        </w:tc>
        <w:tc>
          <w:tcPr>
            <w:tcW w:w="0" w:type="auto"/>
            <w:vAlign w:val="center"/>
            <w:hideMark/>
          </w:tcPr>
          <w:p w14:paraId="56DD4AD9"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(0.26)</w:t>
            </w:r>
          </w:p>
        </w:tc>
        <w:tc>
          <w:tcPr>
            <w:tcW w:w="0" w:type="auto"/>
            <w:vAlign w:val="center"/>
            <w:hideMark/>
          </w:tcPr>
          <w:p w14:paraId="028D4C11"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(0.243)</w:t>
            </w:r>
          </w:p>
        </w:tc>
      </w:tr>
      <w:tr w:rsidR="00480CCC" w:rsidRPr="00480CCC" w14:paraId="381CA254" w14:textId="77777777" w:rsidTr="00480CCC">
        <w:trPr>
          <w:tblCellSpacing w:w="15" w:type="dxa"/>
        </w:trPr>
        <w:tc>
          <w:tcPr>
            <w:tcW w:w="0" w:type="auto"/>
            <w:vAlign w:val="center"/>
            <w:hideMark/>
          </w:tcPr>
          <w:p w14:paraId="3910A79A"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Black Population</w:t>
            </w:r>
          </w:p>
        </w:tc>
        <w:tc>
          <w:tcPr>
            <w:tcW w:w="0" w:type="auto"/>
            <w:vAlign w:val="center"/>
            <w:hideMark/>
          </w:tcPr>
          <w:p w14:paraId="4EFA9136"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0.091</w:t>
            </w:r>
          </w:p>
        </w:tc>
        <w:tc>
          <w:tcPr>
            <w:tcW w:w="0" w:type="auto"/>
            <w:vAlign w:val="center"/>
            <w:hideMark/>
          </w:tcPr>
          <w:p w14:paraId="7DA1A7BE"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-0.4</w:t>
            </w:r>
          </w:p>
        </w:tc>
        <w:tc>
          <w:tcPr>
            <w:tcW w:w="0" w:type="auto"/>
            <w:vAlign w:val="center"/>
            <w:hideMark/>
          </w:tcPr>
          <w:p w14:paraId="3DAD3024"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0.035</w:t>
            </w:r>
          </w:p>
        </w:tc>
      </w:tr>
      <w:tr w:rsidR="00480CCC" w:rsidRPr="00480CCC" w14:paraId="6BFC9047" w14:textId="77777777" w:rsidTr="00480CCC">
        <w:trPr>
          <w:tblCellSpacing w:w="15" w:type="dxa"/>
        </w:trPr>
        <w:tc>
          <w:tcPr>
            <w:tcW w:w="0" w:type="auto"/>
            <w:vAlign w:val="center"/>
            <w:hideMark/>
          </w:tcPr>
          <w:p w14:paraId="3D8C54C5"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p>
        </w:tc>
        <w:tc>
          <w:tcPr>
            <w:tcW w:w="0" w:type="auto"/>
            <w:vAlign w:val="center"/>
            <w:hideMark/>
          </w:tcPr>
          <w:p w14:paraId="4B9CE4C1"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(0.21)</w:t>
            </w:r>
          </w:p>
        </w:tc>
        <w:tc>
          <w:tcPr>
            <w:tcW w:w="0" w:type="auto"/>
            <w:vAlign w:val="center"/>
            <w:hideMark/>
          </w:tcPr>
          <w:p w14:paraId="5D009C20"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(0.246)</w:t>
            </w:r>
          </w:p>
        </w:tc>
        <w:tc>
          <w:tcPr>
            <w:tcW w:w="0" w:type="auto"/>
            <w:vAlign w:val="center"/>
            <w:hideMark/>
          </w:tcPr>
          <w:p w14:paraId="7B72538F"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(0.261)</w:t>
            </w:r>
          </w:p>
        </w:tc>
      </w:tr>
      <w:tr w:rsidR="00480CCC" w:rsidRPr="00480CCC" w14:paraId="49D3B022" w14:textId="77777777" w:rsidTr="00480CCC">
        <w:trPr>
          <w:tblCellSpacing w:w="15" w:type="dxa"/>
        </w:trPr>
        <w:tc>
          <w:tcPr>
            <w:tcW w:w="0" w:type="auto"/>
            <w:vAlign w:val="center"/>
            <w:hideMark/>
          </w:tcPr>
          <w:p w14:paraId="5337F365"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Asian Population</w:t>
            </w:r>
          </w:p>
        </w:tc>
        <w:tc>
          <w:tcPr>
            <w:tcW w:w="0" w:type="auto"/>
            <w:vAlign w:val="center"/>
            <w:hideMark/>
          </w:tcPr>
          <w:p w14:paraId="2481506C"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10.55***</w:t>
            </w:r>
          </w:p>
        </w:tc>
        <w:tc>
          <w:tcPr>
            <w:tcW w:w="0" w:type="auto"/>
            <w:vAlign w:val="center"/>
            <w:hideMark/>
          </w:tcPr>
          <w:p w14:paraId="0FF6F3D6"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12.772***</w:t>
            </w:r>
          </w:p>
        </w:tc>
        <w:tc>
          <w:tcPr>
            <w:tcW w:w="0" w:type="auto"/>
            <w:vAlign w:val="center"/>
            <w:hideMark/>
          </w:tcPr>
          <w:p w14:paraId="0FF51FDA"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14.534***</w:t>
            </w:r>
          </w:p>
        </w:tc>
      </w:tr>
      <w:tr w:rsidR="00480CCC" w:rsidRPr="00480CCC" w14:paraId="4503622F" w14:textId="77777777" w:rsidTr="00480CCC">
        <w:trPr>
          <w:tblCellSpacing w:w="15" w:type="dxa"/>
        </w:trPr>
        <w:tc>
          <w:tcPr>
            <w:tcW w:w="0" w:type="auto"/>
            <w:vAlign w:val="center"/>
            <w:hideMark/>
          </w:tcPr>
          <w:p w14:paraId="5918DC32"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p>
        </w:tc>
        <w:tc>
          <w:tcPr>
            <w:tcW w:w="0" w:type="auto"/>
            <w:vAlign w:val="center"/>
            <w:hideMark/>
          </w:tcPr>
          <w:p w14:paraId="29C44DD2"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(0.526)</w:t>
            </w:r>
          </w:p>
        </w:tc>
        <w:tc>
          <w:tcPr>
            <w:tcW w:w="0" w:type="auto"/>
            <w:vAlign w:val="center"/>
            <w:hideMark/>
          </w:tcPr>
          <w:p w14:paraId="6AEA3B17"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(0.658)</w:t>
            </w:r>
          </w:p>
        </w:tc>
        <w:tc>
          <w:tcPr>
            <w:tcW w:w="0" w:type="auto"/>
            <w:vAlign w:val="center"/>
            <w:hideMark/>
          </w:tcPr>
          <w:p w14:paraId="36E9DE56"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(0.65)</w:t>
            </w:r>
          </w:p>
        </w:tc>
      </w:tr>
      <w:tr w:rsidR="00480CCC" w:rsidRPr="00480CCC" w14:paraId="06BCF893" w14:textId="77777777" w:rsidTr="00480CCC">
        <w:trPr>
          <w:tblCellSpacing w:w="15" w:type="dxa"/>
        </w:trPr>
        <w:tc>
          <w:tcPr>
            <w:tcW w:w="0" w:type="auto"/>
            <w:vAlign w:val="center"/>
            <w:hideMark/>
          </w:tcPr>
          <w:p w14:paraId="2DDA6FDB"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Hispanic Population</w:t>
            </w:r>
          </w:p>
        </w:tc>
        <w:tc>
          <w:tcPr>
            <w:tcW w:w="0" w:type="auto"/>
            <w:vAlign w:val="center"/>
            <w:hideMark/>
          </w:tcPr>
          <w:p w14:paraId="3001E2AD"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3.395***</w:t>
            </w:r>
          </w:p>
        </w:tc>
        <w:tc>
          <w:tcPr>
            <w:tcW w:w="0" w:type="auto"/>
            <w:vAlign w:val="center"/>
            <w:hideMark/>
          </w:tcPr>
          <w:p w14:paraId="5361D094"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3.847***</w:t>
            </w:r>
          </w:p>
        </w:tc>
        <w:tc>
          <w:tcPr>
            <w:tcW w:w="0" w:type="auto"/>
            <w:vAlign w:val="center"/>
            <w:hideMark/>
          </w:tcPr>
          <w:p w14:paraId="6A8B8D6A"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5.326***</w:t>
            </w:r>
          </w:p>
        </w:tc>
      </w:tr>
      <w:tr w:rsidR="00480CCC" w:rsidRPr="00480CCC" w14:paraId="6326913F" w14:textId="77777777" w:rsidTr="00480CCC">
        <w:trPr>
          <w:tblCellSpacing w:w="15" w:type="dxa"/>
        </w:trPr>
        <w:tc>
          <w:tcPr>
            <w:tcW w:w="0" w:type="auto"/>
            <w:vAlign w:val="center"/>
            <w:hideMark/>
          </w:tcPr>
          <w:p w14:paraId="1A98C372"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p>
        </w:tc>
        <w:tc>
          <w:tcPr>
            <w:tcW w:w="0" w:type="auto"/>
            <w:vAlign w:val="center"/>
            <w:hideMark/>
          </w:tcPr>
          <w:p w14:paraId="718EAE0C"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(0.221)</w:t>
            </w:r>
          </w:p>
        </w:tc>
        <w:tc>
          <w:tcPr>
            <w:tcW w:w="0" w:type="auto"/>
            <w:vAlign w:val="center"/>
            <w:hideMark/>
          </w:tcPr>
          <w:p w14:paraId="09B80710"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(0.254)</w:t>
            </w:r>
          </w:p>
        </w:tc>
        <w:tc>
          <w:tcPr>
            <w:tcW w:w="0" w:type="auto"/>
            <w:vAlign w:val="center"/>
            <w:hideMark/>
          </w:tcPr>
          <w:p w14:paraId="73F3984C"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(0.274)</w:t>
            </w:r>
          </w:p>
        </w:tc>
      </w:tr>
      <w:tr w:rsidR="00480CCC" w:rsidRPr="00480CCC" w14:paraId="66D5C97F" w14:textId="77777777" w:rsidTr="00480CCC">
        <w:trPr>
          <w:tblCellSpacing w:w="15" w:type="dxa"/>
        </w:trPr>
        <w:tc>
          <w:tcPr>
            <w:tcW w:w="0" w:type="auto"/>
            <w:vAlign w:val="center"/>
            <w:hideMark/>
          </w:tcPr>
          <w:p w14:paraId="599EFE9E"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High School Graduate</w:t>
            </w:r>
          </w:p>
        </w:tc>
        <w:tc>
          <w:tcPr>
            <w:tcW w:w="0" w:type="auto"/>
            <w:vAlign w:val="center"/>
            <w:hideMark/>
          </w:tcPr>
          <w:p w14:paraId="439AE058"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1.768***</w:t>
            </w:r>
          </w:p>
        </w:tc>
        <w:tc>
          <w:tcPr>
            <w:tcW w:w="0" w:type="auto"/>
            <w:vAlign w:val="center"/>
            <w:hideMark/>
          </w:tcPr>
          <w:p w14:paraId="279D6DDB"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1.583***</w:t>
            </w:r>
          </w:p>
        </w:tc>
        <w:tc>
          <w:tcPr>
            <w:tcW w:w="0" w:type="auto"/>
            <w:vAlign w:val="center"/>
            <w:hideMark/>
          </w:tcPr>
          <w:p w14:paraId="5D8C34E3"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0.233</w:t>
            </w:r>
          </w:p>
        </w:tc>
      </w:tr>
      <w:tr w:rsidR="00480CCC" w:rsidRPr="00480CCC" w14:paraId="114F363D" w14:textId="77777777" w:rsidTr="00480CCC">
        <w:trPr>
          <w:tblCellSpacing w:w="15" w:type="dxa"/>
        </w:trPr>
        <w:tc>
          <w:tcPr>
            <w:tcW w:w="0" w:type="auto"/>
            <w:vAlign w:val="center"/>
            <w:hideMark/>
          </w:tcPr>
          <w:p w14:paraId="329FEF98"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p>
        </w:tc>
        <w:tc>
          <w:tcPr>
            <w:tcW w:w="0" w:type="auto"/>
            <w:vAlign w:val="center"/>
            <w:hideMark/>
          </w:tcPr>
          <w:p w14:paraId="3CB7679F"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(0.421)</w:t>
            </w:r>
          </w:p>
        </w:tc>
        <w:tc>
          <w:tcPr>
            <w:tcW w:w="0" w:type="auto"/>
            <w:vAlign w:val="center"/>
            <w:hideMark/>
          </w:tcPr>
          <w:p w14:paraId="630F0A96"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(0.43)</w:t>
            </w:r>
          </w:p>
        </w:tc>
        <w:tc>
          <w:tcPr>
            <w:tcW w:w="0" w:type="auto"/>
            <w:vAlign w:val="center"/>
            <w:hideMark/>
          </w:tcPr>
          <w:p w14:paraId="531615CD"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(0.523)</w:t>
            </w:r>
          </w:p>
        </w:tc>
      </w:tr>
      <w:tr w:rsidR="00480CCC" w:rsidRPr="00480CCC" w14:paraId="4551676B" w14:textId="77777777" w:rsidTr="00480CCC">
        <w:trPr>
          <w:tblCellSpacing w:w="15" w:type="dxa"/>
        </w:trPr>
        <w:tc>
          <w:tcPr>
            <w:tcW w:w="0" w:type="auto"/>
            <w:vAlign w:val="center"/>
            <w:hideMark/>
          </w:tcPr>
          <w:p w14:paraId="26E070B1"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Bachelor's Degree</w:t>
            </w:r>
          </w:p>
        </w:tc>
        <w:tc>
          <w:tcPr>
            <w:tcW w:w="0" w:type="auto"/>
            <w:vAlign w:val="center"/>
            <w:hideMark/>
          </w:tcPr>
          <w:p w14:paraId="0B50086D"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19.636***</w:t>
            </w:r>
          </w:p>
        </w:tc>
        <w:tc>
          <w:tcPr>
            <w:tcW w:w="0" w:type="auto"/>
            <w:vAlign w:val="center"/>
            <w:hideMark/>
          </w:tcPr>
          <w:p w14:paraId="185FF413"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24.028***</w:t>
            </w:r>
          </w:p>
        </w:tc>
        <w:tc>
          <w:tcPr>
            <w:tcW w:w="0" w:type="auto"/>
            <w:vAlign w:val="center"/>
            <w:hideMark/>
          </w:tcPr>
          <w:p w14:paraId="34233267"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28.293***</w:t>
            </w:r>
          </w:p>
        </w:tc>
      </w:tr>
      <w:tr w:rsidR="00480CCC" w:rsidRPr="00480CCC" w14:paraId="4426D5E3" w14:textId="77777777" w:rsidTr="00480CCC">
        <w:trPr>
          <w:tblCellSpacing w:w="15" w:type="dxa"/>
        </w:trPr>
        <w:tc>
          <w:tcPr>
            <w:tcW w:w="0" w:type="auto"/>
            <w:vAlign w:val="center"/>
            <w:hideMark/>
          </w:tcPr>
          <w:p w14:paraId="5EF95115"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p>
        </w:tc>
        <w:tc>
          <w:tcPr>
            <w:tcW w:w="0" w:type="auto"/>
            <w:vAlign w:val="center"/>
            <w:hideMark/>
          </w:tcPr>
          <w:p w14:paraId="1DA86AF9"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(0.565)</w:t>
            </w:r>
          </w:p>
        </w:tc>
        <w:tc>
          <w:tcPr>
            <w:tcW w:w="0" w:type="auto"/>
            <w:vAlign w:val="center"/>
            <w:hideMark/>
          </w:tcPr>
          <w:p w14:paraId="611C8BDA"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(0.649)</w:t>
            </w:r>
          </w:p>
        </w:tc>
        <w:tc>
          <w:tcPr>
            <w:tcW w:w="0" w:type="auto"/>
            <w:vAlign w:val="center"/>
            <w:hideMark/>
          </w:tcPr>
          <w:p w14:paraId="1F2E0948"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(0.795)</w:t>
            </w:r>
          </w:p>
        </w:tc>
      </w:tr>
      <w:tr w:rsidR="00480CCC" w:rsidRPr="00480CCC" w14:paraId="06F247F1" w14:textId="77777777" w:rsidTr="00480CCC">
        <w:trPr>
          <w:tblCellSpacing w:w="15" w:type="dxa"/>
        </w:trPr>
        <w:tc>
          <w:tcPr>
            <w:tcW w:w="0" w:type="auto"/>
            <w:vAlign w:val="center"/>
            <w:hideMark/>
          </w:tcPr>
          <w:p w14:paraId="20E8514A"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Master's Degree</w:t>
            </w:r>
          </w:p>
        </w:tc>
        <w:tc>
          <w:tcPr>
            <w:tcW w:w="0" w:type="auto"/>
            <w:vAlign w:val="center"/>
            <w:hideMark/>
          </w:tcPr>
          <w:p w14:paraId="0B8345F9"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18.337***</w:t>
            </w:r>
          </w:p>
        </w:tc>
        <w:tc>
          <w:tcPr>
            <w:tcW w:w="0" w:type="auto"/>
            <w:vAlign w:val="center"/>
            <w:hideMark/>
          </w:tcPr>
          <w:p w14:paraId="46201CE0"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22.997***</w:t>
            </w:r>
          </w:p>
        </w:tc>
        <w:tc>
          <w:tcPr>
            <w:tcW w:w="0" w:type="auto"/>
            <w:vAlign w:val="center"/>
            <w:hideMark/>
          </w:tcPr>
          <w:p w14:paraId="590098C9"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31.352***</w:t>
            </w:r>
          </w:p>
        </w:tc>
      </w:tr>
      <w:tr w:rsidR="00480CCC" w:rsidRPr="00480CCC" w14:paraId="54053FDC" w14:textId="77777777" w:rsidTr="00480CCC">
        <w:trPr>
          <w:tblCellSpacing w:w="15" w:type="dxa"/>
        </w:trPr>
        <w:tc>
          <w:tcPr>
            <w:tcW w:w="0" w:type="auto"/>
            <w:vAlign w:val="center"/>
            <w:hideMark/>
          </w:tcPr>
          <w:p w14:paraId="17BE91C4"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p>
        </w:tc>
        <w:tc>
          <w:tcPr>
            <w:tcW w:w="0" w:type="auto"/>
            <w:vAlign w:val="center"/>
            <w:hideMark/>
          </w:tcPr>
          <w:p w14:paraId="04EABBF0"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(1.093)</w:t>
            </w:r>
          </w:p>
        </w:tc>
        <w:tc>
          <w:tcPr>
            <w:tcW w:w="0" w:type="auto"/>
            <w:vAlign w:val="center"/>
            <w:hideMark/>
          </w:tcPr>
          <w:p w14:paraId="3C388E5A"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(1.195)</w:t>
            </w:r>
          </w:p>
        </w:tc>
        <w:tc>
          <w:tcPr>
            <w:tcW w:w="0" w:type="auto"/>
            <w:vAlign w:val="center"/>
            <w:hideMark/>
          </w:tcPr>
          <w:p w14:paraId="60B9D3F5"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(1.428)</w:t>
            </w:r>
          </w:p>
        </w:tc>
      </w:tr>
      <w:tr w:rsidR="00480CCC" w:rsidRPr="00480CCC" w14:paraId="0AC13EF7" w14:textId="77777777" w:rsidTr="00480CCC">
        <w:trPr>
          <w:tblCellSpacing w:w="15" w:type="dxa"/>
        </w:trPr>
        <w:tc>
          <w:tcPr>
            <w:tcW w:w="0" w:type="auto"/>
            <w:vAlign w:val="center"/>
            <w:hideMark/>
          </w:tcPr>
          <w:p w14:paraId="686FBD4D"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Owner-Occupied Housing</w:t>
            </w:r>
          </w:p>
        </w:tc>
        <w:tc>
          <w:tcPr>
            <w:tcW w:w="0" w:type="auto"/>
            <w:vAlign w:val="center"/>
            <w:hideMark/>
          </w:tcPr>
          <w:p w14:paraId="21BE1FC5"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3.586***</w:t>
            </w:r>
          </w:p>
        </w:tc>
        <w:tc>
          <w:tcPr>
            <w:tcW w:w="0" w:type="auto"/>
            <w:vAlign w:val="center"/>
            <w:hideMark/>
          </w:tcPr>
          <w:p w14:paraId="15D59885"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3.914***</w:t>
            </w:r>
          </w:p>
        </w:tc>
        <w:tc>
          <w:tcPr>
            <w:tcW w:w="0" w:type="auto"/>
            <w:vAlign w:val="center"/>
            <w:hideMark/>
          </w:tcPr>
          <w:p w14:paraId="3E48D286"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3.76***</w:t>
            </w:r>
          </w:p>
        </w:tc>
      </w:tr>
      <w:tr w:rsidR="00480CCC" w:rsidRPr="00480CCC" w14:paraId="397F6E2A" w14:textId="77777777" w:rsidTr="00480CCC">
        <w:trPr>
          <w:tblCellSpacing w:w="15" w:type="dxa"/>
        </w:trPr>
        <w:tc>
          <w:tcPr>
            <w:tcW w:w="0" w:type="auto"/>
            <w:vAlign w:val="center"/>
            <w:hideMark/>
          </w:tcPr>
          <w:p w14:paraId="32994CDE"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p>
        </w:tc>
        <w:tc>
          <w:tcPr>
            <w:tcW w:w="0" w:type="auto"/>
            <w:vAlign w:val="center"/>
            <w:hideMark/>
          </w:tcPr>
          <w:p w14:paraId="3E26B0E6"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(0.121)</w:t>
            </w:r>
          </w:p>
        </w:tc>
        <w:tc>
          <w:tcPr>
            <w:tcW w:w="0" w:type="auto"/>
            <w:vAlign w:val="center"/>
            <w:hideMark/>
          </w:tcPr>
          <w:p w14:paraId="6D5D2FA2"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(0.121)</w:t>
            </w:r>
          </w:p>
        </w:tc>
        <w:tc>
          <w:tcPr>
            <w:tcW w:w="0" w:type="auto"/>
            <w:vAlign w:val="center"/>
            <w:hideMark/>
          </w:tcPr>
          <w:p w14:paraId="2AF95004"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(0.185)</w:t>
            </w:r>
          </w:p>
        </w:tc>
      </w:tr>
      <w:tr w:rsidR="00480CCC" w:rsidRPr="00480CCC" w14:paraId="4427E1D2" w14:textId="77777777" w:rsidTr="00480CCC">
        <w:trPr>
          <w:tblCellSpacing w:w="15" w:type="dxa"/>
        </w:trPr>
        <w:tc>
          <w:tcPr>
            <w:tcW w:w="0" w:type="auto"/>
            <w:vAlign w:val="center"/>
            <w:hideMark/>
          </w:tcPr>
          <w:p w14:paraId="68B20A63"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Disabled Population</w:t>
            </w:r>
          </w:p>
        </w:tc>
        <w:tc>
          <w:tcPr>
            <w:tcW w:w="0" w:type="auto"/>
            <w:vAlign w:val="center"/>
            <w:hideMark/>
          </w:tcPr>
          <w:p w14:paraId="11455C99"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-16.694***</w:t>
            </w:r>
          </w:p>
        </w:tc>
        <w:tc>
          <w:tcPr>
            <w:tcW w:w="0" w:type="auto"/>
            <w:vAlign w:val="center"/>
            <w:hideMark/>
          </w:tcPr>
          <w:p w14:paraId="2CFE0AE3"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-19.221***</w:t>
            </w:r>
          </w:p>
        </w:tc>
        <w:tc>
          <w:tcPr>
            <w:tcW w:w="0" w:type="auto"/>
            <w:vAlign w:val="center"/>
            <w:hideMark/>
          </w:tcPr>
          <w:p w14:paraId="28F46DE0"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-20.877***</w:t>
            </w:r>
          </w:p>
        </w:tc>
      </w:tr>
      <w:tr w:rsidR="00480CCC" w:rsidRPr="00480CCC" w14:paraId="5E8849DD" w14:textId="77777777" w:rsidTr="00480CCC">
        <w:trPr>
          <w:tblCellSpacing w:w="15" w:type="dxa"/>
        </w:trPr>
        <w:tc>
          <w:tcPr>
            <w:tcW w:w="0" w:type="auto"/>
            <w:vAlign w:val="center"/>
            <w:hideMark/>
          </w:tcPr>
          <w:p w14:paraId="490F1F03"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p>
        </w:tc>
        <w:tc>
          <w:tcPr>
            <w:tcW w:w="0" w:type="auto"/>
            <w:vAlign w:val="center"/>
            <w:hideMark/>
          </w:tcPr>
          <w:p w14:paraId="64259B3E"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(0.343)</w:t>
            </w:r>
          </w:p>
        </w:tc>
        <w:tc>
          <w:tcPr>
            <w:tcW w:w="0" w:type="auto"/>
            <w:vAlign w:val="center"/>
            <w:hideMark/>
          </w:tcPr>
          <w:p w14:paraId="11C17B9C"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(0.483)</w:t>
            </w:r>
          </w:p>
        </w:tc>
        <w:tc>
          <w:tcPr>
            <w:tcW w:w="0" w:type="auto"/>
            <w:vAlign w:val="center"/>
            <w:hideMark/>
          </w:tcPr>
          <w:p w14:paraId="46AFBA3B"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(0.594)</w:t>
            </w:r>
          </w:p>
        </w:tc>
      </w:tr>
      <w:tr w:rsidR="00480CCC" w:rsidRPr="00480CCC" w14:paraId="55A4A494" w14:textId="77777777" w:rsidTr="00480CCC">
        <w:trPr>
          <w:tblCellSpacing w:w="15" w:type="dxa"/>
        </w:trPr>
        <w:tc>
          <w:tcPr>
            <w:tcW w:w="0" w:type="auto"/>
            <w:vAlign w:val="center"/>
            <w:hideMark/>
          </w:tcPr>
          <w:p w14:paraId="2D869AB9"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OZ * Post (</w:t>
            </w:r>
            <w:proofErr w:type="spellStart"/>
            <w:r w:rsidRPr="0031766A">
              <w:rPr>
                <w:rFonts w:ascii="Times New Roman" w:eastAsia="Times New Roman" w:hAnsi="Times New Roman" w:cs="Times New Roman"/>
                <w:color w:val="000000"/>
                <w:sz w:val="22"/>
                <w:szCs w:val="22"/>
              </w:rPr>
              <w:t>DiD</w:t>
            </w:r>
            <w:proofErr w:type="spellEnd"/>
            <w:r w:rsidRPr="0031766A">
              <w:rPr>
                <w:rFonts w:ascii="Times New Roman" w:eastAsia="Times New Roman" w:hAnsi="Times New Roman" w:cs="Times New Roman"/>
                <w:color w:val="000000"/>
                <w:sz w:val="22"/>
                <w:szCs w:val="22"/>
              </w:rPr>
              <w:t xml:space="preserve"> Effect)</w:t>
            </w:r>
          </w:p>
        </w:tc>
        <w:tc>
          <w:tcPr>
            <w:tcW w:w="0" w:type="auto"/>
            <w:vAlign w:val="center"/>
            <w:hideMark/>
          </w:tcPr>
          <w:p w14:paraId="1FEA7337"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0.189**</w:t>
            </w:r>
          </w:p>
        </w:tc>
        <w:tc>
          <w:tcPr>
            <w:tcW w:w="0" w:type="auto"/>
            <w:vAlign w:val="center"/>
            <w:hideMark/>
          </w:tcPr>
          <w:p w14:paraId="0052CDD1"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0.224***</w:t>
            </w:r>
          </w:p>
        </w:tc>
        <w:tc>
          <w:tcPr>
            <w:tcW w:w="0" w:type="auto"/>
            <w:vAlign w:val="center"/>
            <w:hideMark/>
          </w:tcPr>
          <w:p w14:paraId="03AE6D52"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0.272**</w:t>
            </w:r>
          </w:p>
        </w:tc>
      </w:tr>
      <w:tr w:rsidR="00480CCC" w:rsidRPr="00480CCC" w14:paraId="306DAEA5" w14:textId="77777777" w:rsidTr="00480CCC">
        <w:trPr>
          <w:tblCellSpacing w:w="15" w:type="dxa"/>
        </w:trPr>
        <w:tc>
          <w:tcPr>
            <w:tcW w:w="0" w:type="auto"/>
            <w:vAlign w:val="center"/>
            <w:hideMark/>
          </w:tcPr>
          <w:p w14:paraId="284A960C"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p>
        </w:tc>
        <w:tc>
          <w:tcPr>
            <w:tcW w:w="0" w:type="auto"/>
            <w:vAlign w:val="center"/>
            <w:hideMark/>
          </w:tcPr>
          <w:p w14:paraId="506B1A9B"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(0.078)</w:t>
            </w:r>
          </w:p>
        </w:tc>
        <w:tc>
          <w:tcPr>
            <w:tcW w:w="0" w:type="auto"/>
            <w:vAlign w:val="center"/>
            <w:hideMark/>
          </w:tcPr>
          <w:p w14:paraId="37E89AC1"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(0.086)</w:t>
            </w:r>
          </w:p>
        </w:tc>
        <w:tc>
          <w:tcPr>
            <w:tcW w:w="0" w:type="auto"/>
            <w:vAlign w:val="center"/>
            <w:hideMark/>
          </w:tcPr>
          <w:p w14:paraId="7185ADE9" w14:textId="77777777" w:rsidR="00480CCC" w:rsidRPr="0031766A" w:rsidRDefault="00480CCC" w:rsidP="00480CCC">
            <w:pPr>
              <w:spacing w:line="240" w:lineRule="auto"/>
              <w:ind w:firstLine="0"/>
              <w:rPr>
                <w:rFonts w:ascii="Times New Roman" w:eastAsia="Times New Roman" w:hAnsi="Times New Roman" w:cs="Times New Roman"/>
                <w:color w:val="000000"/>
                <w:sz w:val="22"/>
                <w:szCs w:val="22"/>
              </w:rPr>
            </w:pPr>
            <w:r w:rsidRPr="0031766A">
              <w:rPr>
                <w:rFonts w:ascii="Times New Roman" w:eastAsia="Times New Roman" w:hAnsi="Times New Roman" w:cs="Times New Roman"/>
                <w:color w:val="000000"/>
                <w:sz w:val="22"/>
                <w:szCs w:val="22"/>
              </w:rPr>
              <w:t>(0.116)</w:t>
            </w:r>
          </w:p>
        </w:tc>
      </w:tr>
    </w:tbl>
    <w:p w14:paraId="7AD1B21A" w14:textId="77777777" w:rsidR="00480CCC" w:rsidRPr="00480CCC" w:rsidRDefault="00480CCC" w:rsidP="004E58DC">
      <w:pPr>
        <w:spacing w:before="240" w:after="100" w:afterAutospacing="1" w:line="240" w:lineRule="auto"/>
        <w:ind w:firstLine="0"/>
        <w:rPr>
          <w:rFonts w:ascii="Times New Roman" w:eastAsia="Times New Roman" w:hAnsi="Times New Roman" w:cs="Times New Roman"/>
          <w:color w:val="000000"/>
          <w:sz w:val="20"/>
          <w:szCs w:val="20"/>
        </w:rPr>
      </w:pPr>
      <w:r w:rsidRPr="00480CCC">
        <w:rPr>
          <w:rFonts w:ascii="Times New Roman" w:eastAsia="Times New Roman" w:hAnsi="Times New Roman" w:cs="Times New Roman"/>
          <w:color w:val="000000"/>
          <w:sz w:val="20"/>
          <w:szCs w:val="20"/>
        </w:rPr>
        <w:t>Source: 5-Year ACS, US Census Bureau &amp; Housing Urban Development</w:t>
      </w:r>
    </w:p>
    <w:p w14:paraId="458647D9" w14:textId="591ACCCF" w:rsidR="003E4728" w:rsidRDefault="000F48DE" w:rsidP="0092647D">
      <w:pPr>
        <w:spacing w:line="480" w:lineRule="auto"/>
        <w:rPr>
          <w:rFonts w:ascii="Times New Roman" w:eastAsia="Times New Roman" w:hAnsi="Times New Roman" w:cs="Times New Roman"/>
        </w:rPr>
      </w:pPr>
      <w:r>
        <w:rPr>
          <w:rFonts w:ascii="Times New Roman" w:eastAsia="Times New Roman" w:hAnsi="Times New Roman" w:cs="Times New Roman"/>
        </w:rPr>
        <w:t xml:space="preserve">Figure 2 provides a visual of the </w:t>
      </w:r>
      <w:r w:rsidR="00432E65">
        <w:rPr>
          <w:rFonts w:ascii="Times New Roman" w:eastAsia="Times New Roman" w:hAnsi="Times New Roman" w:cs="Times New Roman"/>
        </w:rPr>
        <w:t xml:space="preserve">predicted economic well-being </w:t>
      </w:r>
      <w:r w:rsidR="00366769">
        <w:rPr>
          <w:rFonts w:ascii="Times New Roman" w:eastAsia="Times New Roman" w:hAnsi="Times New Roman" w:cs="Times New Roman"/>
        </w:rPr>
        <w:t>scores from</w:t>
      </w:r>
      <w:r w:rsidR="00432E65">
        <w:rPr>
          <w:rFonts w:ascii="Times New Roman" w:eastAsia="Times New Roman" w:hAnsi="Times New Roman" w:cs="Times New Roman"/>
        </w:rPr>
        <w:t xml:space="preserve"> the </w:t>
      </w:r>
      <w:proofErr w:type="spellStart"/>
      <w:r w:rsidR="00432E65">
        <w:rPr>
          <w:rFonts w:ascii="Times New Roman" w:eastAsia="Times New Roman" w:hAnsi="Times New Roman" w:cs="Times New Roman"/>
        </w:rPr>
        <w:t>DiD</w:t>
      </w:r>
      <w:proofErr w:type="spellEnd"/>
      <w:r w:rsidR="00432E65">
        <w:rPr>
          <w:rFonts w:ascii="Times New Roman" w:eastAsia="Times New Roman" w:hAnsi="Times New Roman" w:cs="Times New Roman"/>
        </w:rPr>
        <w:t xml:space="preserve"> quantile regression model</w:t>
      </w:r>
      <w:r w:rsidR="00D25A57">
        <w:rPr>
          <w:rFonts w:ascii="Times New Roman" w:eastAsia="Times New Roman" w:hAnsi="Times New Roman" w:cs="Times New Roman"/>
        </w:rPr>
        <w:t>, shown</w:t>
      </w:r>
      <w:r w:rsidR="00432E65">
        <w:rPr>
          <w:rFonts w:ascii="Times New Roman" w:eastAsia="Times New Roman" w:hAnsi="Times New Roman" w:cs="Times New Roman"/>
        </w:rPr>
        <w:t xml:space="preserve"> in Table 3</w:t>
      </w:r>
      <w:r w:rsidR="00D25A57">
        <w:rPr>
          <w:rFonts w:ascii="Times New Roman" w:eastAsia="Times New Roman" w:hAnsi="Times New Roman" w:cs="Times New Roman"/>
        </w:rPr>
        <w:t>,</w:t>
      </w:r>
      <w:r w:rsidR="00432E65">
        <w:rPr>
          <w:rFonts w:ascii="Times New Roman" w:eastAsia="Times New Roman" w:hAnsi="Times New Roman" w:cs="Times New Roman"/>
        </w:rPr>
        <w:t xml:space="preserve"> </w:t>
      </w:r>
      <w:r>
        <w:rPr>
          <w:rFonts w:ascii="Times New Roman" w:eastAsia="Times New Roman" w:hAnsi="Times New Roman" w:cs="Times New Roman"/>
        </w:rPr>
        <w:t>across</w:t>
      </w:r>
      <w:r w:rsidR="008B71DF">
        <w:rPr>
          <w:rFonts w:ascii="Times New Roman" w:eastAsia="Times New Roman" w:hAnsi="Times New Roman" w:cs="Times New Roman"/>
        </w:rPr>
        <w:t xml:space="preserve"> the</w:t>
      </w:r>
      <w:r>
        <w:rPr>
          <w:rFonts w:ascii="Times New Roman" w:eastAsia="Times New Roman" w:hAnsi="Times New Roman" w:cs="Times New Roman"/>
        </w:rPr>
        <w:t xml:space="preserve"> three</w:t>
      </w:r>
      <w:r w:rsidR="00846966">
        <w:rPr>
          <w:rFonts w:ascii="Times New Roman" w:eastAsia="Times New Roman" w:hAnsi="Times New Roman" w:cs="Times New Roman"/>
        </w:rPr>
        <w:t xml:space="preserve"> conditional</w:t>
      </w:r>
      <w:r>
        <w:rPr>
          <w:rFonts w:ascii="Times New Roman" w:eastAsia="Times New Roman" w:hAnsi="Times New Roman" w:cs="Times New Roman"/>
        </w:rPr>
        <w:t xml:space="preserve"> percentiles (25</w:t>
      </w:r>
      <w:r w:rsidRPr="000F48DE">
        <w:rPr>
          <w:rFonts w:ascii="Times New Roman" w:eastAsia="Times New Roman" w:hAnsi="Times New Roman" w:cs="Times New Roman"/>
          <w:vertAlign w:val="superscript"/>
        </w:rPr>
        <w:t>th</w:t>
      </w:r>
      <w:r>
        <w:rPr>
          <w:rFonts w:ascii="Times New Roman" w:eastAsia="Times New Roman" w:hAnsi="Times New Roman" w:cs="Times New Roman"/>
        </w:rPr>
        <w:t>, 50</w:t>
      </w:r>
      <w:r w:rsidRPr="000F48DE">
        <w:rPr>
          <w:rFonts w:ascii="Times New Roman" w:eastAsia="Times New Roman" w:hAnsi="Times New Roman" w:cs="Times New Roman"/>
          <w:vertAlign w:val="superscript"/>
        </w:rPr>
        <w:t>th</w:t>
      </w:r>
      <w:r>
        <w:rPr>
          <w:rFonts w:ascii="Times New Roman" w:eastAsia="Times New Roman" w:hAnsi="Times New Roman" w:cs="Times New Roman"/>
        </w:rPr>
        <w:t>, and 75</w:t>
      </w:r>
      <w:r w:rsidRPr="000F48DE">
        <w:rPr>
          <w:rFonts w:ascii="Times New Roman" w:eastAsia="Times New Roman" w:hAnsi="Times New Roman" w:cs="Times New Roman"/>
          <w:vertAlign w:val="superscript"/>
        </w:rPr>
        <w:t>th</w:t>
      </w:r>
      <w:r>
        <w:rPr>
          <w:rFonts w:ascii="Times New Roman" w:eastAsia="Times New Roman" w:hAnsi="Times New Roman" w:cs="Times New Roman"/>
        </w:rPr>
        <w:t>). OZ designated and tracts with high propensity scores are represented by the red line</w:t>
      </w:r>
      <w:r w:rsidR="00366769">
        <w:rPr>
          <w:rFonts w:ascii="Times New Roman" w:eastAsia="Times New Roman" w:hAnsi="Times New Roman" w:cs="Times New Roman"/>
        </w:rPr>
        <w:t>s</w:t>
      </w:r>
      <w:r>
        <w:rPr>
          <w:rFonts w:ascii="Times New Roman" w:eastAsia="Times New Roman" w:hAnsi="Times New Roman" w:cs="Times New Roman"/>
        </w:rPr>
        <w:t xml:space="preserve"> and show a positive economic well-being trend </w:t>
      </w:r>
      <w:r w:rsidR="00366769">
        <w:rPr>
          <w:rFonts w:ascii="Times New Roman" w:eastAsia="Times New Roman" w:hAnsi="Times New Roman" w:cs="Times New Roman"/>
        </w:rPr>
        <w:t>across</w:t>
      </w:r>
      <w:r>
        <w:rPr>
          <w:rFonts w:ascii="Times New Roman" w:eastAsia="Times New Roman" w:hAnsi="Times New Roman" w:cs="Times New Roman"/>
        </w:rPr>
        <w:t xml:space="preserve"> the two time periods, whereas non-OZ </w:t>
      </w:r>
      <w:r>
        <w:rPr>
          <w:rFonts w:ascii="Times New Roman" w:eastAsia="Times New Roman" w:hAnsi="Times New Roman" w:cs="Times New Roman"/>
        </w:rPr>
        <w:lastRenderedPageBreak/>
        <w:t>tracts</w:t>
      </w:r>
      <w:r w:rsidR="00874054">
        <w:rPr>
          <w:rFonts w:ascii="Times New Roman" w:eastAsia="Times New Roman" w:hAnsi="Times New Roman" w:cs="Times New Roman"/>
        </w:rPr>
        <w:t>, represented by the blue lines,</w:t>
      </w:r>
      <w:r w:rsidR="00C05A59">
        <w:rPr>
          <w:rFonts w:ascii="Times New Roman" w:eastAsia="Times New Roman" w:hAnsi="Times New Roman" w:cs="Times New Roman"/>
        </w:rPr>
        <w:t xml:space="preserve"> observed largely</w:t>
      </w:r>
      <w:r w:rsidR="00BE533F">
        <w:rPr>
          <w:rFonts w:ascii="Times New Roman" w:eastAsia="Times New Roman" w:hAnsi="Times New Roman" w:cs="Times New Roman"/>
        </w:rPr>
        <w:t xml:space="preserve"> stagnant growth</w:t>
      </w:r>
      <w:r>
        <w:rPr>
          <w:rFonts w:ascii="Times New Roman" w:eastAsia="Times New Roman" w:hAnsi="Times New Roman" w:cs="Times New Roman"/>
        </w:rPr>
        <w:t xml:space="preserve"> in</w:t>
      </w:r>
      <w:r w:rsidR="00C05A59">
        <w:rPr>
          <w:rFonts w:ascii="Times New Roman" w:eastAsia="Times New Roman" w:hAnsi="Times New Roman" w:cs="Times New Roman"/>
        </w:rPr>
        <w:t xml:space="preserve"> their</w:t>
      </w:r>
      <w:r>
        <w:rPr>
          <w:rFonts w:ascii="Times New Roman" w:eastAsia="Times New Roman" w:hAnsi="Times New Roman" w:cs="Times New Roman"/>
        </w:rPr>
        <w:t xml:space="preserve"> economic well-being </w:t>
      </w:r>
      <w:r w:rsidR="002212D4">
        <w:rPr>
          <w:rFonts w:ascii="Times New Roman" w:eastAsia="Times New Roman" w:hAnsi="Times New Roman" w:cs="Times New Roman"/>
        </w:rPr>
        <w:t>across</w:t>
      </w:r>
      <w:r>
        <w:rPr>
          <w:rFonts w:ascii="Times New Roman" w:eastAsia="Times New Roman" w:hAnsi="Times New Roman" w:cs="Times New Roman"/>
        </w:rPr>
        <w:t xml:space="preserve"> the two time periods. </w:t>
      </w:r>
      <w:r w:rsidR="003847D1">
        <w:rPr>
          <w:rFonts w:ascii="Times New Roman" w:eastAsia="Times New Roman" w:hAnsi="Times New Roman" w:cs="Times New Roman"/>
        </w:rPr>
        <w:t>Similar to Figure 1, the gap between OZ and non-OZ tracts narrowed in the post implementation period.</w:t>
      </w:r>
      <w:r w:rsidR="005B1DE2">
        <w:rPr>
          <w:rFonts w:ascii="Times New Roman" w:eastAsia="Times New Roman" w:hAnsi="Times New Roman" w:cs="Times New Roman"/>
        </w:rPr>
        <w:t xml:space="preserve"> Again, suggesting relative improvements for OZ tracts across the conditional distribution.</w:t>
      </w:r>
    </w:p>
    <w:p w14:paraId="55CFE748" w14:textId="3CDA3560" w:rsidR="00983482" w:rsidRDefault="008530E8" w:rsidP="00DD46F4">
      <w:bookmarkStart w:id="30" w:name="Figure1"/>
      <w:bookmarkStart w:id="31" w:name="Figure2"/>
      <w:r>
        <w:rPr>
          <w:noProof/>
        </w:rPr>
        <w:drawing>
          <wp:inline distT="0" distB="0" distL="0" distR="0" wp14:anchorId="34553FD1" wp14:editId="068AF731">
            <wp:extent cx="5943600" cy="4457700"/>
            <wp:effectExtent l="0" t="0" r="0" b="0"/>
            <wp:docPr id="19722038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bookmarkEnd w:id="30"/>
      <w:bookmarkEnd w:id="31"/>
    </w:p>
    <w:p w14:paraId="2CB3AF12" w14:textId="7D0A852A" w:rsidR="004F5C55" w:rsidRDefault="004F5C55" w:rsidP="00983482">
      <w:pPr>
        <w:spacing w:line="480" w:lineRule="auto"/>
        <w:rPr>
          <w:rFonts w:ascii="Times New Roman" w:eastAsia="Times New Roman" w:hAnsi="Times New Roman" w:cs="Times New Roman"/>
        </w:rPr>
      </w:pPr>
      <w:r>
        <w:rPr>
          <w:rFonts w:ascii="Times New Roman" w:eastAsia="Times New Roman" w:hAnsi="Times New Roman" w:cs="Times New Roman"/>
        </w:rPr>
        <w:t>Table 4 demonstrates the localized Akron, OH regression summary. For the Akron, OH metropolitan, only some of the covariates were statistically significant.</w:t>
      </w:r>
      <w:r w:rsidR="00971DFD">
        <w:rPr>
          <w:rFonts w:ascii="Times New Roman" w:eastAsia="Times New Roman" w:hAnsi="Times New Roman" w:cs="Times New Roman"/>
        </w:rPr>
        <w:t xml:space="preserve"> </w:t>
      </w:r>
      <w:r w:rsidR="00971DFD" w:rsidRPr="00171AEE">
        <w:rPr>
          <w:rFonts w:ascii="Times New Roman" w:eastAsia="Times New Roman" w:hAnsi="Times New Roman" w:cs="Times New Roman"/>
        </w:rPr>
        <w:t>While, OZ designated and non-OZ tracts with high propensity scores saw an increased economic well-being change going into the post implementation period relative to non-OZ tracts,</w:t>
      </w:r>
      <w:r w:rsidRPr="00171AEE">
        <w:rPr>
          <w:rFonts w:ascii="Times New Roman" w:eastAsia="Times New Roman" w:hAnsi="Times New Roman" w:cs="Times New Roman"/>
        </w:rPr>
        <w:t xml:space="preserve"> </w:t>
      </w:r>
      <w:r w:rsidR="00971DFD" w:rsidRPr="00171AEE">
        <w:rPr>
          <w:rFonts w:ascii="Times New Roman" w:eastAsia="Times New Roman" w:hAnsi="Times New Roman" w:cs="Times New Roman"/>
        </w:rPr>
        <w:t>t</w:t>
      </w:r>
      <w:r w:rsidRPr="00171AEE">
        <w:rPr>
          <w:rFonts w:ascii="Times New Roman" w:eastAsia="Times New Roman" w:hAnsi="Times New Roman" w:cs="Times New Roman"/>
        </w:rPr>
        <w:t>he OZ</w:t>
      </w:r>
      <w:r w:rsidR="00233C42" w:rsidRPr="00171AEE">
        <w:rPr>
          <w:rFonts w:ascii="Times New Roman" w:eastAsia="Times New Roman" w:hAnsi="Times New Roman" w:cs="Times New Roman"/>
        </w:rPr>
        <w:t xml:space="preserve"> and Post</w:t>
      </w:r>
      <w:r w:rsidRPr="00171AEE">
        <w:rPr>
          <w:rFonts w:ascii="Times New Roman" w:eastAsia="Times New Roman" w:hAnsi="Times New Roman" w:cs="Times New Roman"/>
        </w:rPr>
        <w:t xml:space="preserve"> variables and</w:t>
      </w:r>
      <w:r w:rsidR="00233C42" w:rsidRPr="00171AEE">
        <w:rPr>
          <w:rFonts w:ascii="Times New Roman" w:eastAsia="Times New Roman" w:hAnsi="Times New Roman" w:cs="Times New Roman"/>
        </w:rPr>
        <w:t xml:space="preserve"> the</w:t>
      </w:r>
      <w:r w:rsidRPr="00171AEE">
        <w:rPr>
          <w:rFonts w:ascii="Times New Roman" w:eastAsia="Times New Roman" w:hAnsi="Times New Roman" w:cs="Times New Roman"/>
        </w:rPr>
        <w:t xml:space="preserve"> interaction term were not</w:t>
      </w:r>
      <w:r w:rsidR="00172C80" w:rsidRPr="00171AEE">
        <w:rPr>
          <w:rFonts w:ascii="Times New Roman" w:eastAsia="Times New Roman" w:hAnsi="Times New Roman" w:cs="Times New Roman"/>
        </w:rPr>
        <w:t xml:space="preserve"> statistically</w:t>
      </w:r>
      <w:r w:rsidRPr="00171AEE">
        <w:rPr>
          <w:rFonts w:ascii="Times New Roman" w:eastAsia="Times New Roman" w:hAnsi="Times New Roman" w:cs="Times New Roman"/>
        </w:rPr>
        <w:t xml:space="preserve"> significant.</w:t>
      </w:r>
      <w:r w:rsidR="00971DFD">
        <w:rPr>
          <w:rFonts w:ascii="Times New Roman" w:eastAsia="Times New Roman" w:hAnsi="Times New Roman" w:cs="Times New Roman"/>
        </w:rPr>
        <w:t xml:space="preserve"> </w:t>
      </w:r>
      <w:r w:rsidR="00B07930">
        <w:rPr>
          <w:rFonts w:ascii="Times New Roman" w:eastAsia="Times New Roman" w:hAnsi="Times New Roman" w:cs="Times New Roman"/>
        </w:rPr>
        <w:t>This model highlights the potential key distinctions and regional varieties that effect economic well-being. The</w:t>
      </w:r>
      <w:r w:rsidR="00716ED0">
        <w:rPr>
          <w:rFonts w:ascii="Times New Roman" w:eastAsia="Times New Roman" w:hAnsi="Times New Roman" w:cs="Times New Roman"/>
        </w:rPr>
        <w:t xml:space="preserve"> adjusted</w:t>
      </w:r>
      <w:r w:rsidR="00B07930">
        <w:rPr>
          <w:rFonts w:ascii="Times New Roman" w:eastAsia="Times New Roman" w:hAnsi="Times New Roman" w:cs="Times New Roman"/>
        </w:rPr>
        <w:t xml:space="preserve"> R2 score captured 74% of the total variance in economic well-being, and also had a highly significant F </w:t>
      </w:r>
      <w:r w:rsidR="00B07930">
        <w:rPr>
          <w:rFonts w:ascii="Times New Roman" w:eastAsia="Times New Roman" w:hAnsi="Times New Roman" w:cs="Times New Roman"/>
        </w:rPr>
        <w:lastRenderedPageBreak/>
        <w:t xml:space="preserve">statistic. This likely suggests that to truly measure and capture the economic well being impacts in </w:t>
      </w:r>
      <w:r w:rsidR="00DC6025">
        <w:rPr>
          <w:rFonts w:ascii="Times New Roman" w:eastAsia="Times New Roman" w:hAnsi="Times New Roman" w:cs="Times New Roman"/>
        </w:rPr>
        <w:t>different</w:t>
      </w:r>
      <w:r w:rsidR="00B07930">
        <w:rPr>
          <w:rFonts w:ascii="Times New Roman" w:eastAsia="Times New Roman" w:hAnsi="Times New Roman" w:cs="Times New Roman"/>
        </w:rPr>
        <w:t xml:space="preserve"> metropolitan area</w:t>
      </w:r>
      <w:r w:rsidR="00DC6025">
        <w:rPr>
          <w:rFonts w:ascii="Times New Roman" w:eastAsia="Times New Roman" w:hAnsi="Times New Roman" w:cs="Times New Roman"/>
        </w:rPr>
        <w:t>s</w:t>
      </w:r>
      <w:r w:rsidR="00B07930">
        <w:rPr>
          <w:rFonts w:ascii="Times New Roman" w:eastAsia="Times New Roman" w:hAnsi="Times New Roman" w:cs="Times New Roman"/>
        </w:rPr>
        <w:t xml:space="preserve">, the model must capture </w:t>
      </w:r>
      <w:r w:rsidR="00DC6025">
        <w:rPr>
          <w:rFonts w:ascii="Times New Roman" w:eastAsia="Times New Roman" w:hAnsi="Times New Roman" w:cs="Times New Roman"/>
        </w:rPr>
        <w:t>a metro area’s</w:t>
      </w:r>
      <w:r w:rsidR="00B07930">
        <w:rPr>
          <w:rFonts w:ascii="Times New Roman" w:eastAsia="Times New Roman" w:hAnsi="Times New Roman" w:cs="Times New Roman"/>
        </w:rPr>
        <w:t xml:space="preserve"> unique characteristics.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7"/>
        <w:gridCol w:w="2963"/>
      </w:tblGrid>
      <w:tr w:rsidR="008B3D47" w:rsidRPr="008B3D47" w14:paraId="642F4B93" w14:textId="77777777" w:rsidTr="008B3D47">
        <w:trPr>
          <w:tblCellSpacing w:w="15" w:type="dxa"/>
        </w:trPr>
        <w:tc>
          <w:tcPr>
            <w:tcW w:w="0" w:type="auto"/>
            <w:gridSpan w:val="2"/>
            <w:tcBorders>
              <w:top w:val="nil"/>
              <w:left w:val="nil"/>
              <w:bottom w:val="nil"/>
              <w:right w:val="nil"/>
            </w:tcBorders>
            <w:vAlign w:val="center"/>
            <w:hideMark/>
          </w:tcPr>
          <w:p w14:paraId="4889A943" w14:textId="6E1B2589" w:rsidR="008B3D47" w:rsidRPr="008B3D47" w:rsidRDefault="008B3D47" w:rsidP="008B3D47">
            <w:pPr>
              <w:spacing w:line="240" w:lineRule="auto"/>
              <w:ind w:firstLine="0"/>
              <w:rPr>
                <w:rFonts w:ascii="Times New Roman" w:eastAsia="Times New Roman" w:hAnsi="Times New Roman" w:cs="Times New Roman"/>
                <w:sz w:val="20"/>
                <w:szCs w:val="20"/>
              </w:rPr>
            </w:pPr>
          </w:p>
        </w:tc>
      </w:tr>
      <w:tr w:rsidR="008B3D47" w:rsidRPr="008B3D47" w14:paraId="1EB99FFD" w14:textId="77777777" w:rsidTr="008B3D47">
        <w:trPr>
          <w:tblCellSpacing w:w="15" w:type="dxa"/>
        </w:trPr>
        <w:tc>
          <w:tcPr>
            <w:tcW w:w="0" w:type="auto"/>
            <w:gridSpan w:val="2"/>
            <w:tcBorders>
              <w:bottom w:val="single" w:sz="6" w:space="0" w:color="000000"/>
            </w:tcBorders>
            <w:vAlign w:val="center"/>
            <w:hideMark/>
          </w:tcPr>
          <w:p w14:paraId="05733740" w14:textId="77777777" w:rsidR="008B3D47" w:rsidRPr="003665B6" w:rsidRDefault="008B3D47" w:rsidP="00541C6A">
            <w:pPr>
              <w:pStyle w:val="Heading2"/>
              <w:ind w:firstLine="0"/>
              <w:jc w:val="center"/>
              <w:rPr>
                <w:rFonts w:eastAsia="Times New Roman"/>
                <w:sz w:val="22"/>
                <w:szCs w:val="22"/>
              </w:rPr>
            </w:pPr>
            <w:bookmarkStart w:id="32" w:name="_Toc197870276"/>
            <w:bookmarkStart w:id="33" w:name="_Toc197886821"/>
            <w:bookmarkStart w:id="34" w:name="_Toc197887528"/>
            <w:bookmarkStart w:id="35" w:name="_Toc197889234"/>
            <w:r w:rsidRPr="003665B6">
              <w:rPr>
                <w:rFonts w:eastAsia="Times New Roman"/>
                <w:sz w:val="22"/>
                <w:szCs w:val="22"/>
              </w:rPr>
              <w:t>Table 4: OLS IPW Difference-in-Differences Model: Impact of OZ Policy in Akron, OH (Summit County)</w:t>
            </w:r>
            <w:bookmarkEnd w:id="32"/>
            <w:bookmarkEnd w:id="33"/>
            <w:bookmarkEnd w:id="34"/>
            <w:bookmarkEnd w:id="35"/>
          </w:p>
          <w:p w14:paraId="301B347E" w14:textId="77777777" w:rsidR="008B3D47" w:rsidRPr="008B3D47" w:rsidRDefault="008B3D47" w:rsidP="008B3D47">
            <w:pPr>
              <w:spacing w:line="240" w:lineRule="auto"/>
              <w:ind w:firstLine="0"/>
              <w:rPr>
                <w:rFonts w:ascii="Times New Roman" w:eastAsia="Times New Roman" w:hAnsi="Times New Roman" w:cs="Times New Roman"/>
                <w:sz w:val="20"/>
                <w:szCs w:val="20"/>
              </w:rPr>
            </w:pPr>
          </w:p>
        </w:tc>
      </w:tr>
      <w:tr w:rsidR="008B3D47" w:rsidRPr="008B3D47" w14:paraId="6F6492AE" w14:textId="77777777" w:rsidTr="008B3D47">
        <w:trPr>
          <w:tblCellSpacing w:w="15" w:type="dxa"/>
        </w:trPr>
        <w:tc>
          <w:tcPr>
            <w:tcW w:w="0" w:type="auto"/>
            <w:vAlign w:val="center"/>
            <w:hideMark/>
          </w:tcPr>
          <w:p w14:paraId="523B7B0F" w14:textId="77777777" w:rsidR="008B3D47" w:rsidRPr="008B3D47" w:rsidRDefault="008B3D47" w:rsidP="008B3D47">
            <w:pPr>
              <w:spacing w:line="240" w:lineRule="auto"/>
              <w:ind w:firstLine="0"/>
              <w:jc w:val="center"/>
              <w:rPr>
                <w:rFonts w:ascii="Times New Roman" w:eastAsia="Times New Roman" w:hAnsi="Times New Roman" w:cs="Times New Roman"/>
                <w:sz w:val="20"/>
                <w:szCs w:val="20"/>
              </w:rPr>
            </w:pPr>
          </w:p>
        </w:tc>
        <w:tc>
          <w:tcPr>
            <w:tcW w:w="0" w:type="auto"/>
            <w:vAlign w:val="center"/>
            <w:hideMark/>
          </w:tcPr>
          <w:p w14:paraId="4EECD999"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r w:rsidRPr="003665B6">
              <w:rPr>
                <w:rFonts w:ascii="Times New Roman" w:eastAsia="Times New Roman" w:hAnsi="Times New Roman" w:cs="Times New Roman"/>
                <w:i/>
                <w:iCs/>
                <w:sz w:val="22"/>
                <w:szCs w:val="22"/>
              </w:rPr>
              <w:t>Dependent variable:</w:t>
            </w:r>
          </w:p>
        </w:tc>
      </w:tr>
      <w:tr w:rsidR="008B3D47" w:rsidRPr="008B3D47" w14:paraId="6D9BEF59" w14:textId="77777777" w:rsidTr="008B3D47">
        <w:trPr>
          <w:tblCellSpacing w:w="15" w:type="dxa"/>
        </w:trPr>
        <w:tc>
          <w:tcPr>
            <w:tcW w:w="0" w:type="auto"/>
            <w:vAlign w:val="center"/>
            <w:hideMark/>
          </w:tcPr>
          <w:p w14:paraId="005BFDB9" w14:textId="77777777" w:rsidR="008B3D47" w:rsidRPr="008B3D47" w:rsidRDefault="008B3D47" w:rsidP="008B3D47">
            <w:pPr>
              <w:spacing w:line="240" w:lineRule="auto"/>
              <w:ind w:firstLine="0"/>
              <w:jc w:val="center"/>
              <w:rPr>
                <w:rFonts w:ascii="Times New Roman" w:eastAsia="Times New Roman" w:hAnsi="Times New Roman" w:cs="Times New Roman"/>
              </w:rPr>
            </w:pPr>
          </w:p>
        </w:tc>
        <w:tc>
          <w:tcPr>
            <w:tcW w:w="0" w:type="auto"/>
            <w:tcBorders>
              <w:bottom w:val="single" w:sz="6" w:space="0" w:color="000000"/>
            </w:tcBorders>
            <w:vAlign w:val="center"/>
            <w:hideMark/>
          </w:tcPr>
          <w:p w14:paraId="642153E2" w14:textId="77777777" w:rsidR="008B3D47" w:rsidRPr="008B3D47" w:rsidRDefault="008B3D47" w:rsidP="008B3D47">
            <w:pPr>
              <w:spacing w:line="240" w:lineRule="auto"/>
              <w:ind w:firstLine="0"/>
              <w:jc w:val="center"/>
              <w:rPr>
                <w:rFonts w:ascii="Times New Roman" w:eastAsia="Times New Roman" w:hAnsi="Times New Roman" w:cs="Times New Roman"/>
                <w:sz w:val="20"/>
                <w:szCs w:val="20"/>
              </w:rPr>
            </w:pPr>
          </w:p>
        </w:tc>
      </w:tr>
      <w:tr w:rsidR="008B3D47" w:rsidRPr="008B3D47" w14:paraId="5422C597" w14:textId="77777777" w:rsidTr="008B3D47">
        <w:trPr>
          <w:tblCellSpacing w:w="15" w:type="dxa"/>
        </w:trPr>
        <w:tc>
          <w:tcPr>
            <w:tcW w:w="0" w:type="auto"/>
            <w:vAlign w:val="center"/>
            <w:hideMark/>
          </w:tcPr>
          <w:p w14:paraId="123A274A" w14:textId="77777777" w:rsidR="008B3D47" w:rsidRPr="008B3D47" w:rsidRDefault="008B3D47" w:rsidP="008B3D47">
            <w:pPr>
              <w:spacing w:line="240" w:lineRule="auto"/>
              <w:ind w:firstLine="0"/>
              <w:jc w:val="center"/>
              <w:rPr>
                <w:rFonts w:ascii="Times New Roman" w:eastAsia="Times New Roman" w:hAnsi="Times New Roman" w:cs="Times New Roman"/>
                <w:sz w:val="20"/>
                <w:szCs w:val="20"/>
              </w:rPr>
            </w:pPr>
          </w:p>
        </w:tc>
        <w:tc>
          <w:tcPr>
            <w:tcW w:w="0" w:type="auto"/>
            <w:vAlign w:val="center"/>
            <w:hideMark/>
          </w:tcPr>
          <w:p w14:paraId="5C020265"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Economic Well-being Index</w:t>
            </w:r>
          </w:p>
        </w:tc>
      </w:tr>
      <w:tr w:rsidR="008B3D47" w:rsidRPr="008B3D47" w14:paraId="729969AD" w14:textId="77777777" w:rsidTr="008B3D47">
        <w:trPr>
          <w:tblCellSpacing w:w="15" w:type="dxa"/>
        </w:trPr>
        <w:tc>
          <w:tcPr>
            <w:tcW w:w="0" w:type="auto"/>
            <w:gridSpan w:val="2"/>
            <w:tcBorders>
              <w:bottom w:val="single" w:sz="6" w:space="0" w:color="000000"/>
            </w:tcBorders>
            <w:vAlign w:val="center"/>
            <w:hideMark/>
          </w:tcPr>
          <w:p w14:paraId="55031715" w14:textId="77777777" w:rsidR="008B3D47" w:rsidRPr="008B3D47" w:rsidRDefault="008B3D47" w:rsidP="008B3D47">
            <w:pPr>
              <w:spacing w:line="240" w:lineRule="auto"/>
              <w:ind w:firstLine="0"/>
              <w:jc w:val="center"/>
              <w:rPr>
                <w:rFonts w:ascii="Times New Roman" w:eastAsia="Times New Roman" w:hAnsi="Times New Roman" w:cs="Times New Roman"/>
              </w:rPr>
            </w:pPr>
          </w:p>
        </w:tc>
      </w:tr>
      <w:tr w:rsidR="008B3D47" w:rsidRPr="003665B6" w14:paraId="304838FB" w14:textId="77777777" w:rsidTr="008B3D47">
        <w:trPr>
          <w:tblCellSpacing w:w="15" w:type="dxa"/>
        </w:trPr>
        <w:tc>
          <w:tcPr>
            <w:tcW w:w="0" w:type="auto"/>
            <w:vAlign w:val="center"/>
            <w:hideMark/>
          </w:tcPr>
          <w:p w14:paraId="02780504" w14:textId="77777777" w:rsidR="008B3D47" w:rsidRPr="003665B6" w:rsidRDefault="008B3D47" w:rsidP="008B3D47">
            <w:pPr>
              <w:spacing w:line="240" w:lineRule="auto"/>
              <w:ind w:firstLine="0"/>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 xml:space="preserve">OZ (OZ= 1, </w:t>
            </w:r>
            <w:proofErr w:type="gramStart"/>
            <w:r w:rsidRPr="003665B6">
              <w:rPr>
                <w:rFonts w:ascii="Times New Roman" w:eastAsia="Times New Roman" w:hAnsi="Times New Roman" w:cs="Times New Roman"/>
                <w:sz w:val="22"/>
                <w:szCs w:val="22"/>
              </w:rPr>
              <w:t>Non-OZ</w:t>
            </w:r>
            <w:proofErr w:type="gramEnd"/>
            <w:r w:rsidRPr="003665B6">
              <w:rPr>
                <w:rFonts w:ascii="Times New Roman" w:eastAsia="Times New Roman" w:hAnsi="Times New Roman" w:cs="Times New Roman"/>
                <w:sz w:val="22"/>
                <w:szCs w:val="22"/>
              </w:rPr>
              <w:t xml:space="preserve"> = 0)</w:t>
            </w:r>
          </w:p>
        </w:tc>
        <w:tc>
          <w:tcPr>
            <w:tcW w:w="0" w:type="auto"/>
            <w:vAlign w:val="center"/>
            <w:hideMark/>
          </w:tcPr>
          <w:p w14:paraId="516524F9"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0.860</w:t>
            </w:r>
          </w:p>
        </w:tc>
      </w:tr>
      <w:tr w:rsidR="008B3D47" w:rsidRPr="003665B6" w14:paraId="752C911E" w14:textId="77777777" w:rsidTr="008B3D47">
        <w:trPr>
          <w:tblCellSpacing w:w="15" w:type="dxa"/>
        </w:trPr>
        <w:tc>
          <w:tcPr>
            <w:tcW w:w="0" w:type="auto"/>
            <w:vAlign w:val="center"/>
            <w:hideMark/>
          </w:tcPr>
          <w:p w14:paraId="5DBEBB77"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p>
        </w:tc>
        <w:tc>
          <w:tcPr>
            <w:tcW w:w="0" w:type="auto"/>
            <w:vAlign w:val="center"/>
            <w:hideMark/>
          </w:tcPr>
          <w:p w14:paraId="792AAC9A"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(0.870)</w:t>
            </w:r>
          </w:p>
        </w:tc>
      </w:tr>
      <w:tr w:rsidR="008B3D47" w:rsidRPr="003665B6" w14:paraId="32DEAEDA" w14:textId="77777777" w:rsidTr="008B3D47">
        <w:trPr>
          <w:tblCellSpacing w:w="15" w:type="dxa"/>
        </w:trPr>
        <w:tc>
          <w:tcPr>
            <w:tcW w:w="0" w:type="auto"/>
            <w:vAlign w:val="center"/>
            <w:hideMark/>
          </w:tcPr>
          <w:p w14:paraId="49C831CC" w14:textId="77777777" w:rsidR="008B3D47" w:rsidRPr="003665B6" w:rsidRDefault="008B3D47" w:rsidP="008B3D47">
            <w:pPr>
              <w:spacing w:line="240" w:lineRule="auto"/>
              <w:ind w:firstLine="0"/>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Post (2019-2023 = 1, 2014-2018 = 0)</w:t>
            </w:r>
          </w:p>
        </w:tc>
        <w:tc>
          <w:tcPr>
            <w:tcW w:w="0" w:type="auto"/>
            <w:vAlign w:val="center"/>
            <w:hideMark/>
          </w:tcPr>
          <w:p w14:paraId="202B295E"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-0.195</w:t>
            </w:r>
          </w:p>
        </w:tc>
      </w:tr>
      <w:tr w:rsidR="008B3D47" w:rsidRPr="003665B6" w14:paraId="44B89555" w14:textId="77777777" w:rsidTr="008B3D47">
        <w:trPr>
          <w:tblCellSpacing w:w="15" w:type="dxa"/>
        </w:trPr>
        <w:tc>
          <w:tcPr>
            <w:tcW w:w="0" w:type="auto"/>
            <w:vAlign w:val="center"/>
            <w:hideMark/>
          </w:tcPr>
          <w:p w14:paraId="23E6A169"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p>
        </w:tc>
        <w:tc>
          <w:tcPr>
            <w:tcW w:w="0" w:type="auto"/>
            <w:vAlign w:val="center"/>
            <w:hideMark/>
          </w:tcPr>
          <w:p w14:paraId="61CB062B"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(0.408)</w:t>
            </w:r>
          </w:p>
        </w:tc>
      </w:tr>
      <w:tr w:rsidR="008B3D47" w:rsidRPr="003665B6" w14:paraId="3BD25669" w14:textId="77777777" w:rsidTr="008B3D47">
        <w:trPr>
          <w:tblCellSpacing w:w="15" w:type="dxa"/>
        </w:trPr>
        <w:tc>
          <w:tcPr>
            <w:tcW w:w="0" w:type="auto"/>
            <w:vAlign w:val="center"/>
            <w:hideMark/>
          </w:tcPr>
          <w:p w14:paraId="7845C56D" w14:textId="77777777" w:rsidR="008B3D47" w:rsidRPr="003665B6" w:rsidRDefault="008B3D47" w:rsidP="008B3D47">
            <w:pPr>
              <w:spacing w:line="240" w:lineRule="auto"/>
              <w:ind w:firstLine="0"/>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White Population</w:t>
            </w:r>
          </w:p>
        </w:tc>
        <w:tc>
          <w:tcPr>
            <w:tcW w:w="0" w:type="auto"/>
            <w:vAlign w:val="center"/>
            <w:hideMark/>
          </w:tcPr>
          <w:p w14:paraId="27B3E7DA"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3.155</w:t>
            </w:r>
          </w:p>
        </w:tc>
      </w:tr>
      <w:tr w:rsidR="008B3D47" w:rsidRPr="003665B6" w14:paraId="44484E6E" w14:textId="77777777" w:rsidTr="008B3D47">
        <w:trPr>
          <w:tblCellSpacing w:w="15" w:type="dxa"/>
        </w:trPr>
        <w:tc>
          <w:tcPr>
            <w:tcW w:w="0" w:type="auto"/>
            <w:vAlign w:val="center"/>
            <w:hideMark/>
          </w:tcPr>
          <w:p w14:paraId="0F49C72D"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p>
        </w:tc>
        <w:tc>
          <w:tcPr>
            <w:tcW w:w="0" w:type="auto"/>
            <w:vAlign w:val="center"/>
            <w:hideMark/>
          </w:tcPr>
          <w:p w14:paraId="1C6AB256"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(5.506)</w:t>
            </w:r>
          </w:p>
        </w:tc>
      </w:tr>
      <w:tr w:rsidR="008B3D47" w:rsidRPr="003665B6" w14:paraId="715B944C" w14:textId="77777777" w:rsidTr="008B3D47">
        <w:trPr>
          <w:tblCellSpacing w:w="15" w:type="dxa"/>
        </w:trPr>
        <w:tc>
          <w:tcPr>
            <w:tcW w:w="0" w:type="auto"/>
            <w:vAlign w:val="center"/>
            <w:hideMark/>
          </w:tcPr>
          <w:p w14:paraId="24F5ACDA" w14:textId="77777777" w:rsidR="008B3D47" w:rsidRPr="003665B6" w:rsidRDefault="008B3D47" w:rsidP="008B3D47">
            <w:pPr>
              <w:spacing w:line="240" w:lineRule="auto"/>
              <w:ind w:firstLine="0"/>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Black Population</w:t>
            </w:r>
          </w:p>
        </w:tc>
        <w:tc>
          <w:tcPr>
            <w:tcW w:w="0" w:type="auto"/>
            <w:vAlign w:val="center"/>
            <w:hideMark/>
          </w:tcPr>
          <w:p w14:paraId="7FF4E755"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0.412</w:t>
            </w:r>
          </w:p>
        </w:tc>
      </w:tr>
      <w:tr w:rsidR="008B3D47" w:rsidRPr="003665B6" w14:paraId="352D803E" w14:textId="77777777" w:rsidTr="008B3D47">
        <w:trPr>
          <w:tblCellSpacing w:w="15" w:type="dxa"/>
        </w:trPr>
        <w:tc>
          <w:tcPr>
            <w:tcW w:w="0" w:type="auto"/>
            <w:vAlign w:val="center"/>
            <w:hideMark/>
          </w:tcPr>
          <w:p w14:paraId="61552184"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p>
        </w:tc>
        <w:tc>
          <w:tcPr>
            <w:tcW w:w="0" w:type="auto"/>
            <w:vAlign w:val="center"/>
            <w:hideMark/>
          </w:tcPr>
          <w:p w14:paraId="19F3B32D"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(5.541)</w:t>
            </w:r>
          </w:p>
        </w:tc>
      </w:tr>
      <w:tr w:rsidR="008B3D47" w:rsidRPr="003665B6" w14:paraId="26E173CC" w14:textId="77777777" w:rsidTr="008B3D47">
        <w:trPr>
          <w:tblCellSpacing w:w="15" w:type="dxa"/>
        </w:trPr>
        <w:tc>
          <w:tcPr>
            <w:tcW w:w="0" w:type="auto"/>
            <w:vAlign w:val="center"/>
            <w:hideMark/>
          </w:tcPr>
          <w:p w14:paraId="2D9D9B86" w14:textId="77777777" w:rsidR="008B3D47" w:rsidRPr="003665B6" w:rsidRDefault="008B3D47" w:rsidP="008B3D47">
            <w:pPr>
              <w:spacing w:line="240" w:lineRule="auto"/>
              <w:ind w:firstLine="0"/>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Asian Population</w:t>
            </w:r>
          </w:p>
        </w:tc>
        <w:tc>
          <w:tcPr>
            <w:tcW w:w="0" w:type="auto"/>
            <w:vAlign w:val="center"/>
            <w:hideMark/>
          </w:tcPr>
          <w:p w14:paraId="126424B8"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14.616</w:t>
            </w:r>
            <w:r w:rsidRPr="003665B6">
              <w:rPr>
                <w:rFonts w:ascii="Times New Roman" w:eastAsia="Times New Roman" w:hAnsi="Times New Roman" w:cs="Times New Roman"/>
                <w:sz w:val="22"/>
                <w:szCs w:val="22"/>
                <w:vertAlign w:val="superscript"/>
              </w:rPr>
              <w:t>**</w:t>
            </w:r>
          </w:p>
        </w:tc>
      </w:tr>
      <w:tr w:rsidR="008B3D47" w:rsidRPr="003665B6" w14:paraId="52149424" w14:textId="77777777" w:rsidTr="008B3D47">
        <w:trPr>
          <w:tblCellSpacing w:w="15" w:type="dxa"/>
        </w:trPr>
        <w:tc>
          <w:tcPr>
            <w:tcW w:w="0" w:type="auto"/>
            <w:vAlign w:val="center"/>
            <w:hideMark/>
          </w:tcPr>
          <w:p w14:paraId="3224217E"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p>
        </w:tc>
        <w:tc>
          <w:tcPr>
            <w:tcW w:w="0" w:type="auto"/>
            <w:vAlign w:val="center"/>
            <w:hideMark/>
          </w:tcPr>
          <w:p w14:paraId="2F25A415"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(6.569)</w:t>
            </w:r>
          </w:p>
        </w:tc>
      </w:tr>
      <w:tr w:rsidR="008B3D47" w:rsidRPr="003665B6" w14:paraId="4D60AEEB" w14:textId="77777777" w:rsidTr="008B3D47">
        <w:trPr>
          <w:tblCellSpacing w:w="15" w:type="dxa"/>
        </w:trPr>
        <w:tc>
          <w:tcPr>
            <w:tcW w:w="0" w:type="auto"/>
            <w:vAlign w:val="center"/>
            <w:hideMark/>
          </w:tcPr>
          <w:p w14:paraId="7A841319" w14:textId="77777777" w:rsidR="008B3D47" w:rsidRPr="003665B6" w:rsidRDefault="008B3D47" w:rsidP="008B3D47">
            <w:pPr>
              <w:spacing w:line="240" w:lineRule="auto"/>
              <w:ind w:firstLine="0"/>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Hispanic Population</w:t>
            </w:r>
          </w:p>
        </w:tc>
        <w:tc>
          <w:tcPr>
            <w:tcW w:w="0" w:type="auto"/>
            <w:vAlign w:val="center"/>
            <w:hideMark/>
          </w:tcPr>
          <w:p w14:paraId="37DDA71C"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-7.519</w:t>
            </w:r>
          </w:p>
        </w:tc>
      </w:tr>
      <w:tr w:rsidR="008B3D47" w:rsidRPr="003665B6" w14:paraId="7F5250C2" w14:textId="77777777" w:rsidTr="008B3D47">
        <w:trPr>
          <w:tblCellSpacing w:w="15" w:type="dxa"/>
        </w:trPr>
        <w:tc>
          <w:tcPr>
            <w:tcW w:w="0" w:type="auto"/>
            <w:vAlign w:val="center"/>
            <w:hideMark/>
          </w:tcPr>
          <w:p w14:paraId="11234DBB"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p>
        </w:tc>
        <w:tc>
          <w:tcPr>
            <w:tcW w:w="0" w:type="auto"/>
            <w:vAlign w:val="center"/>
            <w:hideMark/>
          </w:tcPr>
          <w:p w14:paraId="1269C90A"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(9.876)</w:t>
            </w:r>
          </w:p>
        </w:tc>
      </w:tr>
      <w:tr w:rsidR="008B3D47" w:rsidRPr="003665B6" w14:paraId="5AC826BA" w14:textId="77777777" w:rsidTr="008B3D47">
        <w:trPr>
          <w:tblCellSpacing w:w="15" w:type="dxa"/>
        </w:trPr>
        <w:tc>
          <w:tcPr>
            <w:tcW w:w="0" w:type="auto"/>
            <w:vAlign w:val="center"/>
            <w:hideMark/>
          </w:tcPr>
          <w:p w14:paraId="13F1114C" w14:textId="77777777" w:rsidR="008B3D47" w:rsidRPr="003665B6" w:rsidRDefault="008B3D47" w:rsidP="008B3D47">
            <w:pPr>
              <w:spacing w:line="240" w:lineRule="auto"/>
              <w:ind w:firstLine="0"/>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High School Graduate</w:t>
            </w:r>
          </w:p>
        </w:tc>
        <w:tc>
          <w:tcPr>
            <w:tcW w:w="0" w:type="auto"/>
            <w:vAlign w:val="center"/>
            <w:hideMark/>
          </w:tcPr>
          <w:p w14:paraId="22315CF7"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-2.217</w:t>
            </w:r>
          </w:p>
        </w:tc>
      </w:tr>
      <w:tr w:rsidR="008B3D47" w:rsidRPr="003665B6" w14:paraId="13490D2B" w14:textId="77777777" w:rsidTr="008B3D47">
        <w:trPr>
          <w:tblCellSpacing w:w="15" w:type="dxa"/>
        </w:trPr>
        <w:tc>
          <w:tcPr>
            <w:tcW w:w="0" w:type="auto"/>
            <w:vAlign w:val="center"/>
            <w:hideMark/>
          </w:tcPr>
          <w:p w14:paraId="4B8293D9"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p>
        </w:tc>
        <w:tc>
          <w:tcPr>
            <w:tcW w:w="0" w:type="auto"/>
            <w:vAlign w:val="center"/>
            <w:hideMark/>
          </w:tcPr>
          <w:p w14:paraId="6B6EC359"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(4.255)</w:t>
            </w:r>
          </w:p>
        </w:tc>
      </w:tr>
      <w:tr w:rsidR="008B3D47" w:rsidRPr="003665B6" w14:paraId="339839B9" w14:textId="77777777" w:rsidTr="008B3D47">
        <w:trPr>
          <w:tblCellSpacing w:w="15" w:type="dxa"/>
        </w:trPr>
        <w:tc>
          <w:tcPr>
            <w:tcW w:w="0" w:type="auto"/>
            <w:vAlign w:val="center"/>
            <w:hideMark/>
          </w:tcPr>
          <w:p w14:paraId="748AEA62" w14:textId="77777777" w:rsidR="008B3D47" w:rsidRPr="003665B6" w:rsidRDefault="008B3D47" w:rsidP="008B3D47">
            <w:pPr>
              <w:spacing w:line="240" w:lineRule="auto"/>
              <w:ind w:firstLine="0"/>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Bachelor's Degree</w:t>
            </w:r>
          </w:p>
        </w:tc>
        <w:tc>
          <w:tcPr>
            <w:tcW w:w="0" w:type="auto"/>
            <w:vAlign w:val="center"/>
            <w:hideMark/>
          </w:tcPr>
          <w:p w14:paraId="104EA18C"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12.852</w:t>
            </w:r>
            <w:r w:rsidRPr="003665B6">
              <w:rPr>
                <w:rFonts w:ascii="Times New Roman" w:eastAsia="Times New Roman" w:hAnsi="Times New Roman" w:cs="Times New Roman"/>
                <w:sz w:val="22"/>
                <w:szCs w:val="22"/>
                <w:vertAlign w:val="superscript"/>
              </w:rPr>
              <w:t>***</w:t>
            </w:r>
          </w:p>
        </w:tc>
      </w:tr>
      <w:tr w:rsidR="008B3D47" w:rsidRPr="003665B6" w14:paraId="731F6B48" w14:textId="77777777" w:rsidTr="008B3D47">
        <w:trPr>
          <w:tblCellSpacing w:w="15" w:type="dxa"/>
        </w:trPr>
        <w:tc>
          <w:tcPr>
            <w:tcW w:w="0" w:type="auto"/>
            <w:vAlign w:val="center"/>
            <w:hideMark/>
          </w:tcPr>
          <w:p w14:paraId="71EB3B15"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p>
        </w:tc>
        <w:tc>
          <w:tcPr>
            <w:tcW w:w="0" w:type="auto"/>
            <w:vAlign w:val="center"/>
            <w:hideMark/>
          </w:tcPr>
          <w:p w14:paraId="68467C67"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(4.694)</w:t>
            </w:r>
          </w:p>
        </w:tc>
      </w:tr>
      <w:tr w:rsidR="008B3D47" w:rsidRPr="003665B6" w14:paraId="376F9181" w14:textId="77777777" w:rsidTr="008B3D47">
        <w:trPr>
          <w:tblCellSpacing w:w="15" w:type="dxa"/>
        </w:trPr>
        <w:tc>
          <w:tcPr>
            <w:tcW w:w="0" w:type="auto"/>
            <w:vAlign w:val="center"/>
            <w:hideMark/>
          </w:tcPr>
          <w:p w14:paraId="1763B0A1" w14:textId="77777777" w:rsidR="008B3D47" w:rsidRPr="003665B6" w:rsidRDefault="008B3D47" w:rsidP="008B3D47">
            <w:pPr>
              <w:spacing w:line="240" w:lineRule="auto"/>
              <w:ind w:firstLine="0"/>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Master's Degree</w:t>
            </w:r>
          </w:p>
        </w:tc>
        <w:tc>
          <w:tcPr>
            <w:tcW w:w="0" w:type="auto"/>
            <w:vAlign w:val="center"/>
            <w:hideMark/>
          </w:tcPr>
          <w:p w14:paraId="667BD38C"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32.545</w:t>
            </w:r>
            <w:r w:rsidRPr="003665B6">
              <w:rPr>
                <w:rFonts w:ascii="Times New Roman" w:eastAsia="Times New Roman" w:hAnsi="Times New Roman" w:cs="Times New Roman"/>
                <w:sz w:val="22"/>
                <w:szCs w:val="22"/>
                <w:vertAlign w:val="superscript"/>
              </w:rPr>
              <w:t>***</w:t>
            </w:r>
          </w:p>
        </w:tc>
      </w:tr>
      <w:tr w:rsidR="008B3D47" w:rsidRPr="003665B6" w14:paraId="1C46A91B" w14:textId="77777777" w:rsidTr="008B3D47">
        <w:trPr>
          <w:tblCellSpacing w:w="15" w:type="dxa"/>
        </w:trPr>
        <w:tc>
          <w:tcPr>
            <w:tcW w:w="0" w:type="auto"/>
            <w:vAlign w:val="center"/>
            <w:hideMark/>
          </w:tcPr>
          <w:p w14:paraId="4E2DCE11"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p>
        </w:tc>
        <w:tc>
          <w:tcPr>
            <w:tcW w:w="0" w:type="auto"/>
            <w:vAlign w:val="center"/>
            <w:hideMark/>
          </w:tcPr>
          <w:p w14:paraId="4E473199"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(8.692)</w:t>
            </w:r>
          </w:p>
        </w:tc>
      </w:tr>
      <w:tr w:rsidR="008B3D47" w:rsidRPr="003665B6" w14:paraId="7ACCF9AB" w14:textId="77777777" w:rsidTr="008B3D47">
        <w:trPr>
          <w:tblCellSpacing w:w="15" w:type="dxa"/>
        </w:trPr>
        <w:tc>
          <w:tcPr>
            <w:tcW w:w="0" w:type="auto"/>
            <w:vAlign w:val="center"/>
            <w:hideMark/>
          </w:tcPr>
          <w:p w14:paraId="5DD22136" w14:textId="77777777" w:rsidR="008B3D47" w:rsidRPr="003665B6" w:rsidRDefault="008B3D47" w:rsidP="008B3D47">
            <w:pPr>
              <w:spacing w:line="240" w:lineRule="auto"/>
              <w:ind w:firstLine="0"/>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Owner-Occupied Housing</w:t>
            </w:r>
          </w:p>
        </w:tc>
        <w:tc>
          <w:tcPr>
            <w:tcW w:w="0" w:type="auto"/>
            <w:vAlign w:val="center"/>
            <w:hideMark/>
          </w:tcPr>
          <w:p w14:paraId="6150FB7E"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8.960</w:t>
            </w:r>
            <w:r w:rsidRPr="003665B6">
              <w:rPr>
                <w:rFonts w:ascii="Times New Roman" w:eastAsia="Times New Roman" w:hAnsi="Times New Roman" w:cs="Times New Roman"/>
                <w:sz w:val="22"/>
                <w:szCs w:val="22"/>
                <w:vertAlign w:val="superscript"/>
              </w:rPr>
              <w:t>***</w:t>
            </w:r>
          </w:p>
        </w:tc>
      </w:tr>
      <w:tr w:rsidR="008B3D47" w:rsidRPr="003665B6" w14:paraId="25CD514C" w14:textId="77777777" w:rsidTr="008B3D47">
        <w:trPr>
          <w:tblCellSpacing w:w="15" w:type="dxa"/>
        </w:trPr>
        <w:tc>
          <w:tcPr>
            <w:tcW w:w="0" w:type="auto"/>
            <w:vAlign w:val="center"/>
            <w:hideMark/>
          </w:tcPr>
          <w:p w14:paraId="249320B7"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p>
        </w:tc>
        <w:tc>
          <w:tcPr>
            <w:tcW w:w="0" w:type="auto"/>
            <w:vAlign w:val="center"/>
            <w:hideMark/>
          </w:tcPr>
          <w:p w14:paraId="3B5ACF3E"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(1.355)</w:t>
            </w:r>
          </w:p>
        </w:tc>
      </w:tr>
      <w:tr w:rsidR="008B3D47" w:rsidRPr="003665B6" w14:paraId="51F237FE" w14:textId="77777777" w:rsidTr="008B3D47">
        <w:trPr>
          <w:tblCellSpacing w:w="15" w:type="dxa"/>
        </w:trPr>
        <w:tc>
          <w:tcPr>
            <w:tcW w:w="0" w:type="auto"/>
            <w:vAlign w:val="center"/>
            <w:hideMark/>
          </w:tcPr>
          <w:p w14:paraId="50B486EF" w14:textId="77777777" w:rsidR="008B3D47" w:rsidRPr="003665B6" w:rsidRDefault="008B3D47" w:rsidP="008B3D47">
            <w:pPr>
              <w:spacing w:line="240" w:lineRule="auto"/>
              <w:ind w:firstLine="0"/>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Disabled Population</w:t>
            </w:r>
          </w:p>
        </w:tc>
        <w:tc>
          <w:tcPr>
            <w:tcW w:w="0" w:type="auto"/>
            <w:vAlign w:val="center"/>
            <w:hideMark/>
          </w:tcPr>
          <w:p w14:paraId="38A94CC0"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-18.154</w:t>
            </w:r>
            <w:r w:rsidRPr="003665B6">
              <w:rPr>
                <w:rFonts w:ascii="Times New Roman" w:eastAsia="Times New Roman" w:hAnsi="Times New Roman" w:cs="Times New Roman"/>
                <w:sz w:val="22"/>
                <w:szCs w:val="22"/>
                <w:vertAlign w:val="superscript"/>
              </w:rPr>
              <w:t>***</w:t>
            </w:r>
          </w:p>
        </w:tc>
      </w:tr>
      <w:tr w:rsidR="008B3D47" w:rsidRPr="003665B6" w14:paraId="419C53D1" w14:textId="77777777" w:rsidTr="008B3D47">
        <w:trPr>
          <w:tblCellSpacing w:w="15" w:type="dxa"/>
        </w:trPr>
        <w:tc>
          <w:tcPr>
            <w:tcW w:w="0" w:type="auto"/>
            <w:vAlign w:val="center"/>
            <w:hideMark/>
          </w:tcPr>
          <w:p w14:paraId="545AE7BC"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p>
        </w:tc>
        <w:tc>
          <w:tcPr>
            <w:tcW w:w="0" w:type="auto"/>
            <w:vAlign w:val="center"/>
            <w:hideMark/>
          </w:tcPr>
          <w:p w14:paraId="3E78F6AE"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(5.323)</w:t>
            </w:r>
          </w:p>
        </w:tc>
      </w:tr>
      <w:tr w:rsidR="008B3D47" w:rsidRPr="003665B6" w14:paraId="32748294" w14:textId="77777777" w:rsidTr="008B3D47">
        <w:trPr>
          <w:tblCellSpacing w:w="15" w:type="dxa"/>
        </w:trPr>
        <w:tc>
          <w:tcPr>
            <w:tcW w:w="0" w:type="auto"/>
            <w:vAlign w:val="center"/>
            <w:hideMark/>
          </w:tcPr>
          <w:p w14:paraId="25485444" w14:textId="77777777" w:rsidR="008B3D47" w:rsidRPr="003665B6" w:rsidRDefault="008B3D47" w:rsidP="008B3D47">
            <w:pPr>
              <w:spacing w:line="240" w:lineRule="auto"/>
              <w:ind w:firstLine="0"/>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OZ * Post (</w:t>
            </w:r>
            <w:proofErr w:type="spellStart"/>
            <w:r w:rsidRPr="003665B6">
              <w:rPr>
                <w:rFonts w:ascii="Times New Roman" w:eastAsia="Times New Roman" w:hAnsi="Times New Roman" w:cs="Times New Roman"/>
                <w:sz w:val="22"/>
                <w:szCs w:val="22"/>
              </w:rPr>
              <w:t>DiD</w:t>
            </w:r>
            <w:proofErr w:type="spellEnd"/>
            <w:r w:rsidRPr="003665B6">
              <w:rPr>
                <w:rFonts w:ascii="Times New Roman" w:eastAsia="Times New Roman" w:hAnsi="Times New Roman" w:cs="Times New Roman"/>
                <w:sz w:val="22"/>
                <w:szCs w:val="22"/>
              </w:rPr>
              <w:t xml:space="preserve"> Effect)</w:t>
            </w:r>
          </w:p>
        </w:tc>
        <w:tc>
          <w:tcPr>
            <w:tcW w:w="0" w:type="auto"/>
            <w:vAlign w:val="center"/>
            <w:hideMark/>
          </w:tcPr>
          <w:p w14:paraId="62D57849"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0.293</w:t>
            </w:r>
          </w:p>
        </w:tc>
      </w:tr>
      <w:tr w:rsidR="008B3D47" w:rsidRPr="003665B6" w14:paraId="2B4DBE97" w14:textId="77777777" w:rsidTr="008B3D47">
        <w:trPr>
          <w:tblCellSpacing w:w="15" w:type="dxa"/>
        </w:trPr>
        <w:tc>
          <w:tcPr>
            <w:tcW w:w="0" w:type="auto"/>
            <w:vAlign w:val="center"/>
            <w:hideMark/>
          </w:tcPr>
          <w:p w14:paraId="3AC23D7C"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p>
        </w:tc>
        <w:tc>
          <w:tcPr>
            <w:tcW w:w="0" w:type="auto"/>
            <w:vAlign w:val="center"/>
            <w:hideMark/>
          </w:tcPr>
          <w:p w14:paraId="48BD9018"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(1.164)</w:t>
            </w:r>
          </w:p>
        </w:tc>
      </w:tr>
      <w:tr w:rsidR="008B3D47" w:rsidRPr="003665B6" w14:paraId="4FC225A5" w14:textId="77777777" w:rsidTr="008B3D47">
        <w:trPr>
          <w:tblCellSpacing w:w="15" w:type="dxa"/>
        </w:trPr>
        <w:tc>
          <w:tcPr>
            <w:tcW w:w="0" w:type="auto"/>
            <w:vAlign w:val="center"/>
            <w:hideMark/>
          </w:tcPr>
          <w:p w14:paraId="60956079" w14:textId="77777777" w:rsidR="008B3D47" w:rsidRPr="003665B6" w:rsidRDefault="008B3D47" w:rsidP="008B3D47">
            <w:pPr>
              <w:spacing w:line="240" w:lineRule="auto"/>
              <w:ind w:firstLine="0"/>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Constant</w:t>
            </w:r>
          </w:p>
        </w:tc>
        <w:tc>
          <w:tcPr>
            <w:tcW w:w="0" w:type="auto"/>
            <w:vAlign w:val="center"/>
            <w:hideMark/>
          </w:tcPr>
          <w:p w14:paraId="5DA2F5F2"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3.031</w:t>
            </w:r>
          </w:p>
        </w:tc>
      </w:tr>
      <w:tr w:rsidR="008B3D47" w:rsidRPr="003665B6" w14:paraId="217E7007" w14:textId="77777777" w:rsidTr="008B3D47">
        <w:trPr>
          <w:tblCellSpacing w:w="15" w:type="dxa"/>
        </w:trPr>
        <w:tc>
          <w:tcPr>
            <w:tcW w:w="0" w:type="auto"/>
            <w:vAlign w:val="center"/>
            <w:hideMark/>
          </w:tcPr>
          <w:p w14:paraId="662B17E3"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p>
        </w:tc>
        <w:tc>
          <w:tcPr>
            <w:tcW w:w="0" w:type="auto"/>
            <w:vAlign w:val="center"/>
            <w:hideMark/>
          </w:tcPr>
          <w:p w14:paraId="1E403D5A"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(5.221)</w:t>
            </w:r>
          </w:p>
        </w:tc>
      </w:tr>
      <w:tr w:rsidR="008B3D47" w:rsidRPr="003665B6" w14:paraId="2F963513" w14:textId="77777777" w:rsidTr="008B3D47">
        <w:trPr>
          <w:tblCellSpacing w:w="15" w:type="dxa"/>
        </w:trPr>
        <w:tc>
          <w:tcPr>
            <w:tcW w:w="0" w:type="auto"/>
            <w:gridSpan w:val="2"/>
            <w:tcBorders>
              <w:bottom w:val="single" w:sz="6" w:space="0" w:color="000000"/>
            </w:tcBorders>
            <w:vAlign w:val="center"/>
            <w:hideMark/>
          </w:tcPr>
          <w:p w14:paraId="0A9C7737"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p>
        </w:tc>
      </w:tr>
      <w:tr w:rsidR="008B3D47" w:rsidRPr="003665B6" w14:paraId="328E8934" w14:textId="77777777" w:rsidTr="008B3D47">
        <w:trPr>
          <w:tblCellSpacing w:w="15" w:type="dxa"/>
        </w:trPr>
        <w:tc>
          <w:tcPr>
            <w:tcW w:w="0" w:type="auto"/>
            <w:vAlign w:val="center"/>
            <w:hideMark/>
          </w:tcPr>
          <w:p w14:paraId="307EE74E" w14:textId="77777777" w:rsidR="008B3D47" w:rsidRPr="003665B6" w:rsidRDefault="008B3D47" w:rsidP="008B3D47">
            <w:pPr>
              <w:spacing w:line="240" w:lineRule="auto"/>
              <w:ind w:firstLine="0"/>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Observations</w:t>
            </w:r>
          </w:p>
        </w:tc>
        <w:tc>
          <w:tcPr>
            <w:tcW w:w="0" w:type="auto"/>
            <w:vAlign w:val="center"/>
            <w:hideMark/>
          </w:tcPr>
          <w:p w14:paraId="0F7C672B"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262</w:t>
            </w:r>
          </w:p>
        </w:tc>
      </w:tr>
      <w:tr w:rsidR="008B3D47" w:rsidRPr="003665B6" w14:paraId="74B7C16E" w14:textId="77777777" w:rsidTr="008B3D47">
        <w:trPr>
          <w:tblCellSpacing w:w="15" w:type="dxa"/>
        </w:trPr>
        <w:tc>
          <w:tcPr>
            <w:tcW w:w="0" w:type="auto"/>
            <w:vAlign w:val="center"/>
            <w:hideMark/>
          </w:tcPr>
          <w:p w14:paraId="21326CA7" w14:textId="77777777" w:rsidR="008B3D47" w:rsidRPr="003665B6" w:rsidRDefault="008B3D47" w:rsidP="008B3D47">
            <w:pPr>
              <w:spacing w:line="240" w:lineRule="auto"/>
              <w:ind w:firstLine="0"/>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R</w:t>
            </w:r>
            <w:r w:rsidRPr="003665B6">
              <w:rPr>
                <w:rFonts w:ascii="Times New Roman" w:eastAsia="Times New Roman" w:hAnsi="Times New Roman" w:cs="Times New Roman"/>
                <w:sz w:val="22"/>
                <w:szCs w:val="22"/>
                <w:vertAlign w:val="superscript"/>
              </w:rPr>
              <w:t>2</w:t>
            </w:r>
          </w:p>
        </w:tc>
        <w:tc>
          <w:tcPr>
            <w:tcW w:w="0" w:type="auto"/>
            <w:vAlign w:val="center"/>
            <w:hideMark/>
          </w:tcPr>
          <w:p w14:paraId="267F1790"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0.753</w:t>
            </w:r>
          </w:p>
        </w:tc>
      </w:tr>
      <w:tr w:rsidR="008B3D47" w:rsidRPr="003665B6" w14:paraId="7E5E3C58" w14:textId="77777777" w:rsidTr="008B3D47">
        <w:trPr>
          <w:tblCellSpacing w:w="15" w:type="dxa"/>
        </w:trPr>
        <w:tc>
          <w:tcPr>
            <w:tcW w:w="0" w:type="auto"/>
            <w:vAlign w:val="center"/>
            <w:hideMark/>
          </w:tcPr>
          <w:p w14:paraId="48849C29" w14:textId="77777777" w:rsidR="008B3D47" w:rsidRPr="003665B6" w:rsidRDefault="008B3D47" w:rsidP="008B3D47">
            <w:pPr>
              <w:spacing w:line="240" w:lineRule="auto"/>
              <w:ind w:firstLine="0"/>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Adjusted R</w:t>
            </w:r>
            <w:r w:rsidRPr="003665B6">
              <w:rPr>
                <w:rFonts w:ascii="Times New Roman" w:eastAsia="Times New Roman" w:hAnsi="Times New Roman" w:cs="Times New Roman"/>
                <w:sz w:val="22"/>
                <w:szCs w:val="22"/>
                <w:vertAlign w:val="superscript"/>
              </w:rPr>
              <w:t>2</w:t>
            </w:r>
          </w:p>
        </w:tc>
        <w:tc>
          <w:tcPr>
            <w:tcW w:w="0" w:type="auto"/>
            <w:vAlign w:val="center"/>
            <w:hideMark/>
          </w:tcPr>
          <w:p w14:paraId="2267ACD5"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0.741</w:t>
            </w:r>
          </w:p>
        </w:tc>
      </w:tr>
      <w:tr w:rsidR="008B3D47" w:rsidRPr="003665B6" w14:paraId="7BC2C462" w14:textId="77777777" w:rsidTr="008B3D47">
        <w:trPr>
          <w:tblCellSpacing w:w="15" w:type="dxa"/>
        </w:trPr>
        <w:tc>
          <w:tcPr>
            <w:tcW w:w="0" w:type="auto"/>
            <w:vAlign w:val="center"/>
            <w:hideMark/>
          </w:tcPr>
          <w:p w14:paraId="003DFB6D" w14:textId="77777777" w:rsidR="008B3D47" w:rsidRPr="003665B6" w:rsidRDefault="008B3D47" w:rsidP="008B3D47">
            <w:pPr>
              <w:spacing w:line="240" w:lineRule="auto"/>
              <w:ind w:firstLine="0"/>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Residual Std. Error</w:t>
            </w:r>
          </w:p>
        </w:tc>
        <w:tc>
          <w:tcPr>
            <w:tcW w:w="0" w:type="auto"/>
            <w:vAlign w:val="center"/>
            <w:hideMark/>
          </w:tcPr>
          <w:p w14:paraId="64E33706"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2.884 (</w:t>
            </w:r>
            <w:proofErr w:type="spellStart"/>
            <w:r w:rsidRPr="003665B6">
              <w:rPr>
                <w:rFonts w:ascii="Times New Roman" w:eastAsia="Times New Roman" w:hAnsi="Times New Roman" w:cs="Times New Roman"/>
                <w:sz w:val="22"/>
                <w:szCs w:val="22"/>
              </w:rPr>
              <w:t>df</w:t>
            </w:r>
            <w:proofErr w:type="spellEnd"/>
            <w:r w:rsidRPr="003665B6">
              <w:rPr>
                <w:rFonts w:ascii="Times New Roman" w:eastAsia="Times New Roman" w:hAnsi="Times New Roman" w:cs="Times New Roman"/>
                <w:sz w:val="22"/>
                <w:szCs w:val="22"/>
              </w:rPr>
              <w:t xml:space="preserve"> = 249)</w:t>
            </w:r>
          </w:p>
        </w:tc>
      </w:tr>
      <w:tr w:rsidR="008B3D47" w:rsidRPr="003665B6" w14:paraId="154B3F00" w14:textId="77777777" w:rsidTr="008B3D47">
        <w:trPr>
          <w:tblCellSpacing w:w="15" w:type="dxa"/>
        </w:trPr>
        <w:tc>
          <w:tcPr>
            <w:tcW w:w="0" w:type="auto"/>
            <w:vAlign w:val="center"/>
            <w:hideMark/>
          </w:tcPr>
          <w:p w14:paraId="79F4DEB5" w14:textId="77777777" w:rsidR="008B3D47" w:rsidRPr="003665B6" w:rsidRDefault="008B3D47" w:rsidP="008B3D47">
            <w:pPr>
              <w:spacing w:line="240" w:lineRule="auto"/>
              <w:ind w:firstLine="0"/>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F Statistic</w:t>
            </w:r>
          </w:p>
        </w:tc>
        <w:tc>
          <w:tcPr>
            <w:tcW w:w="0" w:type="auto"/>
            <w:vAlign w:val="center"/>
            <w:hideMark/>
          </w:tcPr>
          <w:p w14:paraId="4210B061"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rPr>
              <w:t>63.389</w:t>
            </w:r>
            <w:r w:rsidRPr="003665B6">
              <w:rPr>
                <w:rFonts w:ascii="Times New Roman" w:eastAsia="Times New Roman" w:hAnsi="Times New Roman" w:cs="Times New Roman"/>
                <w:sz w:val="22"/>
                <w:szCs w:val="22"/>
                <w:vertAlign w:val="superscript"/>
              </w:rPr>
              <w:t>***</w:t>
            </w:r>
            <w:r w:rsidRPr="003665B6">
              <w:rPr>
                <w:rFonts w:ascii="Times New Roman" w:eastAsia="Times New Roman" w:hAnsi="Times New Roman" w:cs="Times New Roman"/>
                <w:sz w:val="22"/>
                <w:szCs w:val="22"/>
              </w:rPr>
              <w:t> (</w:t>
            </w:r>
            <w:proofErr w:type="spellStart"/>
            <w:r w:rsidRPr="003665B6">
              <w:rPr>
                <w:rFonts w:ascii="Times New Roman" w:eastAsia="Times New Roman" w:hAnsi="Times New Roman" w:cs="Times New Roman"/>
                <w:sz w:val="22"/>
                <w:szCs w:val="22"/>
              </w:rPr>
              <w:t>df</w:t>
            </w:r>
            <w:proofErr w:type="spellEnd"/>
            <w:r w:rsidRPr="003665B6">
              <w:rPr>
                <w:rFonts w:ascii="Times New Roman" w:eastAsia="Times New Roman" w:hAnsi="Times New Roman" w:cs="Times New Roman"/>
                <w:sz w:val="22"/>
                <w:szCs w:val="22"/>
              </w:rPr>
              <w:t xml:space="preserve"> = 12; 249)</w:t>
            </w:r>
          </w:p>
        </w:tc>
      </w:tr>
      <w:tr w:rsidR="008B3D47" w:rsidRPr="003665B6" w14:paraId="1883B0E2" w14:textId="77777777" w:rsidTr="008B3D47">
        <w:trPr>
          <w:tblCellSpacing w:w="15" w:type="dxa"/>
        </w:trPr>
        <w:tc>
          <w:tcPr>
            <w:tcW w:w="0" w:type="auto"/>
            <w:gridSpan w:val="2"/>
            <w:tcBorders>
              <w:bottom w:val="single" w:sz="6" w:space="0" w:color="000000"/>
            </w:tcBorders>
            <w:vAlign w:val="center"/>
            <w:hideMark/>
          </w:tcPr>
          <w:p w14:paraId="02BC9A9A" w14:textId="77777777" w:rsidR="008B3D47" w:rsidRPr="003665B6" w:rsidRDefault="008B3D47" w:rsidP="008B3D47">
            <w:pPr>
              <w:spacing w:line="240" w:lineRule="auto"/>
              <w:ind w:firstLine="0"/>
              <w:jc w:val="center"/>
              <w:rPr>
                <w:rFonts w:ascii="Times New Roman" w:eastAsia="Times New Roman" w:hAnsi="Times New Roman" w:cs="Times New Roman"/>
                <w:sz w:val="22"/>
                <w:szCs w:val="22"/>
              </w:rPr>
            </w:pPr>
          </w:p>
        </w:tc>
      </w:tr>
      <w:tr w:rsidR="008B3D47" w:rsidRPr="003665B6" w14:paraId="2916FBE5" w14:textId="77777777" w:rsidTr="008B3D47">
        <w:trPr>
          <w:tblCellSpacing w:w="15" w:type="dxa"/>
        </w:trPr>
        <w:tc>
          <w:tcPr>
            <w:tcW w:w="0" w:type="auto"/>
            <w:vAlign w:val="center"/>
            <w:hideMark/>
          </w:tcPr>
          <w:p w14:paraId="0F2584A8" w14:textId="77777777" w:rsidR="008B3D47" w:rsidRPr="003665B6" w:rsidRDefault="008B3D47" w:rsidP="008B3D47">
            <w:pPr>
              <w:spacing w:line="240" w:lineRule="auto"/>
              <w:ind w:firstLine="0"/>
              <w:rPr>
                <w:rFonts w:ascii="Times New Roman" w:eastAsia="Times New Roman" w:hAnsi="Times New Roman" w:cs="Times New Roman"/>
                <w:sz w:val="22"/>
                <w:szCs w:val="22"/>
              </w:rPr>
            </w:pPr>
            <w:r w:rsidRPr="003665B6">
              <w:rPr>
                <w:rFonts w:ascii="Times New Roman" w:eastAsia="Times New Roman" w:hAnsi="Times New Roman" w:cs="Times New Roman"/>
                <w:i/>
                <w:iCs/>
                <w:sz w:val="22"/>
                <w:szCs w:val="22"/>
              </w:rPr>
              <w:lastRenderedPageBreak/>
              <w:t>Note:</w:t>
            </w:r>
          </w:p>
        </w:tc>
        <w:tc>
          <w:tcPr>
            <w:tcW w:w="0" w:type="auto"/>
            <w:vAlign w:val="center"/>
            <w:hideMark/>
          </w:tcPr>
          <w:p w14:paraId="2D5ECE24" w14:textId="77777777" w:rsidR="008B3D47" w:rsidRPr="003665B6" w:rsidRDefault="008B3D47" w:rsidP="008B3D47">
            <w:pPr>
              <w:spacing w:line="240" w:lineRule="auto"/>
              <w:ind w:firstLine="0"/>
              <w:jc w:val="right"/>
              <w:rPr>
                <w:rFonts w:ascii="Times New Roman" w:eastAsia="Times New Roman" w:hAnsi="Times New Roman" w:cs="Times New Roman"/>
                <w:sz w:val="22"/>
                <w:szCs w:val="22"/>
              </w:rPr>
            </w:pPr>
            <w:r w:rsidRPr="003665B6">
              <w:rPr>
                <w:rFonts w:ascii="Times New Roman" w:eastAsia="Times New Roman" w:hAnsi="Times New Roman" w:cs="Times New Roman"/>
                <w:sz w:val="22"/>
                <w:szCs w:val="22"/>
                <w:vertAlign w:val="superscript"/>
              </w:rPr>
              <w:t>*</w:t>
            </w:r>
            <w:r w:rsidRPr="003665B6">
              <w:rPr>
                <w:rFonts w:ascii="Times New Roman" w:eastAsia="Times New Roman" w:hAnsi="Times New Roman" w:cs="Times New Roman"/>
                <w:sz w:val="22"/>
                <w:szCs w:val="22"/>
              </w:rPr>
              <w:t>p&lt;0.1; </w:t>
            </w:r>
            <w:r w:rsidRPr="003665B6">
              <w:rPr>
                <w:rFonts w:ascii="Times New Roman" w:eastAsia="Times New Roman" w:hAnsi="Times New Roman" w:cs="Times New Roman"/>
                <w:sz w:val="22"/>
                <w:szCs w:val="22"/>
                <w:vertAlign w:val="superscript"/>
              </w:rPr>
              <w:t>**</w:t>
            </w:r>
            <w:r w:rsidRPr="003665B6">
              <w:rPr>
                <w:rFonts w:ascii="Times New Roman" w:eastAsia="Times New Roman" w:hAnsi="Times New Roman" w:cs="Times New Roman"/>
                <w:sz w:val="22"/>
                <w:szCs w:val="22"/>
              </w:rPr>
              <w:t>p&lt;0.05; </w:t>
            </w:r>
            <w:r w:rsidRPr="003665B6">
              <w:rPr>
                <w:rFonts w:ascii="Times New Roman" w:eastAsia="Times New Roman" w:hAnsi="Times New Roman" w:cs="Times New Roman"/>
                <w:sz w:val="22"/>
                <w:szCs w:val="22"/>
                <w:vertAlign w:val="superscript"/>
              </w:rPr>
              <w:t>***</w:t>
            </w:r>
            <w:r w:rsidRPr="003665B6">
              <w:rPr>
                <w:rFonts w:ascii="Times New Roman" w:eastAsia="Times New Roman" w:hAnsi="Times New Roman" w:cs="Times New Roman"/>
                <w:sz w:val="22"/>
                <w:szCs w:val="22"/>
              </w:rPr>
              <w:t>p&lt;0.01</w:t>
            </w:r>
          </w:p>
        </w:tc>
      </w:tr>
      <w:tr w:rsidR="008B3D47" w:rsidRPr="008B3D47" w14:paraId="67C07D86" w14:textId="77777777" w:rsidTr="008B3D47">
        <w:trPr>
          <w:tblCellSpacing w:w="15" w:type="dxa"/>
        </w:trPr>
        <w:tc>
          <w:tcPr>
            <w:tcW w:w="0" w:type="auto"/>
            <w:vAlign w:val="center"/>
          </w:tcPr>
          <w:p w14:paraId="15AAD101" w14:textId="5E9C5E7C" w:rsidR="008B3D47" w:rsidRPr="008B3D47" w:rsidRDefault="008B3D47" w:rsidP="008B3D47">
            <w:pPr>
              <w:spacing w:line="240" w:lineRule="auto"/>
              <w:ind w:firstLine="0"/>
              <w:rPr>
                <w:rFonts w:ascii="Times New Roman" w:eastAsia="Times New Roman" w:hAnsi="Times New Roman" w:cs="Times New Roman"/>
                <w:i/>
                <w:iCs/>
              </w:rPr>
            </w:pPr>
            <w:r w:rsidRPr="008B3D47">
              <w:rPr>
                <w:rFonts w:ascii="Times New Roman" w:eastAsia="Times New Roman" w:hAnsi="Times New Roman" w:cs="Times New Roman"/>
                <w:sz w:val="20"/>
                <w:szCs w:val="20"/>
              </w:rPr>
              <w:t>Source: 5-Year ACS, US Census Bureau &amp; Housing Urban Development</w:t>
            </w:r>
          </w:p>
        </w:tc>
        <w:tc>
          <w:tcPr>
            <w:tcW w:w="0" w:type="auto"/>
            <w:vAlign w:val="center"/>
          </w:tcPr>
          <w:p w14:paraId="5520D60C" w14:textId="77777777" w:rsidR="008B3D47" w:rsidRPr="008B3D47" w:rsidRDefault="008B3D47" w:rsidP="008B3D47">
            <w:pPr>
              <w:spacing w:line="240" w:lineRule="auto"/>
              <w:ind w:firstLine="0"/>
              <w:jc w:val="right"/>
              <w:rPr>
                <w:rFonts w:ascii="Times New Roman" w:eastAsia="Times New Roman" w:hAnsi="Times New Roman" w:cs="Times New Roman"/>
                <w:vertAlign w:val="superscript"/>
              </w:rPr>
            </w:pPr>
          </w:p>
        </w:tc>
      </w:tr>
    </w:tbl>
    <w:p w14:paraId="40F7AAE8" w14:textId="77777777" w:rsidR="003E4728" w:rsidRDefault="003E4728" w:rsidP="002F5FE1">
      <w:pPr>
        <w:spacing w:line="480" w:lineRule="auto"/>
        <w:ind w:firstLine="0"/>
        <w:rPr>
          <w:rFonts w:ascii="Times New Roman" w:eastAsia="Times New Roman" w:hAnsi="Times New Roman" w:cs="Times New Roman"/>
        </w:rPr>
      </w:pPr>
    </w:p>
    <w:p w14:paraId="3B1095D7" w14:textId="16D0A92C" w:rsidR="00CF3AA0" w:rsidRDefault="00CF3AA0" w:rsidP="003E4728">
      <w:pPr>
        <w:spacing w:line="480" w:lineRule="auto"/>
        <w:rPr>
          <w:rFonts w:ascii="Times New Roman" w:eastAsia="Times New Roman" w:hAnsi="Times New Roman" w:cs="Times New Roman"/>
        </w:rPr>
      </w:pPr>
      <w:r>
        <w:rPr>
          <w:rFonts w:ascii="Times New Roman" w:eastAsia="Times New Roman" w:hAnsi="Times New Roman" w:cs="Times New Roman"/>
        </w:rPr>
        <w:t xml:space="preserve">Figure 3 </w:t>
      </w:r>
      <w:r w:rsidR="00E10B7B">
        <w:rPr>
          <w:rFonts w:ascii="Times New Roman" w:eastAsia="Times New Roman" w:hAnsi="Times New Roman" w:cs="Times New Roman"/>
        </w:rPr>
        <w:t>displays</w:t>
      </w:r>
      <w:r>
        <w:rPr>
          <w:rFonts w:ascii="Times New Roman" w:eastAsia="Times New Roman" w:hAnsi="Times New Roman" w:cs="Times New Roman"/>
        </w:rPr>
        <w:t xml:space="preserve"> the </w:t>
      </w:r>
      <w:r w:rsidR="0023644E">
        <w:rPr>
          <w:rFonts w:ascii="Times New Roman" w:eastAsia="Times New Roman" w:hAnsi="Times New Roman" w:cs="Times New Roman"/>
        </w:rPr>
        <w:t>predicted average economic well-being scores from the</w:t>
      </w:r>
      <w:r w:rsidR="00E10B7B">
        <w:rPr>
          <w:rFonts w:ascii="Times New Roman" w:eastAsia="Times New Roman" w:hAnsi="Times New Roman" w:cs="Times New Roman"/>
        </w:rPr>
        <w:t xml:space="preserve"> IPW-weighted </w:t>
      </w:r>
      <w:r w:rsidR="0023644E">
        <w:rPr>
          <w:rFonts w:ascii="Times New Roman" w:eastAsia="Times New Roman" w:hAnsi="Times New Roman" w:cs="Times New Roman"/>
        </w:rPr>
        <w:t>OLS</w:t>
      </w:r>
      <w:r w:rsidR="00E10B7B">
        <w:rPr>
          <w:rFonts w:ascii="Times New Roman" w:eastAsia="Times New Roman" w:hAnsi="Times New Roman" w:cs="Times New Roman"/>
        </w:rPr>
        <w:t xml:space="preserve"> </w:t>
      </w:r>
      <w:proofErr w:type="spellStart"/>
      <w:r w:rsidR="00E10B7B">
        <w:rPr>
          <w:rFonts w:ascii="Times New Roman" w:eastAsia="Times New Roman" w:hAnsi="Times New Roman" w:cs="Times New Roman"/>
        </w:rPr>
        <w:t>DiD</w:t>
      </w:r>
      <w:proofErr w:type="spellEnd"/>
      <w:r w:rsidR="0023644E">
        <w:rPr>
          <w:rFonts w:ascii="Times New Roman" w:eastAsia="Times New Roman" w:hAnsi="Times New Roman" w:cs="Times New Roman"/>
        </w:rPr>
        <w:t xml:space="preserve"> regression</w:t>
      </w:r>
      <w:r w:rsidR="00E10B7B">
        <w:rPr>
          <w:rFonts w:ascii="Times New Roman" w:eastAsia="Times New Roman" w:hAnsi="Times New Roman" w:cs="Times New Roman"/>
        </w:rPr>
        <w:t xml:space="preserve"> (Table 4) for tracts in the Akron, OH metropolitan area</w:t>
      </w:r>
      <w:r w:rsidR="0023644E">
        <w:rPr>
          <w:rFonts w:ascii="Times New Roman" w:eastAsia="Times New Roman" w:hAnsi="Times New Roman" w:cs="Times New Roman"/>
        </w:rPr>
        <w:t>.</w:t>
      </w:r>
      <w:r>
        <w:rPr>
          <w:rFonts w:ascii="Times New Roman" w:eastAsia="Times New Roman" w:hAnsi="Times New Roman" w:cs="Times New Roman"/>
        </w:rPr>
        <w:t xml:space="preserve"> OZ tracts</w:t>
      </w:r>
      <w:r w:rsidR="0096039D">
        <w:rPr>
          <w:rFonts w:ascii="Times New Roman" w:eastAsia="Times New Roman" w:hAnsi="Times New Roman" w:cs="Times New Roman"/>
        </w:rPr>
        <w:t xml:space="preserve"> (red line) began the pre-implementation period with a higher average economic well-being score than non-OZ tracts (blue line). Additionally, OZ tracts observed a </w:t>
      </w:r>
      <w:r>
        <w:rPr>
          <w:rFonts w:ascii="Times New Roman" w:eastAsia="Times New Roman" w:hAnsi="Times New Roman" w:cs="Times New Roman"/>
        </w:rPr>
        <w:t>greater increase in economic well-being</w:t>
      </w:r>
      <w:r w:rsidR="0096039D">
        <w:rPr>
          <w:rFonts w:ascii="Times New Roman" w:eastAsia="Times New Roman" w:hAnsi="Times New Roman" w:cs="Times New Roman"/>
        </w:rPr>
        <w:t xml:space="preserve"> during the post-implementation period</w:t>
      </w:r>
      <w:r w:rsidR="004A4CB6">
        <w:rPr>
          <w:rFonts w:ascii="Times New Roman" w:eastAsia="Times New Roman" w:hAnsi="Times New Roman" w:cs="Times New Roman"/>
        </w:rPr>
        <w:t>, while</w:t>
      </w:r>
      <w:r w:rsidR="0096039D">
        <w:rPr>
          <w:rFonts w:ascii="Times New Roman" w:eastAsia="Times New Roman" w:hAnsi="Times New Roman" w:cs="Times New Roman"/>
        </w:rPr>
        <w:t xml:space="preserve"> the </w:t>
      </w:r>
      <w:r>
        <w:rPr>
          <w:rFonts w:ascii="Times New Roman" w:eastAsia="Times New Roman" w:hAnsi="Times New Roman" w:cs="Times New Roman"/>
        </w:rPr>
        <w:t>non-OZ tracts</w:t>
      </w:r>
      <w:r w:rsidR="004A4CB6">
        <w:rPr>
          <w:rFonts w:ascii="Times New Roman" w:eastAsia="Times New Roman" w:hAnsi="Times New Roman" w:cs="Times New Roman"/>
        </w:rPr>
        <w:t xml:space="preserve"> saw a decline. </w:t>
      </w:r>
      <w:r w:rsidR="00FC1FD9">
        <w:rPr>
          <w:rFonts w:ascii="Times New Roman" w:eastAsia="Times New Roman" w:hAnsi="Times New Roman" w:cs="Times New Roman"/>
        </w:rPr>
        <w:t xml:space="preserve">Instead of converging </w:t>
      </w:r>
      <w:r w:rsidR="004A4CB6">
        <w:rPr>
          <w:rFonts w:ascii="Times New Roman" w:eastAsia="Times New Roman" w:hAnsi="Times New Roman" w:cs="Times New Roman"/>
        </w:rPr>
        <w:t>trends</w:t>
      </w:r>
      <w:r w:rsidR="00FC1FD9">
        <w:rPr>
          <w:rFonts w:ascii="Times New Roman" w:eastAsia="Times New Roman" w:hAnsi="Times New Roman" w:cs="Times New Roman"/>
        </w:rPr>
        <w:t>, as seen in Figures 1 and 2,</w:t>
      </w:r>
      <w:r w:rsidR="00D623C9">
        <w:rPr>
          <w:rFonts w:ascii="Times New Roman" w:eastAsia="Times New Roman" w:hAnsi="Times New Roman" w:cs="Times New Roman"/>
        </w:rPr>
        <w:t xml:space="preserve"> </w:t>
      </w:r>
      <w:r w:rsidR="00FC1FD9">
        <w:rPr>
          <w:rFonts w:ascii="Times New Roman" w:eastAsia="Times New Roman" w:hAnsi="Times New Roman" w:cs="Times New Roman"/>
        </w:rPr>
        <w:t>t</w:t>
      </w:r>
      <w:r w:rsidR="00D623C9">
        <w:rPr>
          <w:rFonts w:ascii="Times New Roman" w:eastAsia="Times New Roman" w:hAnsi="Times New Roman" w:cs="Times New Roman"/>
        </w:rPr>
        <w:t>he gap between OZ and non-OZ tracts</w:t>
      </w:r>
      <w:r w:rsidR="004A4CB6">
        <w:rPr>
          <w:rFonts w:ascii="Times New Roman" w:eastAsia="Times New Roman" w:hAnsi="Times New Roman" w:cs="Times New Roman"/>
        </w:rPr>
        <w:t xml:space="preserve"> widened</w:t>
      </w:r>
      <w:r w:rsidR="00FC1FD9">
        <w:rPr>
          <w:rFonts w:ascii="Times New Roman" w:eastAsia="Times New Roman" w:hAnsi="Times New Roman" w:cs="Times New Roman"/>
        </w:rPr>
        <w:t xml:space="preserve">. </w:t>
      </w:r>
      <w:r w:rsidR="001772AA">
        <w:rPr>
          <w:rFonts w:ascii="Times New Roman" w:eastAsia="Times New Roman" w:hAnsi="Times New Roman" w:cs="Times New Roman"/>
        </w:rPr>
        <w:t>Unexpectedly</w:t>
      </w:r>
      <w:r w:rsidR="00FC1FD9">
        <w:rPr>
          <w:rFonts w:ascii="Times New Roman" w:eastAsia="Times New Roman" w:hAnsi="Times New Roman" w:cs="Times New Roman"/>
        </w:rPr>
        <w:t xml:space="preserve">, the OZ program’s treatment effect </w:t>
      </w:r>
      <w:r w:rsidR="000D4D61">
        <w:rPr>
          <w:rFonts w:ascii="Times New Roman" w:eastAsia="Times New Roman" w:hAnsi="Times New Roman" w:cs="Times New Roman"/>
        </w:rPr>
        <w:t>appears to make</w:t>
      </w:r>
      <w:r w:rsidR="00FC1FD9">
        <w:rPr>
          <w:rFonts w:ascii="Times New Roman" w:eastAsia="Times New Roman" w:hAnsi="Times New Roman" w:cs="Times New Roman"/>
        </w:rPr>
        <w:t xml:space="preserve"> the OZ tracts more </w:t>
      </w:r>
      <w:r w:rsidR="000D4D61">
        <w:rPr>
          <w:rFonts w:ascii="Times New Roman" w:eastAsia="Times New Roman" w:hAnsi="Times New Roman" w:cs="Times New Roman"/>
        </w:rPr>
        <w:t xml:space="preserve">economically </w:t>
      </w:r>
      <w:r w:rsidR="00FC1FD9">
        <w:rPr>
          <w:rFonts w:ascii="Times New Roman" w:eastAsia="Times New Roman" w:hAnsi="Times New Roman" w:cs="Times New Roman"/>
        </w:rPr>
        <w:t>well-off than their non-OZ counterparts.</w:t>
      </w:r>
      <w:r w:rsidR="001A1243">
        <w:rPr>
          <w:rFonts w:ascii="Times New Roman" w:eastAsia="Times New Roman" w:hAnsi="Times New Roman" w:cs="Times New Roman"/>
        </w:rPr>
        <w:t xml:space="preserve"> </w:t>
      </w:r>
      <w:r w:rsidR="001A1243" w:rsidRPr="00BC5121">
        <w:rPr>
          <w:rFonts w:ascii="Times New Roman" w:eastAsia="Times New Roman" w:hAnsi="Times New Roman" w:cs="Times New Roman"/>
        </w:rPr>
        <w:t xml:space="preserve">Despite the increase in OZ tracts, the </w:t>
      </w:r>
      <w:proofErr w:type="spellStart"/>
      <w:r w:rsidR="001A1243" w:rsidRPr="00BC5121">
        <w:rPr>
          <w:rFonts w:ascii="Times New Roman" w:eastAsia="Times New Roman" w:hAnsi="Times New Roman" w:cs="Times New Roman"/>
        </w:rPr>
        <w:t>DiD</w:t>
      </w:r>
      <w:proofErr w:type="spellEnd"/>
      <w:r w:rsidR="001A1243" w:rsidRPr="00BC5121">
        <w:rPr>
          <w:rFonts w:ascii="Times New Roman" w:eastAsia="Times New Roman" w:hAnsi="Times New Roman" w:cs="Times New Roman"/>
        </w:rPr>
        <w:t xml:space="preserve"> term was not statistically significant, suggesting that the OZ program did not impact the economic well-being of tracts in Akron, OH.</w:t>
      </w:r>
      <w:r w:rsidR="00D623C9">
        <w:rPr>
          <w:rFonts w:ascii="Times New Roman" w:eastAsia="Times New Roman" w:hAnsi="Times New Roman" w:cs="Times New Roman"/>
        </w:rPr>
        <w:t xml:space="preserve"> </w:t>
      </w:r>
      <w:r w:rsidR="00A4089B">
        <w:rPr>
          <w:rFonts w:ascii="Times New Roman" w:eastAsia="Times New Roman" w:hAnsi="Times New Roman" w:cs="Times New Roman"/>
        </w:rPr>
        <w:t>This finding may allude to the Alm et al. (2021)</w:t>
      </w:r>
      <w:r w:rsidR="00117087">
        <w:rPr>
          <w:rFonts w:ascii="Times New Roman" w:eastAsia="Times New Roman" w:hAnsi="Times New Roman" w:cs="Times New Roman"/>
        </w:rPr>
        <w:t xml:space="preserve"> </w:t>
      </w:r>
      <w:r w:rsidR="00A4089B">
        <w:rPr>
          <w:rFonts w:ascii="Times New Roman" w:eastAsia="Times New Roman" w:hAnsi="Times New Roman" w:cs="Times New Roman"/>
        </w:rPr>
        <w:t>and Frank et al</w:t>
      </w:r>
      <w:r w:rsidR="00E35773">
        <w:rPr>
          <w:rFonts w:ascii="Times New Roman" w:eastAsia="Times New Roman" w:hAnsi="Times New Roman" w:cs="Times New Roman"/>
        </w:rPr>
        <w:t>.</w:t>
      </w:r>
      <w:r w:rsidR="00A4089B">
        <w:rPr>
          <w:rFonts w:ascii="Times New Roman" w:eastAsia="Times New Roman" w:hAnsi="Times New Roman" w:cs="Times New Roman"/>
        </w:rPr>
        <w:t xml:space="preserve"> (2021)</w:t>
      </w:r>
      <w:r w:rsidR="00454727">
        <w:rPr>
          <w:rFonts w:ascii="Times New Roman" w:eastAsia="Times New Roman" w:hAnsi="Times New Roman" w:cs="Times New Roman"/>
        </w:rPr>
        <w:t xml:space="preserve">, </w:t>
      </w:r>
      <w:r w:rsidR="00454727" w:rsidRPr="00454727">
        <w:rPr>
          <w:rFonts w:ascii="Times New Roman" w:eastAsia="Times New Roman" w:hAnsi="Times New Roman" w:cs="Times New Roman"/>
        </w:rPr>
        <w:t>who argue that political considerations influenced the selection of O</w:t>
      </w:r>
      <w:r w:rsidR="00454727">
        <w:rPr>
          <w:rFonts w:ascii="Times New Roman" w:eastAsia="Times New Roman" w:hAnsi="Times New Roman" w:cs="Times New Roman"/>
        </w:rPr>
        <w:t>Z</w:t>
      </w:r>
      <w:r w:rsidR="00454727" w:rsidRPr="00454727">
        <w:rPr>
          <w:rFonts w:ascii="Times New Roman" w:eastAsia="Times New Roman" w:hAnsi="Times New Roman" w:cs="Times New Roman"/>
        </w:rPr>
        <w:t xml:space="preserve"> tracts. Their analyses suggest that tracts were not always chosen based on economic distress alone, which may explain why OZ tracts in this</w:t>
      </w:r>
      <w:r w:rsidR="00FD6BF7">
        <w:rPr>
          <w:rFonts w:ascii="Times New Roman" w:eastAsia="Times New Roman" w:hAnsi="Times New Roman" w:cs="Times New Roman"/>
        </w:rPr>
        <w:t xml:space="preserve"> </w:t>
      </w:r>
      <w:r w:rsidR="00454727">
        <w:rPr>
          <w:rFonts w:ascii="Times New Roman" w:eastAsia="Times New Roman" w:hAnsi="Times New Roman" w:cs="Times New Roman"/>
        </w:rPr>
        <w:t>localized</w:t>
      </w:r>
      <w:r w:rsidR="00454727" w:rsidRPr="00454727">
        <w:rPr>
          <w:rFonts w:ascii="Times New Roman" w:eastAsia="Times New Roman" w:hAnsi="Times New Roman" w:cs="Times New Roman"/>
        </w:rPr>
        <w:t xml:space="preserve"> study appear, on average, more economically well-off than their non-OZ</w:t>
      </w:r>
      <w:r w:rsidR="00FD6BF7">
        <w:rPr>
          <w:rFonts w:ascii="Times New Roman" w:eastAsia="Times New Roman" w:hAnsi="Times New Roman" w:cs="Times New Roman"/>
        </w:rPr>
        <w:t xml:space="preserve"> </w:t>
      </w:r>
      <w:r w:rsidR="00454727" w:rsidRPr="00454727">
        <w:rPr>
          <w:rFonts w:ascii="Times New Roman" w:eastAsia="Times New Roman" w:hAnsi="Times New Roman" w:cs="Times New Roman"/>
        </w:rPr>
        <w:t>cou</w:t>
      </w:r>
      <w:r w:rsidR="00FD6BF7">
        <w:rPr>
          <w:rFonts w:ascii="Times New Roman" w:eastAsia="Times New Roman" w:hAnsi="Times New Roman" w:cs="Times New Roman"/>
        </w:rPr>
        <w:t>nterparts.</w:t>
      </w:r>
      <w:r w:rsidR="00F61757">
        <w:rPr>
          <w:rFonts w:ascii="Times New Roman" w:eastAsia="Times New Roman" w:hAnsi="Times New Roman" w:cs="Times New Roman"/>
        </w:rPr>
        <w:t xml:space="preserve"> </w:t>
      </w:r>
      <w:r w:rsidR="00425766">
        <w:rPr>
          <w:rFonts w:ascii="Times New Roman" w:eastAsia="Times New Roman" w:hAnsi="Times New Roman" w:cs="Times New Roman"/>
        </w:rPr>
        <w:t xml:space="preserve">However, the OZ selection process lies beyond the scope of this study. </w:t>
      </w:r>
    </w:p>
    <w:p w14:paraId="4F87DC1F" w14:textId="7A9F72B7" w:rsidR="00FD6BF7" w:rsidRPr="00FD6BF7" w:rsidRDefault="00D46FA2" w:rsidP="00DD46F4">
      <w:bookmarkStart w:id="36" w:name="Figure3"/>
      <w:r>
        <w:rPr>
          <w:noProof/>
        </w:rPr>
        <w:lastRenderedPageBreak/>
        <w:drawing>
          <wp:inline distT="0" distB="0" distL="0" distR="0" wp14:anchorId="52AD374D" wp14:editId="6E4D7314">
            <wp:extent cx="4559298" cy="3419475"/>
            <wp:effectExtent l="0" t="0" r="0" b="0"/>
            <wp:docPr id="2247434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98330" cy="3448749"/>
                    </a:xfrm>
                    <a:prstGeom prst="rect">
                      <a:avLst/>
                    </a:prstGeom>
                    <a:noFill/>
                    <a:ln>
                      <a:noFill/>
                    </a:ln>
                  </pic:spPr>
                </pic:pic>
              </a:graphicData>
            </a:graphic>
          </wp:inline>
        </w:drawing>
      </w:r>
      <w:bookmarkEnd w:id="36"/>
    </w:p>
    <w:p w14:paraId="1DDAE7DF" w14:textId="62561909" w:rsidR="00D72A1C" w:rsidRDefault="00D72A1C" w:rsidP="002F5FE1">
      <w:pPr>
        <w:spacing w:line="480" w:lineRule="auto"/>
        <w:ind w:firstLine="360"/>
        <w:rPr>
          <w:rFonts w:ascii="Times New Roman" w:eastAsia="Times New Roman" w:hAnsi="Times New Roman" w:cs="Times New Roman"/>
        </w:rPr>
      </w:pPr>
      <w:r w:rsidRPr="00D72A1C">
        <w:rPr>
          <w:rFonts w:ascii="Times New Roman" w:eastAsia="Times New Roman" w:hAnsi="Times New Roman" w:cs="Times New Roman"/>
        </w:rPr>
        <w:t>Overall, the OZ program had a statistically significant</w:t>
      </w:r>
      <w:r w:rsidR="006F1B4C">
        <w:rPr>
          <w:rFonts w:ascii="Times New Roman" w:eastAsia="Times New Roman" w:hAnsi="Times New Roman" w:cs="Times New Roman"/>
        </w:rPr>
        <w:t xml:space="preserve"> positive</w:t>
      </w:r>
      <w:r w:rsidRPr="00D72A1C">
        <w:rPr>
          <w:rFonts w:ascii="Times New Roman" w:eastAsia="Times New Roman" w:hAnsi="Times New Roman" w:cs="Times New Roman"/>
        </w:rPr>
        <w:t xml:space="preserve"> impact on tract-level economic well-being</w:t>
      </w:r>
      <w:r w:rsidR="00326CAA">
        <w:rPr>
          <w:rFonts w:ascii="Times New Roman" w:eastAsia="Times New Roman" w:hAnsi="Times New Roman" w:cs="Times New Roman"/>
        </w:rPr>
        <w:t xml:space="preserve"> in the post-implementation period</w:t>
      </w:r>
      <w:r w:rsidRPr="00D72A1C">
        <w:rPr>
          <w:rFonts w:ascii="Times New Roman" w:eastAsia="Times New Roman" w:hAnsi="Times New Roman" w:cs="Times New Roman"/>
        </w:rPr>
        <w:t xml:space="preserve"> compared to non-OZ tracts. However, the magnitude of this effect was modest, with an average increase of only 0.274 points </w:t>
      </w:r>
      <w:r w:rsidR="00DE5FA5">
        <w:rPr>
          <w:rFonts w:ascii="Times New Roman" w:eastAsia="Times New Roman" w:hAnsi="Times New Roman" w:cs="Times New Roman"/>
        </w:rPr>
        <w:t>o</w:t>
      </w:r>
      <w:r w:rsidRPr="00D72A1C">
        <w:rPr>
          <w:rFonts w:ascii="Times New Roman" w:eastAsia="Times New Roman" w:hAnsi="Times New Roman" w:cs="Times New Roman"/>
        </w:rPr>
        <w:t xml:space="preserve">n the </w:t>
      </w:r>
      <w:r w:rsidR="00ED285B">
        <w:rPr>
          <w:rFonts w:ascii="Times New Roman" w:eastAsia="Times New Roman" w:hAnsi="Times New Roman" w:cs="Times New Roman"/>
        </w:rPr>
        <w:t>economic well-being index</w:t>
      </w:r>
      <w:r w:rsidRPr="00D72A1C">
        <w:rPr>
          <w:rFonts w:ascii="Times New Roman" w:eastAsia="Times New Roman" w:hAnsi="Times New Roman" w:cs="Times New Roman"/>
        </w:rPr>
        <w:t>. Quantile regression results show that the estimated impact of the OZ program increases across the conditional distribution, suggesting that more economically advantaged tracts experienced greater benefits. Still, the predicted</w:t>
      </w:r>
      <w:r w:rsidR="00D203CA">
        <w:rPr>
          <w:rFonts w:ascii="Times New Roman" w:eastAsia="Times New Roman" w:hAnsi="Times New Roman" w:cs="Times New Roman"/>
        </w:rPr>
        <w:t xml:space="preserve"> economic well-being</w:t>
      </w:r>
      <w:r w:rsidRPr="00D72A1C">
        <w:rPr>
          <w:rFonts w:ascii="Times New Roman" w:eastAsia="Times New Roman" w:hAnsi="Times New Roman" w:cs="Times New Roman"/>
        </w:rPr>
        <w:t xml:space="preserve"> difference between the 25th and 75th percentile conditional outcomes is only about six points (</w:t>
      </w:r>
      <w:r w:rsidR="00DE5FA5">
        <w:rPr>
          <w:rFonts w:ascii="Times New Roman" w:eastAsia="Times New Roman" w:hAnsi="Times New Roman" w:cs="Times New Roman"/>
        </w:rPr>
        <w:t>ranging from</w:t>
      </w:r>
      <w:r w:rsidRPr="00D72A1C">
        <w:rPr>
          <w:rFonts w:ascii="Times New Roman" w:eastAsia="Times New Roman" w:hAnsi="Times New Roman" w:cs="Times New Roman"/>
        </w:rPr>
        <w:t xml:space="preserve"> 10 to 16), indicating that extreme outliers may be skewing the overall</w:t>
      </w:r>
      <w:r w:rsidR="00355621">
        <w:rPr>
          <w:rFonts w:ascii="Times New Roman" w:eastAsia="Times New Roman" w:hAnsi="Times New Roman" w:cs="Times New Roman"/>
        </w:rPr>
        <w:t xml:space="preserve"> economic well-being</w:t>
      </w:r>
      <w:r w:rsidRPr="00D72A1C">
        <w:rPr>
          <w:rFonts w:ascii="Times New Roman" w:eastAsia="Times New Roman" w:hAnsi="Times New Roman" w:cs="Times New Roman"/>
        </w:rPr>
        <w:t xml:space="preserve"> distribution. In the Akron, OH metro area, the OZ treatment effect was not statistically significant, implying that the program’s impact may vary regionally and that other socio-economic factors</w:t>
      </w:r>
      <w:r w:rsidR="005F6FF7">
        <w:rPr>
          <w:rFonts w:ascii="Times New Roman" w:eastAsia="Times New Roman" w:hAnsi="Times New Roman" w:cs="Times New Roman"/>
        </w:rPr>
        <w:t xml:space="preserve"> likely</w:t>
      </w:r>
      <w:r w:rsidRPr="00D72A1C">
        <w:rPr>
          <w:rFonts w:ascii="Times New Roman" w:eastAsia="Times New Roman" w:hAnsi="Times New Roman" w:cs="Times New Roman"/>
        </w:rPr>
        <w:t xml:space="preserve"> play a larger role in </w:t>
      </w:r>
      <w:r w:rsidR="00755A37">
        <w:rPr>
          <w:rFonts w:ascii="Times New Roman" w:eastAsia="Times New Roman" w:hAnsi="Times New Roman" w:cs="Times New Roman"/>
        </w:rPr>
        <w:t>shaping</w:t>
      </w:r>
      <w:r w:rsidR="00605639">
        <w:rPr>
          <w:rFonts w:ascii="Times New Roman" w:eastAsia="Times New Roman" w:hAnsi="Times New Roman" w:cs="Times New Roman"/>
        </w:rPr>
        <w:t xml:space="preserve"> a tract’s</w:t>
      </w:r>
      <w:r w:rsidRPr="00D72A1C">
        <w:rPr>
          <w:rFonts w:ascii="Times New Roman" w:eastAsia="Times New Roman" w:hAnsi="Times New Roman" w:cs="Times New Roman"/>
        </w:rPr>
        <w:t xml:space="preserve"> economic well-being</w:t>
      </w:r>
      <w:r>
        <w:rPr>
          <w:rFonts w:ascii="Times New Roman" w:eastAsia="Times New Roman" w:hAnsi="Times New Roman" w:cs="Times New Roman"/>
        </w:rPr>
        <w:t>.</w:t>
      </w:r>
    </w:p>
    <w:p w14:paraId="2210FCB6" w14:textId="7A20A445" w:rsidR="006F3159" w:rsidRPr="008F4705" w:rsidRDefault="00B44A93" w:rsidP="008F4705">
      <w:pPr>
        <w:pStyle w:val="Heading1"/>
        <w:rPr>
          <w:rFonts w:eastAsia="Times New Roman"/>
        </w:rPr>
      </w:pPr>
      <w:bookmarkStart w:id="37" w:name="_Toc197889235"/>
      <w:r w:rsidRPr="00900FAD">
        <w:rPr>
          <w:rFonts w:eastAsia="Times New Roman"/>
        </w:rPr>
        <w:lastRenderedPageBreak/>
        <w:t>Conclusion</w:t>
      </w:r>
      <w:bookmarkEnd w:id="37"/>
    </w:p>
    <w:p w14:paraId="55DF7A34" w14:textId="300A2535" w:rsidR="0066352F" w:rsidRDefault="0066352F" w:rsidP="00205D01">
      <w:pPr>
        <w:spacing w:line="480" w:lineRule="auto"/>
        <w:ind w:firstLine="360"/>
        <w:rPr>
          <w:rFonts w:ascii="Times New Roman" w:eastAsia="Times New Roman" w:hAnsi="Times New Roman" w:cs="Times New Roman"/>
        </w:rPr>
      </w:pPr>
      <w:r w:rsidRPr="0066352F">
        <w:rPr>
          <w:rFonts w:ascii="Times New Roman" w:eastAsia="Times New Roman" w:hAnsi="Times New Roman" w:cs="Times New Roman"/>
        </w:rPr>
        <w:t>This study is relevant to policymakers at both the federal and local levels. Federal decision-makers and advisors could collaborate with local governments to refine the Opportunity Zone (OZ) nomination process, particularly in cities like Akron, OH, where OZ designation did not produce statistically significant results. Better targeting could help ensure that the OZ program benefits the most economically distressed communities rather than those already relatively stable. Despite</w:t>
      </w:r>
      <w:r w:rsidR="00B10FFC">
        <w:rPr>
          <w:rFonts w:ascii="Times New Roman" w:eastAsia="Times New Roman" w:hAnsi="Times New Roman" w:cs="Times New Roman"/>
        </w:rPr>
        <w:t xml:space="preserve"> </w:t>
      </w:r>
      <w:r w:rsidR="00D20E17">
        <w:rPr>
          <w:rFonts w:ascii="Times New Roman" w:eastAsia="Times New Roman" w:hAnsi="Times New Roman" w:cs="Times New Roman"/>
        </w:rPr>
        <w:t>some</w:t>
      </w:r>
      <w:r w:rsidR="00B10FFC">
        <w:rPr>
          <w:rFonts w:ascii="Times New Roman" w:eastAsia="Times New Roman" w:hAnsi="Times New Roman" w:cs="Times New Roman"/>
        </w:rPr>
        <w:t xml:space="preserve"> limitations</w:t>
      </w:r>
      <w:r w:rsidRPr="0066352F">
        <w:rPr>
          <w:rFonts w:ascii="Times New Roman" w:eastAsia="Times New Roman" w:hAnsi="Times New Roman" w:cs="Times New Roman"/>
        </w:rPr>
        <w:t>, the program did demonstrate a positive impact on economic well-being overall.</w:t>
      </w:r>
    </w:p>
    <w:p w14:paraId="7E9B1815" w14:textId="59B018CE" w:rsidR="0030421A" w:rsidRDefault="0030421A" w:rsidP="00205D01">
      <w:pPr>
        <w:spacing w:line="480" w:lineRule="auto"/>
        <w:ind w:firstLine="360"/>
        <w:rPr>
          <w:rFonts w:ascii="Times New Roman" w:eastAsia="Times New Roman" w:hAnsi="Times New Roman" w:cs="Times New Roman"/>
        </w:rPr>
      </w:pPr>
      <w:r w:rsidRPr="001B7A7C">
        <w:rPr>
          <w:rFonts w:ascii="Times New Roman" w:eastAsia="Times New Roman" w:hAnsi="Times New Roman" w:cs="Times New Roman"/>
        </w:rPr>
        <w:t xml:space="preserve">The tract nomination criteria </w:t>
      </w:r>
      <w:r w:rsidR="008D4819" w:rsidRPr="001B7A7C">
        <w:rPr>
          <w:rFonts w:ascii="Times New Roman" w:eastAsia="Times New Roman" w:hAnsi="Times New Roman" w:cs="Times New Roman"/>
        </w:rPr>
        <w:t>are</w:t>
      </w:r>
      <w:r w:rsidRPr="001B7A7C">
        <w:rPr>
          <w:rFonts w:ascii="Times New Roman" w:eastAsia="Times New Roman" w:hAnsi="Times New Roman" w:cs="Times New Roman"/>
        </w:rPr>
        <w:t xml:space="preserve"> broad, policymakers </w:t>
      </w:r>
      <w:r w:rsidR="008D4819" w:rsidRPr="001B7A7C">
        <w:rPr>
          <w:rFonts w:ascii="Times New Roman" w:eastAsia="Times New Roman" w:hAnsi="Times New Roman" w:cs="Times New Roman"/>
        </w:rPr>
        <w:t>could</w:t>
      </w:r>
      <w:r w:rsidRPr="001B7A7C">
        <w:rPr>
          <w:rFonts w:ascii="Times New Roman" w:eastAsia="Times New Roman" w:hAnsi="Times New Roman" w:cs="Times New Roman"/>
        </w:rPr>
        <w:t xml:space="preserve"> refine the criterion </w:t>
      </w:r>
      <w:r w:rsidR="008D4819" w:rsidRPr="001B7A7C">
        <w:rPr>
          <w:rFonts w:ascii="Times New Roman" w:eastAsia="Times New Roman" w:hAnsi="Times New Roman" w:cs="Times New Roman"/>
        </w:rPr>
        <w:t xml:space="preserve">to better target the most economically distressed communities. Something akin to the economic well-being index could be used to refine the nomination process. </w:t>
      </w:r>
      <w:r w:rsidR="006228F7" w:rsidRPr="001B7A7C">
        <w:rPr>
          <w:rFonts w:ascii="Times New Roman" w:eastAsia="Times New Roman" w:hAnsi="Times New Roman" w:cs="Times New Roman"/>
        </w:rPr>
        <w:t>Additionally, policy makers could refine the selection process. Instead of permitting state governors to select tracts within their state, state legislatures could propose a list of tracts for OZ selection with governor approval or vice-versa. This may alleviate political affiliation bias in the OZ selection process.</w:t>
      </w:r>
    </w:p>
    <w:p w14:paraId="4746F992" w14:textId="730EA1DA" w:rsidR="002D7CD3" w:rsidRDefault="0066352F" w:rsidP="002D7CD3">
      <w:pPr>
        <w:spacing w:line="480" w:lineRule="auto"/>
        <w:ind w:firstLine="360"/>
        <w:rPr>
          <w:rFonts w:ascii="Times New Roman" w:eastAsia="Times New Roman" w:hAnsi="Times New Roman" w:cs="Times New Roman"/>
        </w:rPr>
      </w:pPr>
      <w:r w:rsidRPr="0066352F">
        <w:rPr>
          <w:rFonts w:ascii="Times New Roman" w:eastAsia="Times New Roman" w:hAnsi="Times New Roman" w:cs="Times New Roman"/>
        </w:rPr>
        <w:t>Several limitations should be noted. The dependent variable—an economic well-being index—relies on composite indicators, including median income, employment rate, and housing costs. These variables may not fully capture the economic complexity within tracts. For example, the employment rate does not distinguish between full- and part-time work or income level, and housing cost burdens may overlook multi-earner households.</w:t>
      </w:r>
      <w:r w:rsidR="00280D08">
        <w:rPr>
          <w:rFonts w:ascii="Times New Roman" w:eastAsia="Times New Roman" w:hAnsi="Times New Roman" w:cs="Times New Roman"/>
        </w:rPr>
        <w:t xml:space="preserve"> </w:t>
      </w:r>
      <w:r w:rsidR="00280D08" w:rsidRPr="00DA4B0A">
        <w:rPr>
          <w:rFonts w:ascii="Times New Roman" w:eastAsia="Times New Roman" w:hAnsi="Times New Roman" w:cs="Times New Roman"/>
        </w:rPr>
        <w:t>The penalty on the housing-to-income ratio may</w:t>
      </w:r>
      <w:r w:rsidR="004556DC" w:rsidRPr="00DA4B0A">
        <w:rPr>
          <w:rFonts w:ascii="Times New Roman" w:eastAsia="Times New Roman" w:hAnsi="Times New Roman" w:cs="Times New Roman"/>
        </w:rPr>
        <w:t xml:space="preserve"> misrepresent a tract’s true </w:t>
      </w:r>
      <w:r w:rsidR="00280D08" w:rsidRPr="00DA4B0A">
        <w:rPr>
          <w:rFonts w:ascii="Times New Roman" w:eastAsia="Times New Roman" w:hAnsi="Times New Roman" w:cs="Times New Roman"/>
        </w:rPr>
        <w:t>economic well-being,</w:t>
      </w:r>
      <w:r w:rsidR="004556DC" w:rsidRPr="00DA4B0A">
        <w:rPr>
          <w:rFonts w:ascii="Times New Roman" w:eastAsia="Times New Roman" w:hAnsi="Times New Roman" w:cs="Times New Roman"/>
        </w:rPr>
        <w:t xml:space="preserve"> especially </w:t>
      </w:r>
      <w:r w:rsidR="00132CE0" w:rsidRPr="00DA4B0A">
        <w:rPr>
          <w:rFonts w:ascii="Times New Roman" w:eastAsia="Times New Roman" w:hAnsi="Times New Roman" w:cs="Times New Roman"/>
        </w:rPr>
        <w:t>amid</w:t>
      </w:r>
      <w:r w:rsidR="004556DC" w:rsidRPr="00DA4B0A">
        <w:rPr>
          <w:rFonts w:ascii="Times New Roman" w:eastAsia="Times New Roman" w:hAnsi="Times New Roman" w:cs="Times New Roman"/>
        </w:rPr>
        <w:t xml:space="preserve"> </w:t>
      </w:r>
      <w:r w:rsidR="00132CE0" w:rsidRPr="00DA4B0A">
        <w:rPr>
          <w:rFonts w:ascii="Times New Roman" w:eastAsia="Times New Roman" w:hAnsi="Times New Roman" w:cs="Times New Roman"/>
        </w:rPr>
        <w:t>rising</w:t>
      </w:r>
      <w:r w:rsidR="00280D08" w:rsidRPr="00DA4B0A">
        <w:rPr>
          <w:rFonts w:ascii="Times New Roman" w:eastAsia="Times New Roman" w:hAnsi="Times New Roman" w:cs="Times New Roman"/>
        </w:rPr>
        <w:t xml:space="preserve"> housing costs</w:t>
      </w:r>
      <w:r w:rsidR="004556DC" w:rsidRPr="00DA4B0A">
        <w:rPr>
          <w:rFonts w:ascii="Times New Roman" w:eastAsia="Times New Roman" w:hAnsi="Times New Roman" w:cs="Times New Roman"/>
        </w:rPr>
        <w:t xml:space="preserve"> and not accounting for multi-earner households</w:t>
      </w:r>
      <w:r w:rsidR="00280D08" w:rsidRPr="00DA4B0A">
        <w:rPr>
          <w:rFonts w:ascii="Times New Roman" w:eastAsia="Times New Roman" w:hAnsi="Times New Roman" w:cs="Times New Roman"/>
        </w:rPr>
        <w:t>.</w:t>
      </w:r>
      <w:r w:rsidR="00280D08">
        <w:rPr>
          <w:rFonts w:ascii="Times New Roman" w:eastAsia="Times New Roman" w:hAnsi="Times New Roman" w:cs="Times New Roman"/>
        </w:rPr>
        <w:t xml:space="preserve"> </w:t>
      </w:r>
      <w:r w:rsidR="004556DC">
        <w:rPr>
          <w:rFonts w:ascii="Times New Roman" w:eastAsia="Times New Roman" w:hAnsi="Times New Roman" w:cs="Times New Roman"/>
        </w:rPr>
        <w:t xml:space="preserve">This </w:t>
      </w:r>
      <w:r w:rsidR="00132CE0">
        <w:rPr>
          <w:rFonts w:ascii="Times New Roman" w:eastAsia="Times New Roman" w:hAnsi="Times New Roman" w:cs="Times New Roman"/>
        </w:rPr>
        <w:t>approach could</w:t>
      </w:r>
      <w:r w:rsidR="004556DC">
        <w:rPr>
          <w:rFonts w:ascii="Times New Roman" w:eastAsia="Times New Roman" w:hAnsi="Times New Roman" w:cs="Times New Roman"/>
        </w:rPr>
        <w:t xml:space="preserve"> understate a tract’s </w:t>
      </w:r>
      <w:r w:rsidR="00132CE0">
        <w:rPr>
          <w:rFonts w:ascii="Times New Roman" w:eastAsia="Times New Roman" w:hAnsi="Times New Roman" w:cs="Times New Roman"/>
        </w:rPr>
        <w:t xml:space="preserve">actual </w:t>
      </w:r>
      <w:r w:rsidR="004556DC">
        <w:rPr>
          <w:rFonts w:ascii="Times New Roman" w:eastAsia="Times New Roman" w:hAnsi="Times New Roman" w:cs="Times New Roman"/>
        </w:rPr>
        <w:t>economic well-being.</w:t>
      </w:r>
      <w:r w:rsidRPr="0066352F">
        <w:rPr>
          <w:rFonts w:ascii="Times New Roman" w:eastAsia="Times New Roman" w:hAnsi="Times New Roman" w:cs="Times New Roman"/>
        </w:rPr>
        <w:t xml:space="preserve"> Additionally, important predictors such as crime rates and the share of residents without a high school diploma were not included, which may limit the explanatory power of the model. While quantile regression helped mitigate the influence of outliers, the </w:t>
      </w:r>
      <w:r w:rsidRPr="0066352F">
        <w:rPr>
          <w:rFonts w:ascii="Times New Roman" w:eastAsia="Times New Roman" w:hAnsi="Times New Roman" w:cs="Times New Roman"/>
        </w:rPr>
        <w:lastRenderedPageBreak/>
        <w:t xml:space="preserve">conditional predictions </w:t>
      </w:r>
      <w:r>
        <w:rPr>
          <w:rFonts w:ascii="Times New Roman" w:eastAsia="Times New Roman" w:hAnsi="Times New Roman" w:cs="Times New Roman"/>
        </w:rPr>
        <w:t>were close together (10-16 points)</w:t>
      </w:r>
      <w:r w:rsidRPr="0066352F">
        <w:rPr>
          <w:rFonts w:ascii="Times New Roman" w:eastAsia="Times New Roman" w:hAnsi="Times New Roman" w:cs="Times New Roman"/>
        </w:rPr>
        <w:t>, suggesting that extreme</w:t>
      </w:r>
      <w:r>
        <w:rPr>
          <w:rFonts w:ascii="Times New Roman" w:eastAsia="Times New Roman" w:hAnsi="Times New Roman" w:cs="Times New Roman"/>
        </w:rPr>
        <w:t xml:space="preserve"> positive outliers</w:t>
      </w:r>
      <w:r w:rsidRPr="0066352F">
        <w:rPr>
          <w:rFonts w:ascii="Times New Roman" w:eastAsia="Times New Roman" w:hAnsi="Times New Roman" w:cs="Times New Roman"/>
        </w:rPr>
        <w:t xml:space="preserve"> skewed the index.</w:t>
      </w:r>
      <w:r>
        <w:rPr>
          <w:rFonts w:ascii="Times New Roman" w:eastAsia="Times New Roman" w:hAnsi="Times New Roman" w:cs="Times New Roman"/>
        </w:rPr>
        <w:t xml:space="preserve"> </w:t>
      </w:r>
      <w:r w:rsidR="00C20E4A" w:rsidRPr="00C20E4A">
        <w:rPr>
          <w:rFonts w:ascii="Times New Roman" w:eastAsia="Times New Roman" w:hAnsi="Times New Roman" w:cs="Times New Roman"/>
        </w:rPr>
        <w:t xml:space="preserve">Finally, while the study captures short- to mid-term effects, it cannot yet assess long-term impacts beyond the </w:t>
      </w:r>
      <w:r w:rsidR="002D7CD3">
        <w:rPr>
          <w:rFonts w:ascii="Times New Roman" w:eastAsia="Times New Roman" w:hAnsi="Times New Roman" w:cs="Times New Roman"/>
        </w:rPr>
        <w:t>3</w:t>
      </w:r>
      <w:r w:rsidR="002D7CD3" w:rsidRPr="00C20E4A">
        <w:rPr>
          <w:rFonts w:ascii="Times New Roman" w:eastAsia="Times New Roman" w:hAnsi="Times New Roman" w:cs="Times New Roman"/>
        </w:rPr>
        <w:t>–5-year</w:t>
      </w:r>
      <w:r w:rsidR="00C20E4A" w:rsidRPr="00C20E4A">
        <w:rPr>
          <w:rFonts w:ascii="Times New Roman" w:eastAsia="Times New Roman" w:hAnsi="Times New Roman" w:cs="Times New Roman"/>
        </w:rPr>
        <w:t xml:space="preserve"> mark</w:t>
      </w:r>
      <w:r w:rsidR="007D7D11">
        <w:rPr>
          <w:rFonts w:ascii="Times New Roman" w:eastAsia="Times New Roman" w:hAnsi="Times New Roman" w:cs="Times New Roman"/>
        </w:rPr>
        <w:t xml:space="preserve">, </w:t>
      </w:r>
      <w:r w:rsidR="002D7CD3">
        <w:rPr>
          <w:rFonts w:ascii="Times New Roman" w:eastAsia="Times New Roman" w:hAnsi="Times New Roman" w:cs="Times New Roman"/>
        </w:rPr>
        <w:t>as the definition of OZ implementation varies.</w:t>
      </w:r>
    </w:p>
    <w:p w14:paraId="462E3341" w14:textId="054871EB" w:rsidR="00A92703" w:rsidRDefault="00A92703" w:rsidP="002D7CD3">
      <w:pPr>
        <w:spacing w:line="480" w:lineRule="auto"/>
        <w:ind w:firstLine="360"/>
        <w:rPr>
          <w:rFonts w:ascii="Times New Roman" w:eastAsia="Times New Roman" w:hAnsi="Times New Roman" w:cs="Times New Roman"/>
        </w:rPr>
      </w:pPr>
      <w:r w:rsidRPr="00A92703">
        <w:rPr>
          <w:rFonts w:ascii="Times New Roman" w:eastAsia="Times New Roman" w:hAnsi="Times New Roman" w:cs="Times New Roman"/>
        </w:rPr>
        <w:t>As more post-implementation data become available, future research should assess the long-term effects of OZ designation</w:t>
      </w:r>
      <w:r w:rsidR="000D7D64">
        <w:rPr>
          <w:rFonts w:ascii="Times New Roman" w:eastAsia="Times New Roman" w:hAnsi="Times New Roman" w:cs="Times New Roman"/>
        </w:rPr>
        <w:t xml:space="preserve">, </w:t>
      </w:r>
      <w:r w:rsidRPr="00A92703">
        <w:rPr>
          <w:rFonts w:ascii="Times New Roman" w:eastAsia="Times New Roman" w:hAnsi="Times New Roman" w:cs="Times New Roman"/>
        </w:rPr>
        <w:t>ideally over a 5- to 10-year period. Adding</w:t>
      </w:r>
      <w:r w:rsidR="000D7D64">
        <w:rPr>
          <w:rFonts w:ascii="Times New Roman" w:eastAsia="Times New Roman" w:hAnsi="Times New Roman" w:cs="Times New Roman"/>
        </w:rPr>
        <w:t xml:space="preserve"> more covariates and composite variables to the DV index</w:t>
      </w:r>
      <w:r w:rsidRPr="00A92703">
        <w:rPr>
          <w:rFonts w:ascii="Times New Roman" w:eastAsia="Times New Roman" w:hAnsi="Times New Roman" w:cs="Times New Roman"/>
        </w:rPr>
        <w:t xml:space="preserve"> such as crime rates, real estate trends, and small business growth could improve the model’s </w:t>
      </w:r>
      <w:r w:rsidR="000D7D64">
        <w:rPr>
          <w:rFonts w:ascii="Times New Roman" w:eastAsia="Times New Roman" w:hAnsi="Times New Roman" w:cs="Times New Roman"/>
        </w:rPr>
        <w:t xml:space="preserve">variance and </w:t>
      </w:r>
      <w:r w:rsidR="00911DFC">
        <w:rPr>
          <w:rFonts w:ascii="Times New Roman" w:eastAsia="Times New Roman" w:hAnsi="Times New Roman" w:cs="Times New Roman"/>
        </w:rPr>
        <w:t>coefficients</w:t>
      </w:r>
      <w:r w:rsidRPr="00A92703">
        <w:rPr>
          <w:rFonts w:ascii="Times New Roman" w:eastAsia="Times New Roman" w:hAnsi="Times New Roman" w:cs="Times New Roman"/>
        </w:rPr>
        <w:t xml:space="preserve">. The economic well-being index itself can be refined to better reflect regional or local contexts. Its flexibility makes it suitable for adaptation in city-specific studies, such as for Akron, OH. This adaptability enables future research to capture the </w:t>
      </w:r>
      <w:r w:rsidR="00911DFC">
        <w:rPr>
          <w:rFonts w:ascii="Times New Roman" w:eastAsia="Times New Roman" w:hAnsi="Times New Roman" w:cs="Times New Roman"/>
        </w:rPr>
        <w:t>full breadth</w:t>
      </w:r>
      <w:r w:rsidRPr="00A92703">
        <w:rPr>
          <w:rFonts w:ascii="Times New Roman" w:eastAsia="Times New Roman" w:hAnsi="Times New Roman" w:cs="Times New Roman"/>
        </w:rPr>
        <w:t xml:space="preserve"> of</w:t>
      </w:r>
      <w:r w:rsidR="00911DFC">
        <w:rPr>
          <w:rFonts w:ascii="Times New Roman" w:eastAsia="Times New Roman" w:hAnsi="Times New Roman" w:cs="Times New Roman"/>
        </w:rPr>
        <w:t xml:space="preserve"> what defines</w:t>
      </w:r>
      <w:r w:rsidRPr="00A92703">
        <w:rPr>
          <w:rFonts w:ascii="Times New Roman" w:eastAsia="Times New Roman" w:hAnsi="Times New Roman" w:cs="Times New Roman"/>
        </w:rPr>
        <w:t xml:space="preserve"> economic well-being while preserving its conceptual integrity.</w:t>
      </w:r>
    </w:p>
    <w:p w14:paraId="5F7F952A" w14:textId="3260C9E5" w:rsidR="003F7544" w:rsidRDefault="003F7544" w:rsidP="00205D01">
      <w:pPr>
        <w:spacing w:line="480" w:lineRule="auto"/>
        <w:ind w:firstLine="360"/>
        <w:rPr>
          <w:rFonts w:ascii="Times New Roman" w:eastAsia="Times New Roman" w:hAnsi="Times New Roman" w:cs="Times New Roman"/>
        </w:rPr>
      </w:pPr>
      <w:r>
        <w:rPr>
          <w:rFonts w:ascii="Times New Roman" w:eastAsia="Times New Roman" w:hAnsi="Times New Roman" w:cs="Times New Roman"/>
        </w:rPr>
        <w:t xml:space="preserve">The </w:t>
      </w:r>
      <w:r w:rsidR="00827D90">
        <w:rPr>
          <w:rFonts w:ascii="Times New Roman" w:eastAsia="Times New Roman" w:hAnsi="Times New Roman" w:cs="Times New Roman"/>
        </w:rPr>
        <w:t xml:space="preserve">nation-wide OLS </w:t>
      </w:r>
      <w:proofErr w:type="spellStart"/>
      <w:r w:rsidR="00827D90">
        <w:rPr>
          <w:rFonts w:ascii="Times New Roman" w:eastAsia="Times New Roman" w:hAnsi="Times New Roman" w:cs="Times New Roman"/>
        </w:rPr>
        <w:t>DiD</w:t>
      </w:r>
      <w:proofErr w:type="spellEnd"/>
      <w:r w:rsidR="00827D90">
        <w:rPr>
          <w:rFonts w:ascii="Times New Roman" w:eastAsia="Times New Roman" w:hAnsi="Times New Roman" w:cs="Times New Roman"/>
        </w:rPr>
        <w:t xml:space="preserve"> model rejects the</w:t>
      </w:r>
      <w:r w:rsidR="002B408F">
        <w:rPr>
          <w:rFonts w:ascii="Times New Roman" w:eastAsia="Times New Roman" w:hAnsi="Times New Roman" w:cs="Times New Roman"/>
        </w:rPr>
        <w:t xml:space="preserve"> primary</w:t>
      </w:r>
      <w:r w:rsidR="00827D90">
        <w:rPr>
          <w:rFonts w:ascii="Times New Roman" w:eastAsia="Times New Roman" w:hAnsi="Times New Roman" w:cs="Times New Roman"/>
        </w:rPr>
        <w:t xml:space="preserve"> null hypothesis that the OZ designation for a tract did not increase economic growth. The p-value for the </w:t>
      </w:r>
      <w:proofErr w:type="spellStart"/>
      <w:r w:rsidR="00827D90">
        <w:rPr>
          <w:rFonts w:ascii="Times New Roman" w:eastAsia="Times New Roman" w:hAnsi="Times New Roman" w:cs="Times New Roman"/>
        </w:rPr>
        <w:t>DiD</w:t>
      </w:r>
      <w:proofErr w:type="spellEnd"/>
      <w:r w:rsidR="00827D90">
        <w:rPr>
          <w:rFonts w:ascii="Times New Roman" w:eastAsia="Times New Roman" w:hAnsi="Times New Roman" w:cs="Times New Roman"/>
        </w:rPr>
        <w:t xml:space="preserve"> effect was highly significant at the 1% level when compared to non-OZ tracts across the two time periods. The quantile regression </w:t>
      </w:r>
      <w:proofErr w:type="spellStart"/>
      <w:r w:rsidR="00827D90">
        <w:rPr>
          <w:rFonts w:ascii="Times New Roman" w:eastAsia="Times New Roman" w:hAnsi="Times New Roman" w:cs="Times New Roman"/>
        </w:rPr>
        <w:t>DiD</w:t>
      </w:r>
      <w:proofErr w:type="spellEnd"/>
      <w:r w:rsidR="00827D90">
        <w:rPr>
          <w:rFonts w:ascii="Times New Roman" w:eastAsia="Times New Roman" w:hAnsi="Times New Roman" w:cs="Times New Roman"/>
        </w:rPr>
        <w:t xml:space="preserve"> models</w:t>
      </w:r>
      <w:r w:rsidR="00250CA3">
        <w:rPr>
          <w:rFonts w:ascii="Times New Roman" w:eastAsia="Times New Roman" w:hAnsi="Times New Roman" w:cs="Times New Roman"/>
        </w:rPr>
        <w:t xml:space="preserve"> reject the null hypothesis as well. The </w:t>
      </w:r>
      <w:proofErr w:type="spellStart"/>
      <w:r w:rsidR="00250CA3">
        <w:rPr>
          <w:rFonts w:ascii="Times New Roman" w:eastAsia="Times New Roman" w:hAnsi="Times New Roman" w:cs="Times New Roman"/>
        </w:rPr>
        <w:t>DiD</w:t>
      </w:r>
      <w:proofErr w:type="spellEnd"/>
      <w:r w:rsidR="00250CA3">
        <w:rPr>
          <w:rFonts w:ascii="Times New Roman" w:eastAsia="Times New Roman" w:hAnsi="Times New Roman" w:cs="Times New Roman"/>
        </w:rPr>
        <w:t xml:space="preserve"> coefficients</w:t>
      </w:r>
      <w:r w:rsidR="00827D90">
        <w:rPr>
          <w:rFonts w:ascii="Times New Roman" w:eastAsia="Times New Roman" w:hAnsi="Times New Roman" w:cs="Times New Roman"/>
        </w:rPr>
        <w:t xml:space="preserve"> were</w:t>
      </w:r>
      <w:r w:rsidR="00250CA3">
        <w:rPr>
          <w:rFonts w:ascii="Times New Roman" w:eastAsia="Times New Roman" w:hAnsi="Times New Roman" w:cs="Times New Roman"/>
        </w:rPr>
        <w:t xml:space="preserve"> positive and</w:t>
      </w:r>
      <w:r w:rsidR="00827D90">
        <w:rPr>
          <w:rFonts w:ascii="Times New Roman" w:eastAsia="Times New Roman" w:hAnsi="Times New Roman" w:cs="Times New Roman"/>
        </w:rPr>
        <w:t xml:space="preserve"> highly significant at the 1% level for all three measured outcome percentiles in the conditional distribution. </w:t>
      </w:r>
      <w:r w:rsidR="00D95A15">
        <w:rPr>
          <w:rFonts w:ascii="Times New Roman" w:eastAsia="Times New Roman" w:hAnsi="Times New Roman" w:cs="Times New Roman"/>
        </w:rPr>
        <w:t xml:space="preserve">Combined, the models provide evidence that the OZ program did benefit OZ designated tracts’ economic well-being. </w:t>
      </w:r>
      <w:r w:rsidR="002B408F">
        <w:rPr>
          <w:rFonts w:ascii="Times New Roman" w:eastAsia="Times New Roman" w:hAnsi="Times New Roman" w:cs="Times New Roman"/>
        </w:rPr>
        <w:t xml:space="preserve">The OLS </w:t>
      </w:r>
      <w:proofErr w:type="spellStart"/>
      <w:r w:rsidR="002B408F">
        <w:rPr>
          <w:rFonts w:ascii="Times New Roman" w:eastAsia="Times New Roman" w:hAnsi="Times New Roman" w:cs="Times New Roman"/>
        </w:rPr>
        <w:t>DiD</w:t>
      </w:r>
      <w:proofErr w:type="spellEnd"/>
      <w:r w:rsidR="002B408F">
        <w:rPr>
          <w:rFonts w:ascii="Times New Roman" w:eastAsia="Times New Roman" w:hAnsi="Times New Roman" w:cs="Times New Roman"/>
        </w:rPr>
        <w:t xml:space="preserve"> model for Akron, OH metro area</w:t>
      </w:r>
      <w:r w:rsidR="006607C2">
        <w:rPr>
          <w:rFonts w:ascii="Times New Roman" w:eastAsia="Times New Roman" w:hAnsi="Times New Roman" w:cs="Times New Roman"/>
        </w:rPr>
        <w:t xml:space="preserve"> had a positive </w:t>
      </w:r>
      <w:proofErr w:type="spellStart"/>
      <w:r w:rsidR="006607C2">
        <w:rPr>
          <w:rFonts w:ascii="Times New Roman" w:eastAsia="Times New Roman" w:hAnsi="Times New Roman" w:cs="Times New Roman"/>
        </w:rPr>
        <w:t>DiD</w:t>
      </w:r>
      <w:proofErr w:type="spellEnd"/>
      <w:r w:rsidR="006607C2">
        <w:rPr>
          <w:rFonts w:ascii="Times New Roman" w:eastAsia="Times New Roman" w:hAnsi="Times New Roman" w:cs="Times New Roman"/>
        </w:rPr>
        <w:t xml:space="preserve"> coefficient, but it was</w:t>
      </w:r>
      <w:r w:rsidR="002B408F">
        <w:rPr>
          <w:rFonts w:ascii="Times New Roman" w:eastAsia="Times New Roman" w:hAnsi="Times New Roman" w:cs="Times New Roman"/>
        </w:rPr>
        <w:t xml:space="preserve"> not significant</w:t>
      </w:r>
      <w:r w:rsidR="006607C2">
        <w:rPr>
          <w:rFonts w:ascii="Times New Roman" w:eastAsia="Times New Roman" w:hAnsi="Times New Roman" w:cs="Times New Roman"/>
        </w:rPr>
        <w:t>.</w:t>
      </w:r>
      <w:r w:rsidR="00B73569">
        <w:rPr>
          <w:rFonts w:ascii="Times New Roman" w:eastAsia="Times New Roman" w:hAnsi="Times New Roman" w:cs="Times New Roman"/>
        </w:rPr>
        <w:t xml:space="preserve"> There is little evidence for the secondary hypothesis since</w:t>
      </w:r>
      <w:r w:rsidR="006607C2">
        <w:rPr>
          <w:rFonts w:ascii="Times New Roman" w:eastAsia="Times New Roman" w:hAnsi="Times New Roman" w:cs="Times New Roman"/>
        </w:rPr>
        <w:t xml:space="preserve"> </w:t>
      </w:r>
      <w:r w:rsidR="00B73569">
        <w:rPr>
          <w:rFonts w:ascii="Times New Roman" w:eastAsia="Times New Roman" w:hAnsi="Times New Roman" w:cs="Times New Roman"/>
        </w:rPr>
        <w:t>t</w:t>
      </w:r>
      <w:r w:rsidR="006607C2">
        <w:rPr>
          <w:rFonts w:ascii="Times New Roman" w:eastAsia="Times New Roman" w:hAnsi="Times New Roman" w:cs="Times New Roman"/>
        </w:rPr>
        <w:t>he</w:t>
      </w:r>
      <w:r w:rsidR="00B73569">
        <w:rPr>
          <w:rFonts w:ascii="Times New Roman" w:eastAsia="Times New Roman" w:hAnsi="Times New Roman" w:cs="Times New Roman"/>
        </w:rPr>
        <w:t xml:space="preserve"> localized</w:t>
      </w:r>
      <w:r w:rsidR="006607C2">
        <w:rPr>
          <w:rFonts w:ascii="Times New Roman" w:eastAsia="Times New Roman" w:hAnsi="Times New Roman" w:cs="Times New Roman"/>
        </w:rPr>
        <w:t xml:space="preserve"> </w:t>
      </w:r>
      <w:r w:rsidR="002B408F">
        <w:rPr>
          <w:rFonts w:ascii="Times New Roman" w:eastAsia="Times New Roman" w:hAnsi="Times New Roman" w:cs="Times New Roman"/>
        </w:rPr>
        <w:t>model fail</w:t>
      </w:r>
      <w:r w:rsidR="006607C2">
        <w:rPr>
          <w:rFonts w:ascii="Times New Roman" w:eastAsia="Times New Roman" w:hAnsi="Times New Roman" w:cs="Times New Roman"/>
        </w:rPr>
        <w:t>ed</w:t>
      </w:r>
      <w:r w:rsidR="002B408F">
        <w:rPr>
          <w:rFonts w:ascii="Times New Roman" w:eastAsia="Times New Roman" w:hAnsi="Times New Roman" w:cs="Times New Roman"/>
        </w:rPr>
        <w:t xml:space="preserve"> to reject the secondary null hypothesis. </w:t>
      </w:r>
    </w:p>
    <w:p w14:paraId="243844B9" w14:textId="77777777" w:rsidR="00342A19" w:rsidRDefault="00342A19" w:rsidP="00205D01">
      <w:pPr>
        <w:spacing w:line="480" w:lineRule="auto"/>
        <w:ind w:firstLine="360"/>
        <w:rPr>
          <w:rFonts w:ascii="Times New Roman" w:eastAsia="Times New Roman" w:hAnsi="Times New Roman" w:cs="Times New Roman"/>
        </w:rPr>
      </w:pPr>
    </w:p>
    <w:p w14:paraId="299D739F" w14:textId="77777777" w:rsidR="006F3159" w:rsidRDefault="006F3159" w:rsidP="00205D01">
      <w:pPr>
        <w:spacing w:line="480" w:lineRule="auto"/>
        <w:ind w:firstLine="360"/>
        <w:rPr>
          <w:rFonts w:ascii="Times New Roman" w:eastAsia="Times New Roman" w:hAnsi="Times New Roman" w:cs="Times New Roman"/>
        </w:rPr>
      </w:pPr>
    </w:p>
    <w:p w14:paraId="1F749796" w14:textId="05E72DCB" w:rsidR="006F3159" w:rsidRPr="008F4705" w:rsidRDefault="00342A19" w:rsidP="008F4705">
      <w:pPr>
        <w:pStyle w:val="Heading1"/>
        <w:rPr>
          <w:rFonts w:eastAsia="Times New Roman"/>
        </w:rPr>
      </w:pPr>
      <w:bookmarkStart w:id="38" w:name="_Toc197889236"/>
      <w:r w:rsidRPr="00900FAD">
        <w:rPr>
          <w:rFonts w:eastAsia="Times New Roman"/>
        </w:rPr>
        <w:lastRenderedPageBreak/>
        <w:t>References</w:t>
      </w:r>
      <w:bookmarkEnd w:id="38"/>
    </w:p>
    <w:p w14:paraId="5C500F3A" w14:textId="77777777" w:rsidR="00D711E5" w:rsidRDefault="00D711E5" w:rsidP="00D711E5">
      <w:pPr>
        <w:pStyle w:val="NormalWeb"/>
        <w:ind w:left="567" w:hanging="567"/>
      </w:pPr>
      <w:r>
        <w:t xml:space="preserve">115th Congress. “Public Law 115–97—Dec. 22, 2017.” PUBLIC LAW 115–97—DEC. 22, 2017, December 22, 2017. </w:t>
      </w:r>
      <w:hyperlink r:id="rId12" w:history="1">
        <w:r w:rsidRPr="00ED2556">
          <w:rPr>
            <w:rStyle w:val="Hyperlink"/>
          </w:rPr>
          <w:t>https://www.congress.gov/115/plaws/publ97/PLAW-115publ97.pdf</w:t>
        </w:r>
      </w:hyperlink>
      <w:r>
        <w:t xml:space="preserve">. </w:t>
      </w:r>
    </w:p>
    <w:p w14:paraId="2B49D508" w14:textId="77777777" w:rsidR="00D711E5" w:rsidRDefault="00D711E5" w:rsidP="00D711E5">
      <w:pPr>
        <w:pStyle w:val="NormalWeb"/>
        <w:ind w:left="567" w:hanging="567"/>
      </w:pPr>
    </w:p>
    <w:p w14:paraId="51543FD9" w14:textId="77777777" w:rsidR="00D711E5" w:rsidRDefault="00D711E5" w:rsidP="00D711E5">
      <w:pPr>
        <w:pStyle w:val="NormalWeb"/>
        <w:ind w:left="567" w:hanging="567"/>
      </w:pPr>
      <w:r w:rsidRPr="00FC43EB">
        <w:t xml:space="preserve">Alm, James, Trey </w:t>
      </w:r>
      <w:proofErr w:type="spellStart"/>
      <w:r w:rsidRPr="00FC43EB">
        <w:t>Dronyk</w:t>
      </w:r>
      <w:proofErr w:type="spellEnd"/>
      <w:r w:rsidRPr="00FC43EB">
        <w:t xml:space="preserve">-Trosper, and Sean Larkin. “In the Land of Oz: Designating Opportunity Zones.” Public Choice 188, no. 3–4 (October 19, 2020): 503–23. </w:t>
      </w:r>
      <w:hyperlink r:id="rId13" w:history="1">
        <w:r w:rsidRPr="00765F57">
          <w:rPr>
            <w:rStyle w:val="Hyperlink"/>
          </w:rPr>
          <w:t>https://doi.org/10.1007/s11127-020-00848-9</w:t>
        </w:r>
      </w:hyperlink>
      <w:r w:rsidRPr="00FC43EB">
        <w:t>.</w:t>
      </w:r>
    </w:p>
    <w:p w14:paraId="6E6D73C1" w14:textId="77777777" w:rsidR="00D711E5" w:rsidRDefault="00D711E5" w:rsidP="00D711E5">
      <w:pPr>
        <w:pStyle w:val="NormalWeb"/>
        <w:ind w:left="567" w:hanging="567"/>
      </w:pPr>
    </w:p>
    <w:p w14:paraId="6A6BEC7F" w14:textId="77777777" w:rsidR="00D711E5" w:rsidRDefault="00D711E5" w:rsidP="00D711E5">
      <w:pPr>
        <w:pStyle w:val="NormalWeb"/>
        <w:ind w:left="567" w:hanging="567"/>
      </w:pPr>
      <w:proofErr w:type="spellStart"/>
      <w:r w:rsidRPr="00FC43EB">
        <w:t>Arefeva</w:t>
      </w:r>
      <w:proofErr w:type="spellEnd"/>
      <w:r w:rsidRPr="00FC43EB">
        <w:t xml:space="preserve">, Alina, Morris A. Davis, Andra C. Ghent, and </w:t>
      </w:r>
      <w:proofErr w:type="spellStart"/>
      <w:r w:rsidRPr="00FC43EB">
        <w:t>Minseon</w:t>
      </w:r>
      <w:proofErr w:type="spellEnd"/>
      <w:r w:rsidRPr="00FC43EB">
        <w:t xml:space="preserve"> Park. “The Effect of Capital Gains Taxes on Business Creation and Employment: The Case of Opportunity Zones.” Management Science, September 17, 2024. </w:t>
      </w:r>
      <w:hyperlink r:id="rId14" w:history="1">
        <w:r w:rsidRPr="00765F57">
          <w:rPr>
            <w:rStyle w:val="Hyperlink"/>
          </w:rPr>
          <w:t>https://doi.org/10.1287/mnsc.2022.03223</w:t>
        </w:r>
      </w:hyperlink>
      <w:r w:rsidRPr="00FC43EB">
        <w:t>.</w:t>
      </w:r>
    </w:p>
    <w:p w14:paraId="01741947" w14:textId="77777777" w:rsidR="00D711E5" w:rsidRDefault="00D711E5" w:rsidP="00D711E5">
      <w:pPr>
        <w:pStyle w:val="NormalWeb"/>
        <w:ind w:left="567" w:hanging="567"/>
      </w:pPr>
    </w:p>
    <w:p w14:paraId="7EB34340" w14:textId="77777777" w:rsidR="00D711E5" w:rsidRDefault="00D711E5" w:rsidP="00D711E5">
      <w:pPr>
        <w:pStyle w:val="NormalWeb"/>
        <w:ind w:left="567" w:hanging="567"/>
      </w:pPr>
      <w:r>
        <w:t xml:space="preserve">Bureau, United States Census. “2023: ACS 1-Year Estimates Subject Tables.” Explore census data, 2023. </w:t>
      </w:r>
      <w:hyperlink r:id="rId15" w:history="1">
        <w:r w:rsidRPr="00F34C72">
          <w:rPr>
            <w:rStyle w:val="Hyperlink"/>
          </w:rPr>
          <w:t>https://data.census.gov/map?q=EMP&amp;layer=VT_2023_040_00_PP_D1&amp;loc=43.3751%2C-113.1138%2Cz2.6270</w:t>
        </w:r>
      </w:hyperlink>
      <w:r>
        <w:t xml:space="preserve">. </w:t>
      </w:r>
    </w:p>
    <w:p w14:paraId="30F8D33A" w14:textId="77777777" w:rsidR="0041479B" w:rsidRDefault="0041479B" w:rsidP="00D711E5">
      <w:pPr>
        <w:pStyle w:val="NormalWeb"/>
        <w:ind w:left="567" w:hanging="567"/>
      </w:pPr>
    </w:p>
    <w:p w14:paraId="36730289" w14:textId="2D1DD72D" w:rsidR="0041479B" w:rsidRDefault="0041479B" w:rsidP="0041479B">
      <w:pPr>
        <w:pStyle w:val="NormalWeb"/>
        <w:ind w:left="567" w:hanging="567"/>
      </w:pPr>
      <w:r w:rsidRPr="00223A4B">
        <w:t xml:space="preserve">Chen, </w:t>
      </w:r>
      <w:proofErr w:type="spellStart"/>
      <w:r w:rsidRPr="00223A4B">
        <w:t>Jiafeng</w:t>
      </w:r>
      <w:proofErr w:type="spellEnd"/>
      <w:r w:rsidRPr="00223A4B">
        <w:t xml:space="preserve">, Edward Glaeser, and David Wessel. “The (Non-) Effect of Opportunity Zones on Housing Prices.” NBER WORKING PAPER SERIES, NATIONAL BUREAU OF ECONOMIC RESEARCH, December 2019. </w:t>
      </w:r>
      <w:hyperlink r:id="rId16" w:history="1">
        <w:r w:rsidRPr="00ED2556">
          <w:rPr>
            <w:rStyle w:val="Hyperlink"/>
          </w:rPr>
          <w:t>https://doi.org/10.3386/w26587</w:t>
        </w:r>
      </w:hyperlink>
      <w:r w:rsidRPr="00223A4B">
        <w:t>.</w:t>
      </w:r>
    </w:p>
    <w:p w14:paraId="3A231D26" w14:textId="77777777" w:rsidR="00D711E5" w:rsidRDefault="00D711E5" w:rsidP="00D711E5">
      <w:pPr>
        <w:pStyle w:val="NormalWeb"/>
        <w:ind w:left="567" w:hanging="567"/>
      </w:pPr>
    </w:p>
    <w:p w14:paraId="6312170E" w14:textId="77777777" w:rsidR="00D711E5" w:rsidRDefault="00D711E5" w:rsidP="00D711E5">
      <w:pPr>
        <w:pStyle w:val="NormalWeb"/>
        <w:ind w:left="567" w:hanging="567"/>
      </w:pPr>
      <w:bookmarkStart w:id="39" w:name="_Hlk194242857"/>
      <w:r w:rsidRPr="00223A4B">
        <w:t xml:space="preserve">Corinth, Kevin, and Naomi Feldman. “Are Opportunity Zones an Effective Place-Based Policy?” Journal of Economic Perspectives 38, no. 3 (August 1, 2024): 113–36. </w:t>
      </w:r>
      <w:hyperlink r:id="rId17" w:history="1">
        <w:r w:rsidRPr="00ED2556">
          <w:rPr>
            <w:rStyle w:val="Hyperlink"/>
          </w:rPr>
          <w:t>https://doi.org/10.1257/jep.38.3.113</w:t>
        </w:r>
      </w:hyperlink>
      <w:bookmarkEnd w:id="39"/>
      <w:r w:rsidRPr="00223A4B">
        <w:t>.</w:t>
      </w:r>
    </w:p>
    <w:p w14:paraId="5A523F99" w14:textId="77777777" w:rsidR="00D711E5" w:rsidRDefault="00D711E5" w:rsidP="00D711E5">
      <w:pPr>
        <w:pStyle w:val="NormalWeb"/>
        <w:ind w:left="567" w:hanging="567"/>
      </w:pPr>
    </w:p>
    <w:p w14:paraId="295444A1" w14:textId="77777777" w:rsidR="00D711E5" w:rsidRDefault="00D711E5" w:rsidP="00D711E5">
      <w:pPr>
        <w:pStyle w:val="NormalWeb"/>
        <w:ind w:left="567" w:hanging="567"/>
      </w:pPr>
      <w:bookmarkStart w:id="40" w:name="_Hlk194243500"/>
      <w:r w:rsidRPr="000C09D3">
        <w:t>Eastman, Scott, and Nicole Kaeding. “Opportunity Zones: What We Know and What We Don’t.” Tax Foundation, January 2019.</w:t>
      </w:r>
    </w:p>
    <w:p w14:paraId="67CA7DB4" w14:textId="77777777" w:rsidR="00A06F8D" w:rsidRDefault="00A06F8D" w:rsidP="00D711E5">
      <w:pPr>
        <w:pStyle w:val="NormalWeb"/>
        <w:ind w:left="567" w:hanging="567"/>
      </w:pPr>
    </w:p>
    <w:p w14:paraId="37A9463D" w14:textId="77777777" w:rsidR="00A06F8D" w:rsidRPr="00842E58" w:rsidRDefault="00A06F8D" w:rsidP="00A06F8D">
      <w:pPr>
        <w:pStyle w:val="NormalWeb"/>
        <w:ind w:left="720" w:hanging="720"/>
      </w:pPr>
      <w:r w:rsidRPr="00842E58">
        <w:t xml:space="preserve">Fikri, Kenan, and Benjamin Glasner. “Are Opportunity Zones Working? What the Literature Tells Us.” </w:t>
      </w:r>
      <w:r w:rsidRPr="00842E58">
        <w:rPr>
          <w:i/>
          <w:iCs/>
        </w:rPr>
        <w:t>Economic Innovation Group</w:t>
      </w:r>
      <w:r w:rsidRPr="00842E58">
        <w:t xml:space="preserve">, October 2023. </w:t>
      </w:r>
    </w:p>
    <w:bookmarkEnd w:id="40"/>
    <w:p w14:paraId="2FDD4434" w14:textId="77777777" w:rsidR="00D711E5" w:rsidRDefault="00D711E5" w:rsidP="00F445AA">
      <w:pPr>
        <w:pStyle w:val="NormalWeb"/>
        <w:ind w:firstLine="0"/>
      </w:pPr>
    </w:p>
    <w:p w14:paraId="46E82C1E" w14:textId="77777777" w:rsidR="00D711E5" w:rsidRDefault="00D711E5" w:rsidP="00D711E5">
      <w:pPr>
        <w:pStyle w:val="NormalWeb"/>
        <w:ind w:left="567" w:hanging="567"/>
      </w:pPr>
      <w:r w:rsidRPr="000C09D3">
        <w:t xml:space="preserve">Frank, Mary Margaret, Jeffrey L. Hoopes, and Rebecca Lester. “What Determines Where Opportunity Knocks? Political Affiliation in the Selection of Opportunity Zones.” Journal of Public Economics 206 (December 28, 2021). </w:t>
      </w:r>
      <w:hyperlink r:id="rId18" w:history="1">
        <w:r w:rsidRPr="00ED2556">
          <w:rPr>
            <w:rStyle w:val="Hyperlink"/>
          </w:rPr>
          <w:t>https://doi.org/10.2139/ssrn.3534451</w:t>
        </w:r>
      </w:hyperlink>
      <w:r w:rsidRPr="000C09D3">
        <w:t>.</w:t>
      </w:r>
    </w:p>
    <w:p w14:paraId="736CA100" w14:textId="77777777" w:rsidR="00D711E5" w:rsidRDefault="00D711E5" w:rsidP="00D711E5">
      <w:pPr>
        <w:pStyle w:val="NormalWeb"/>
        <w:ind w:left="567" w:hanging="567"/>
      </w:pPr>
    </w:p>
    <w:p w14:paraId="6B1EEFFF" w14:textId="43E134FE" w:rsidR="00D711E5" w:rsidRDefault="00D711E5" w:rsidP="00F445AA">
      <w:pPr>
        <w:pStyle w:val="NormalWeb"/>
        <w:ind w:left="567" w:hanging="567"/>
      </w:pPr>
      <w:r w:rsidRPr="000C09D3">
        <w:t xml:space="preserve">Freedman, Matthew, Shantanu Khanna, and David Neumark. “Jue Insight: The Impacts of Opportunity Zones on Zone Residents.” Journal of Urban Economics 133 (March 2021). </w:t>
      </w:r>
      <w:hyperlink r:id="rId19" w:history="1">
        <w:r w:rsidRPr="00ED2556">
          <w:rPr>
            <w:rStyle w:val="Hyperlink"/>
          </w:rPr>
          <w:t>https://doi.org/10.3386/w28573</w:t>
        </w:r>
      </w:hyperlink>
      <w:r w:rsidRPr="000C09D3">
        <w:t>.</w:t>
      </w:r>
    </w:p>
    <w:p w14:paraId="21552673" w14:textId="77777777" w:rsidR="00A90E2D" w:rsidRDefault="00A90E2D" w:rsidP="00F445AA">
      <w:pPr>
        <w:pStyle w:val="NormalWeb"/>
        <w:ind w:left="567" w:hanging="567"/>
      </w:pPr>
    </w:p>
    <w:p w14:paraId="06DB1569" w14:textId="5CF40B73" w:rsidR="00A90E2D" w:rsidRPr="00A90E2D" w:rsidRDefault="00A90E2D" w:rsidP="00A90E2D">
      <w:pPr>
        <w:pStyle w:val="NormalWeb"/>
        <w:ind w:left="567" w:hanging="567"/>
      </w:pPr>
      <w:r w:rsidRPr="00A90E2D">
        <w:lastRenderedPageBreak/>
        <w:t>Hlavac, Marek (2022). stargazer: Well-Formatted Regression and Summary Statistics Tables. R</w:t>
      </w:r>
      <w:r>
        <w:t xml:space="preserve"> </w:t>
      </w:r>
      <w:r w:rsidRPr="00A90E2D">
        <w:t>package version 5.2.3. https://CRAN.R-project.org/package=stargazer</w:t>
      </w:r>
    </w:p>
    <w:p w14:paraId="52E636BC" w14:textId="77777777" w:rsidR="00A90E2D" w:rsidRDefault="00A90E2D" w:rsidP="00A90E2D">
      <w:pPr>
        <w:pStyle w:val="NormalWeb"/>
        <w:ind w:firstLine="0"/>
      </w:pPr>
    </w:p>
    <w:p w14:paraId="5B9F3F31" w14:textId="77777777" w:rsidR="00D711E5" w:rsidRPr="00CA76C9" w:rsidRDefault="00D711E5" w:rsidP="00D711E5">
      <w:pPr>
        <w:pStyle w:val="NormalWeb"/>
        <w:ind w:left="720" w:hanging="720"/>
      </w:pPr>
      <w:r w:rsidRPr="00CA76C9">
        <w:t xml:space="preserve">HUD. “Opportunity Zones.” HUD Open Data Site, July 2023. https://hudgis-hud.opendata.arcgis.com/datasets/ef143299845841f8abb95969c01f88b5_13/about. </w:t>
      </w:r>
    </w:p>
    <w:p w14:paraId="74271DDC" w14:textId="77777777" w:rsidR="00D711E5" w:rsidRDefault="00D711E5" w:rsidP="008713E4">
      <w:pPr>
        <w:pStyle w:val="NormalWeb"/>
        <w:ind w:firstLine="0"/>
      </w:pPr>
    </w:p>
    <w:p w14:paraId="186F506F" w14:textId="77777777" w:rsidR="00D711E5" w:rsidRDefault="00D711E5" w:rsidP="00D711E5">
      <w:pPr>
        <w:pStyle w:val="NormalWeb"/>
        <w:ind w:left="567" w:hanging="567"/>
      </w:pPr>
      <w:r w:rsidRPr="000C09D3">
        <w:t xml:space="preserve">IRS. “Opportunity Zones.” Internal Revenue Service, April 2022. </w:t>
      </w:r>
      <w:hyperlink r:id="rId20" w:history="1">
        <w:r w:rsidRPr="00765F57">
          <w:rPr>
            <w:rStyle w:val="Hyperlink"/>
          </w:rPr>
          <w:t>https://www.irs.gov/newsroom/opportunity-zones</w:t>
        </w:r>
      </w:hyperlink>
      <w:r w:rsidRPr="000C09D3">
        <w:t>.</w:t>
      </w:r>
    </w:p>
    <w:p w14:paraId="44713462" w14:textId="77777777" w:rsidR="00A06F8D" w:rsidRDefault="00A06F8D" w:rsidP="00D711E5">
      <w:pPr>
        <w:pStyle w:val="NormalWeb"/>
        <w:ind w:left="567" w:hanging="567"/>
      </w:pPr>
    </w:p>
    <w:p w14:paraId="40DB0E27" w14:textId="77777777" w:rsidR="00D711E5" w:rsidRDefault="00D711E5" w:rsidP="00D711E5">
      <w:pPr>
        <w:pStyle w:val="NormalWeb"/>
        <w:ind w:left="720" w:hanging="720"/>
      </w:pPr>
      <w:r w:rsidRPr="00914695">
        <w:t xml:space="preserve">IRS. “TITLE 26—INTERNAL REVENUE CODE.” U.S.C. title 26 - internal revenue code, 2004. </w:t>
      </w:r>
      <w:hyperlink r:id="rId21" w:history="1">
        <w:r w:rsidRPr="00914695">
          <w:rPr>
            <w:rStyle w:val="Hyperlink"/>
          </w:rPr>
          <w:t>https://www.govinfo.gov/content/pkg/USCODE-2020-title26/html/USCODE-2020-title26-subtitleE-chap53-subchapB-partI-sec5842.htm</w:t>
        </w:r>
      </w:hyperlink>
      <w:r w:rsidRPr="00914695">
        <w:t xml:space="preserve">. </w:t>
      </w:r>
    </w:p>
    <w:p w14:paraId="327ACA10" w14:textId="77777777" w:rsidR="00A10A8C" w:rsidRDefault="00A10A8C" w:rsidP="00D711E5">
      <w:pPr>
        <w:pStyle w:val="NormalWeb"/>
        <w:ind w:left="720" w:hanging="720"/>
      </w:pPr>
    </w:p>
    <w:p w14:paraId="6D0F125C" w14:textId="23679A1C" w:rsidR="00A10A8C" w:rsidRPr="00A10A8C" w:rsidRDefault="00A10A8C" w:rsidP="00A10A8C">
      <w:pPr>
        <w:pStyle w:val="NormalWeb"/>
        <w:ind w:left="720" w:hanging="720"/>
      </w:pPr>
      <w:proofErr w:type="spellStart"/>
      <w:r w:rsidRPr="00A10A8C">
        <w:t>Koenker</w:t>
      </w:r>
      <w:proofErr w:type="spellEnd"/>
      <w:r w:rsidRPr="00A10A8C">
        <w:t xml:space="preserve"> R (2025). _</w:t>
      </w:r>
      <w:proofErr w:type="spellStart"/>
      <w:r w:rsidRPr="00A10A8C">
        <w:t>quantreg</w:t>
      </w:r>
      <w:proofErr w:type="spellEnd"/>
      <w:r w:rsidRPr="00A10A8C">
        <w:t>: Quantile Regression_. R package version 6.1,</w:t>
      </w:r>
      <w:r>
        <w:t xml:space="preserve"> </w:t>
      </w:r>
      <w:r w:rsidRPr="00A10A8C">
        <w:t>&lt;https://CRAN.R-project.org/package=quantreg&gt;.</w:t>
      </w:r>
    </w:p>
    <w:p w14:paraId="1A8D7C02" w14:textId="77777777" w:rsidR="00D711E5" w:rsidRDefault="00D711E5" w:rsidP="008713E4">
      <w:pPr>
        <w:pStyle w:val="NormalWeb"/>
        <w:ind w:firstLine="0"/>
      </w:pPr>
    </w:p>
    <w:p w14:paraId="635DC8F9" w14:textId="1598EBBD" w:rsidR="00D711E5" w:rsidRDefault="00D711E5" w:rsidP="00D711E5">
      <w:pPr>
        <w:pStyle w:val="NormalWeb"/>
        <w:ind w:left="567" w:hanging="567"/>
      </w:pPr>
      <w:r>
        <w:t xml:space="preserve">Looney, Adam, and Hilary Gelfond. “Learning from Opportunity Zones: How to Improve Place-Based Policies.” The Brookings Institution, November 8, 2018. </w:t>
      </w:r>
      <w:hyperlink r:id="rId22" w:history="1">
        <w:r w:rsidRPr="004A6521">
          <w:rPr>
            <w:rStyle w:val="Hyperlink"/>
          </w:rPr>
          <w:t>https://www.brookings.edu/articles/learning-from-opportunity-zones-how-to-improve-place-based-policies/</w:t>
        </w:r>
      </w:hyperlink>
      <w:r>
        <w:t xml:space="preserve">. </w:t>
      </w:r>
    </w:p>
    <w:p w14:paraId="01C95722" w14:textId="77777777" w:rsidR="005D5BF1" w:rsidRDefault="005D5BF1" w:rsidP="00D711E5">
      <w:pPr>
        <w:pStyle w:val="NormalWeb"/>
        <w:ind w:left="567" w:hanging="567"/>
      </w:pPr>
    </w:p>
    <w:p w14:paraId="0439BC9F" w14:textId="087AE025" w:rsidR="005D5BF1" w:rsidRDefault="005D5BF1" w:rsidP="005D5BF1">
      <w:pPr>
        <w:pStyle w:val="NormalWeb"/>
        <w:ind w:left="720" w:hanging="720"/>
      </w:pPr>
      <w:r w:rsidRPr="005D5BF1">
        <w:t xml:space="preserve">Picchi, Aimee. “Trump Wants to Extend His 2017 Tax Cuts - and </w:t>
      </w:r>
      <w:proofErr w:type="gramStart"/>
      <w:r w:rsidRPr="005D5BF1">
        <w:t>More</w:t>
      </w:r>
      <w:proofErr w:type="gramEnd"/>
      <w:r w:rsidRPr="005D5BF1">
        <w:t xml:space="preserve">. Here’s What That Could Mean for You.” Edited by Alain </w:t>
      </w:r>
      <w:proofErr w:type="spellStart"/>
      <w:r w:rsidRPr="005D5BF1">
        <w:t>Sherter</w:t>
      </w:r>
      <w:proofErr w:type="spellEnd"/>
      <w:r w:rsidRPr="005D5BF1">
        <w:t xml:space="preserve">. CBS News, December 16, 2024. </w:t>
      </w:r>
      <w:hyperlink r:id="rId23" w:history="1">
        <w:r w:rsidR="00EE71F6" w:rsidRPr="00391750">
          <w:rPr>
            <w:rStyle w:val="Hyperlink"/>
          </w:rPr>
          <w:t>https://www.cbsnews.com/news/trump-tax-cuts-brackets-salt-tax-child-tax-credit-2025/</w:t>
        </w:r>
      </w:hyperlink>
      <w:r w:rsidRPr="005D5BF1">
        <w:t xml:space="preserve">. </w:t>
      </w:r>
    </w:p>
    <w:p w14:paraId="4B653885" w14:textId="77777777" w:rsidR="00EE71F6" w:rsidRDefault="00EE71F6" w:rsidP="005D5BF1">
      <w:pPr>
        <w:pStyle w:val="NormalWeb"/>
        <w:ind w:left="720" w:hanging="720"/>
      </w:pPr>
    </w:p>
    <w:p w14:paraId="0E84AE6A" w14:textId="512F91EC" w:rsidR="00EE71F6" w:rsidRPr="00EE71F6" w:rsidRDefault="00EE71F6" w:rsidP="00EE71F6">
      <w:pPr>
        <w:pStyle w:val="NormalWeb"/>
        <w:ind w:left="720" w:hanging="720"/>
      </w:pPr>
      <w:r w:rsidRPr="00EE71F6">
        <w:t>R Core Team (2024). _R: A Language and Environment for Statistical Computing_. R Foundation for Statistical</w:t>
      </w:r>
      <w:r>
        <w:t xml:space="preserve"> </w:t>
      </w:r>
      <w:r w:rsidRPr="00EE71F6">
        <w:t>Computing, Vienna, Austria. &lt;https://www.R-project.org/&gt;.</w:t>
      </w:r>
    </w:p>
    <w:p w14:paraId="6341C0C3" w14:textId="77777777" w:rsidR="00D711E5" w:rsidRDefault="00D711E5" w:rsidP="008127BB">
      <w:pPr>
        <w:pStyle w:val="NormalWeb"/>
        <w:ind w:firstLine="0"/>
      </w:pPr>
    </w:p>
    <w:p w14:paraId="372FD66F" w14:textId="77777777" w:rsidR="00D711E5" w:rsidRDefault="00D711E5" w:rsidP="00D711E5">
      <w:pPr>
        <w:pStyle w:val="NormalWeb"/>
        <w:ind w:left="567" w:hanging="567"/>
      </w:pPr>
      <w:bookmarkStart w:id="41" w:name="_Hlk194241197"/>
      <w:r w:rsidRPr="00AE39D7">
        <w:t>Sage, Alan, Mike Langen, and Alex Van de Minne. “Where Is the Opportunity in Opportunity Zones? Early Indicators of the Opportunity Zone Program’s Impact on Commercial Property Prices.” </w:t>
      </w:r>
      <w:r w:rsidRPr="00AE39D7">
        <w:rPr>
          <w:i/>
          <w:iCs/>
        </w:rPr>
        <w:t>SSRN Electronic Journal</w:t>
      </w:r>
      <w:r w:rsidRPr="00AE39D7">
        <w:t>, 2019. </w:t>
      </w:r>
      <w:hyperlink r:id="rId24" w:tgtFrame="_blank" w:history="1">
        <w:r w:rsidRPr="00AE39D7">
          <w:rPr>
            <w:rStyle w:val="Hyperlink"/>
          </w:rPr>
          <w:t>https://doi.org/10.2139/ssrn.3385502Links to an external site.</w:t>
        </w:r>
      </w:hyperlink>
    </w:p>
    <w:p w14:paraId="3678EF6C" w14:textId="77777777" w:rsidR="00E130FC" w:rsidRDefault="00E130FC" w:rsidP="00D711E5">
      <w:pPr>
        <w:pStyle w:val="NormalWeb"/>
        <w:ind w:left="567" w:hanging="567"/>
      </w:pPr>
    </w:p>
    <w:p w14:paraId="189178FC" w14:textId="52386ACC" w:rsidR="00E130FC" w:rsidRDefault="00E130FC" w:rsidP="00E130FC">
      <w:pPr>
        <w:pStyle w:val="NormalWeb"/>
        <w:ind w:left="567" w:hanging="567"/>
      </w:pPr>
      <w:r w:rsidRPr="00E130FC">
        <w:t>Walker K, Herman M (2024). _</w:t>
      </w:r>
      <w:proofErr w:type="spellStart"/>
      <w:r w:rsidRPr="00E130FC">
        <w:t>tidycensus</w:t>
      </w:r>
      <w:proofErr w:type="spellEnd"/>
      <w:r w:rsidRPr="00E130FC">
        <w:t>: Load US Census Boundary and Attribute Data as '</w:t>
      </w:r>
      <w:proofErr w:type="spellStart"/>
      <w:r w:rsidRPr="00E130FC">
        <w:t>tidyverse</w:t>
      </w:r>
      <w:proofErr w:type="spellEnd"/>
      <w:r w:rsidRPr="00E130FC">
        <w:t>' and 'sf'-Ready</w:t>
      </w:r>
      <w:r>
        <w:t xml:space="preserve"> </w:t>
      </w:r>
      <w:r w:rsidRPr="00E130FC">
        <w:t>Data Frames_. R package version 1.6.6, &lt;https://CRAN.R-project.org/package=tidycensus&gt;.</w:t>
      </w:r>
    </w:p>
    <w:p w14:paraId="52207363" w14:textId="77777777" w:rsidR="00FF253B" w:rsidRDefault="00FF253B" w:rsidP="00E130FC">
      <w:pPr>
        <w:pStyle w:val="NormalWeb"/>
        <w:ind w:left="567" w:hanging="567"/>
      </w:pPr>
    </w:p>
    <w:p w14:paraId="249C9112" w14:textId="07FA0501" w:rsidR="00FF253B" w:rsidRDefault="00FF253B" w:rsidP="00FF253B">
      <w:pPr>
        <w:pStyle w:val="NormalWeb"/>
        <w:ind w:left="567" w:hanging="567"/>
      </w:pPr>
      <w:r w:rsidRPr="00FF253B">
        <w:t>Wickham H, Averick M, Bryan J, Chang W, McGowan LD, François R, Grolemund G, Hayes A, Henry L, Hester J, Kuhn M,</w:t>
      </w:r>
      <w:r>
        <w:t xml:space="preserve"> </w:t>
      </w:r>
      <w:r w:rsidRPr="00FF253B">
        <w:t>Pedersen TL, Miller E, Bache SM, Müller K, Ooms J, Robinson D, Seidel DP, Spinu V, Takahashi K, Vaughan D, Wilke C,</w:t>
      </w:r>
      <w:r>
        <w:t xml:space="preserve"> </w:t>
      </w:r>
      <w:r w:rsidRPr="00FF253B">
        <w:t xml:space="preserve">Woo K, Yutani H </w:t>
      </w:r>
      <w:r w:rsidRPr="00FF253B">
        <w:lastRenderedPageBreak/>
        <w:t xml:space="preserve">(2019). “Welcome to the </w:t>
      </w:r>
      <w:proofErr w:type="spellStart"/>
      <w:r w:rsidRPr="00FF253B">
        <w:t>tidyverse</w:t>
      </w:r>
      <w:proofErr w:type="spellEnd"/>
      <w:r w:rsidRPr="00FF253B">
        <w:t xml:space="preserve">.” _Journal of </w:t>
      </w:r>
      <w:proofErr w:type="gramStart"/>
      <w:r w:rsidRPr="00FF253B">
        <w:t>Open Source</w:t>
      </w:r>
      <w:proofErr w:type="gramEnd"/>
      <w:r w:rsidRPr="00FF253B">
        <w:t xml:space="preserve"> Software_, *4*(43), 1686.</w:t>
      </w:r>
      <w:r>
        <w:t xml:space="preserve"> </w:t>
      </w:r>
      <w:r w:rsidRPr="00FF253B">
        <w:t>doi:10.21105/joss.01686 &lt;https://doi.org/10.21105/joss.01686&gt;.</w:t>
      </w:r>
    </w:p>
    <w:p w14:paraId="008FCA1C" w14:textId="77777777" w:rsidR="00AE337E" w:rsidRDefault="00AE337E" w:rsidP="00FF253B">
      <w:pPr>
        <w:pStyle w:val="NormalWeb"/>
        <w:ind w:left="567" w:hanging="567"/>
      </w:pPr>
    </w:p>
    <w:p w14:paraId="7E681500" w14:textId="0CED420E" w:rsidR="00AE337E" w:rsidRPr="00AE337E" w:rsidRDefault="00AE337E" w:rsidP="00AE337E">
      <w:pPr>
        <w:pStyle w:val="NormalWeb"/>
        <w:ind w:left="567" w:hanging="567"/>
      </w:pPr>
      <w:r w:rsidRPr="00AE337E">
        <w:t>Wickham H, Pedersen T, Seidel D (2023). _scales: Scale Functions for Visualization_. R package version 1.3.0,</w:t>
      </w:r>
      <w:r>
        <w:t xml:space="preserve"> </w:t>
      </w:r>
      <w:r w:rsidRPr="00AE337E">
        <w:t>&lt;https://CRAN.R-project.org/package=scales&gt;.</w:t>
      </w:r>
    </w:p>
    <w:p w14:paraId="38F555D7" w14:textId="77777777" w:rsidR="001B7A4B" w:rsidRDefault="001B7A4B" w:rsidP="00203163">
      <w:pPr>
        <w:pStyle w:val="NormalWeb"/>
        <w:ind w:firstLine="0"/>
      </w:pPr>
    </w:p>
    <w:p w14:paraId="515B630E" w14:textId="434DED80" w:rsidR="00FF253B" w:rsidRPr="00E130FC" w:rsidRDefault="001B7A4B" w:rsidP="001B7A4B">
      <w:pPr>
        <w:pStyle w:val="NormalWeb"/>
        <w:ind w:left="567" w:hanging="567"/>
      </w:pPr>
      <w:r w:rsidRPr="001B7A4B">
        <w:t>Zhu H (2024). _</w:t>
      </w:r>
      <w:proofErr w:type="spellStart"/>
      <w:r w:rsidRPr="001B7A4B">
        <w:t>kableExtra</w:t>
      </w:r>
      <w:proofErr w:type="spellEnd"/>
      <w:r w:rsidRPr="001B7A4B">
        <w:t>: Construct Complex Table with '</w:t>
      </w:r>
      <w:proofErr w:type="spellStart"/>
      <w:r w:rsidRPr="001B7A4B">
        <w:t>kable</w:t>
      </w:r>
      <w:proofErr w:type="spellEnd"/>
      <w:r w:rsidRPr="001B7A4B">
        <w:t>' and Pipe Syntax_. R package version 1.4.0,</w:t>
      </w:r>
      <w:r>
        <w:t xml:space="preserve"> </w:t>
      </w:r>
      <w:r w:rsidRPr="001B7A4B">
        <w:t>&lt;https://CRAN.R-project.org/package=kableExtra&gt;.</w:t>
      </w:r>
    </w:p>
    <w:p w14:paraId="312B3546" w14:textId="77777777" w:rsidR="00E130FC" w:rsidRDefault="00E130FC" w:rsidP="00D711E5">
      <w:pPr>
        <w:pStyle w:val="NormalWeb"/>
        <w:ind w:left="567" w:hanging="567"/>
      </w:pPr>
    </w:p>
    <w:bookmarkEnd w:id="41"/>
    <w:p w14:paraId="08B231DE" w14:textId="77777777" w:rsidR="00D711E5" w:rsidRDefault="00D711E5" w:rsidP="00D711E5">
      <w:pPr>
        <w:pStyle w:val="NormalWeb"/>
        <w:ind w:left="567" w:hanging="567"/>
      </w:pPr>
    </w:p>
    <w:p w14:paraId="373C1648" w14:textId="77777777" w:rsidR="00D711E5" w:rsidRDefault="00D711E5" w:rsidP="00D711E5">
      <w:pPr>
        <w:pStyle w:val="NormalWeb"/>
        <w:ind w:left="567" w:hanging="567"/>
      </w:pPr>
    </w:p>
    <w:p w14:paraId="729AB957" w14:textId="77777777" w:rsidR="00D711E5" w:rsidRDefault="00D711E5" w:rsidP="00D711E5">
      <w:pPr>
        <w:pStyle w:val="NormalWeb"/>
        <w:ind w:left="567" w:hanging="567"/>
      </w:pPr>
    </w:p>
    <w:p w14:paraId="738ED087" w14:textId="77777777" w:rsidR="00D711E5" w:rsidRDefault="00D711E5" w:rsidP="00D711E5">
      <w:pPr>
        <w:pStyle w:val="NormalWeb"/>
        <w:ind w:left="567" w:hanging="567"/>
      </w:pPr>
    </w:p>
    <w:p w14:paraId="28A7AC62" w14:textId="77777777" w:rsidR="00D711E5" w:rsidRDefault="00D711E5" w:rsidP="00D711E5">
      <w:pPr>
        <w:pStyle w:val="NormalWeb"/>
        <w:ind w:left="567" w:hanging="567"/>
      </w:pPr>
    </w:p>
    <w:p w14:paraId="1EAE9791" w14:textId="77777777" w:rsidR="00D711E5" w:rsidRPr="00D711E5" w:rsidRDefault="00D711E5" w:rsidP="00D711E5">
      <w:pPr>
        <w:spacing w:line="480" w:lineRule="auto"/>
        <w:ind w:firstLine="0"/>
        <w:rPr>
          <w:rFonts w:ascii="Times New Roman" w:eastAsia="Times New Roman" w:hAnsi="Times New Roman" w:cs="Times New Roman"/>
          <w:b/>
          <w:bCs/>
        </w:rPr>
      </w:pPr>
    </w:p>
    <w:p w14:paraId="22E416A5" w14:textId="77777777" w:rsidR="00D711E5" w:rsidRPr="00D711E5" w:rsidRDefault="00D711E5" w:rsidP="00D711E5">
      <w:pPr>
        <w:spacing w:line="480" w:lineRule="auto"/>
        <w:ind w:firstLine="0"/>
        <w:rPr>
          <w:rFonts w:ascii="Times New Roman" w:eastAsia="Times New Roman" w:hAnsi="Times New Roman" w:cs="Times New Roman"/>
          <w:b/>
          <w:bCs/>
        </w:rPr>
      </w:pPr>
    </w:p>
    <w:sectPr w:rsidR="00D711E5" w:rsidRPr="00D711E5">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500C5" w14:textId="77777777" w:rsidR="00B2617A" w:rsidRDefault="00B2617A">
      <w:pPr>
        <w:spacing w:line="240" w:lineRule="auto"/>
      </w:pPr>
      <w:r>
        <w:separator/>
      </w:r>
    </w:p>
  </w:endnote>
  <w:endnote w:type="continuationSeparator" w:id="0">
    <w:p w14:paraId="66D10671" w14:textId="77777777" w:rsidR="00B2617A" w:rsidRDefault="00B261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9E" w14:textId="2202BE1D" w:rsidR="008F49C7" w:rsidRDefault="00000000">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DD71BD">
      <w:rPr>
        <w:noProof/>
        <w:color w:val="000000"/>
      </w:rPr>
      <w:t>1</w:t>
    </w:r>
    <w:r>
      <w:rPr>
        <w:color w:val="000000"/>
      </w:rPr>
      <w:fldChar w:fldCharType="end"/>
    </w:r>
  </w:p>
  <w:p w14:paraId="0000009F" w14:textId="77777777" w:rsidR="008F49C7" w:rsidRDefault="008F49C7">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D2DB2" w14:textId="77777777" w:rsidR="00B2617A" w:rsidRDefault="00B2617A">
      <w:pPr>
        <w:spacing w:line="240" w:lineRule="auto"/>
      </w:pPr>
      <w:r>
        <w:separator/>
      </w:r>
    </w:p>
  </w:footnote>
  <w:footnote w:type="continuationSeparator" w:id="0">
    <w:p w14:paraId="1744AB25" w14:textId="77777777" w:rsidR="00B2617A" w:rsidRDefault="00B261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D448A"/>
    <w:multiLevelType w:val="hybridMultilevel"/>
    <w:tmpl w:val="23CA833A"/>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6D5011C"/>
    <w:multiLevelType w:val="hybridMultilevel"/>
    <w:tmpl w:val="0AE8AD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9E08E4"/>
    <w:multiLevelType w:val="hybridMultilevel"/>
    <w:tmpl w:val="793453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930A9C"/>
    <w:multiLevelType w:val="hybridMultilevel"/>
    <w:tmpl w:val="0DA26D08"/>
    <w:lvl w:ilvl="0" w:tplc="EDBE55F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47931B9"/>
    <w:multiLevelType w:val="hybridMultilevel"/>
    <w:tmpl w:val="C1CEA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5B02D4"/>
    <w:multiLevelType w:val="hybridMultilevel"/>
    <w:tmpl w:val="67A82A7A"/>
    <w:lvl w:ilvl="0" w:tplc="1C66F3E4">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D9C4FCB"/>
    <w:multiLevelType w:val="multilevel"/>
    <w:tmpl w:val="9AD0A354"/>
    <w:lvl w:ilvl="0">
      <w:start w:val="1"/>
      <w:numFmt w:val="decimal"/>
      <w:lvlText w:val="%1."/>
      <w:lvlJc w:val="left"/>
      <w:pPr>
        <w:ind w:left="36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num w:numId="1" w16cid:durableId="1861817767">
    <w:abstractNumId w:val="4"/>
  </w:num>
  <w:num w:numId="2" w16cid:durableId="953485592">
    <w:abstractNumId w:val="1"/>
  </w:num>
  <w:num w:numId="3" w16cid:durableId="2066297692">
    <w:abstractNumId w:val="0"/>
  </w:num>
  <w:num w:numId="4" w16cid:durableId="523443139">
    <w:abstractNumId w:val="2"/>
  </w:num>
  <w:num w:numId="5" w16cid:durableId="1281569157">
    <w:abstractNumId w:val="3"/>
  </w:num>
  <w:num w:numId="6" w16cid:durableId="141697725">
    <w:abstractNumId w:val="6"/>
  </w:num>
  <w:num w:numId="7" w16cid:durableId="560555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9C7"/>
    <w:rsid w:val="0000066D"/>
    <w:rsid w:val="0000113A"/>
    <w:rsid w:val="00014A52"/>
    <w:rsid w:val="00022690"/>
    <w:rsid w:val="00024D7A"/>
    <w:rsid w:val="00026874"/>
    <w:rsid w:val="00026B39"/>
    <w:rsid w:val="00030E4B"/>
    <w:rsid w:val="00031628"/>
    <w:rsid w:val="000371E8"/>
    <w:rsid w:val="0004078A"/>
    <w:rsid w:val="000426E2"/>
    <w:rsid w:val="000454D2"/>
    <w:rsid w:val="00047EF2"/>
    <w:rsid w:val="0005298B"/>
    <w:rsid w:val="00054E2B"/>
    <w:rsid w:val="00055AAF"/>
    <w:rsid w:val="00062D11"/>
    <w:rsid w:val="00064A4E"/>
    <w:rsid w:val="000660BE"/>
    <w:rsid w:val="00073138"/>
    <w:rsid w:val="0007365A"/>
    <w:rsid w:val="00084EE8"/>
    <w:rsid w:val="00091EFA"/>
    <w:rsid w:val="000922E9"/>
    <w:rsid w:val="00094DB5"/>
    <w:rsid w:val="00096C3D"/>
    <w:rsid w:val="000A07EB"/>
    <w:rsid w:val="000A0D2F"/>
    <w:rsid w:val="000A1699"/>
    <w:rsid w:val="000A2817"/>
    <w:rsid w:val="000A3DCF"/>
    <w:rsid w:val="000A4A02"/>
    <w:rsid w:val="000A52A9"/>
    <w:rsid w:val="000A5EAD"/>
    <w:rsid w:val="000B194B"/>
    <w:rsid w:val="000C1F8C"/>
    <w:rsid w:val="000C264F"/>
    <w:rsid w:val="000C7537"/>
    <w:rsid w:val="000D441E"/>
    <w:rsid w:val="000D47F8"/>
    <w:rsid w:val="000D4D61"/>
    <w:rsid w:val="000D7D64"/>
    <w:rsid w:val="000E5833"/>
    <w:rsid w:val="000E5D66"/>
    <w:rsid w:val="000E5E2C"/>
    <w:rsid w:val="000F48DE"/>
    <w:rsid w:val="00102F46"/>
    <w:rsid w:val="00103160"/>
    <w:rsid w:val="001051CA"/>
    <w:rsid w:val="00105D71"/>
    <w:rsid w:val="001132ED"/>
    <w:rsid w:val="001138B1"/>
    <w:rsid w:val="00114B06"/>
    <w:rsid w:val="00117087"/>
    <w:rsid w:val="0012104A"/>
    <w:rsid w:val="00121832"/>
    <w:rsid w:val="00122B64"/>
    <w:rsid w:val="00126FED"/>
    <w:rsid w:val="00132CE0"/>
    <w:rsid w:val="001361BE"/>
    <w:rsid w:val="001532A6"/>
    <w:rsid w:val="0015334C"/>
    <w:rsid w:val="001604C9"/>
    <w:rsid w:val="00162871"/>
    <w:rsid w:val="001663E8"/>
    <w:rsid w:val="00170D63"/>
    <w:rsid w:val="001712DF"/>
    <w:rsid w:val="0017153F"/>
    <w:rsid w:val="00171AEE"/>
    <w:rsid w:val="00172C80"/>
    <w:rsid w:val="001770CA"/>
    <w:rsid w:val="0017718D"/>
    <w:rsid w:val="001772AA"/>
    <w:rsid w:val="001776B5"/>
    <w:rsid w:val="001836D9"/>
    <w:rsid w:val="0019199D"/>
    <w:rsid w:val="00196338"/>
    <w:rsid w:val="001A1243"/>
    <w:rsid w:val="001A398B"/>
    <w:rsid w:val="001B59C0"/>
    <w:rsid w:val="001B63AD"/>
    <w:rsid w:val="001B7A4B"/>
    <w:rsid w:val="001B7A7C"/>
    <w:rsid w:val="001C2AC0"/>
    <w:rsid w:val="001D2090"/>
    <w:rsid w:val="001D247E"/>
    <w:rsid w:val="001D30E3"/>
    <w:rsid w:val="001D343D"/>
    <w:rsid w:val="001E03B8"/>
    <w:rsid w:val="001F0065"/>
    <w:rsid w:val="001F2A48"/>
    <w:rsid w:val="001F7021"/>
    <w:rsid w:val="00200B61"/>
    <w:rsid w:val="00203163"/>
    <w:rsid w:val="00203D5E"/>
    <w:rsid w:val="002041E7"/>
    <w:rsid w:val="002053BA"/>
    <w:rsid w:val="00205D01"/>
    <w:rsid w:val="00207EF9"/>
    <w:rsid w:val="002117D5"/>
    <w:rsid w:val="0021257E"/>
    <w:rsid w:val="002212D4"/>
    <w:rsid w:val="00224091"/>
    <w:rsid w:val="002247C8"/>
    <w:rsid w:val="00227DB6"/>
    <w:rsid w:val="00232E35"/>
    <w:rsid w:val="00233C42"/>
    <w:rsid w:val="0023644E"/>
    <w:rsid w:val="002377FF"/>
    <w:rsid w:val="00250CA3"/>
    <w:rsid w:val="0025212D"/>
    <w:rsid w:val="00255C96"/>
    <w:rsid w:val="00261C7A"/>
    <w:rsid w:val="00265058"/>
    <w:rsid w:val="00265B21"/>
    <w:rsid w:val="002665F6"/>
    <w:rsid w:val="002733FD"/>
    <w:rsid w:val="0027379B"/>
    <w:rsid w:val="00277D72"/>
    <w:rsid w:val="00280D08"/>
    <w:rsid w:val="002864A9"/>
    <w:rsid w:val="00291C08"/>
    <w:rsid w:val="00293867"/>
    <w:rsid w:val="00295C80"/>
    <w:rsid w:val="002A1196"/>
    <w:rsid w:val="002A38DA"/>
    <w:rsid w:val="002A4E48"/>
    <w:rsid w:val="002A5B06"/>
    <w:rsid w:val="002B0090"/>
    <w:rsid w:val="002B2F3D"/>
    <w:rsid w:val="002B408F"/>
    <w:rsid w:val="002B578D"/>
    <w:rsid w:val="002B6F42"/>
    <w:rsid w:val="002B7D95"/>
    <w:rsid w:val="002C05D7"/>
    <w:rsid w:val="002C340A"/>
    <w:rsid w:val="002C5A2A"/>
    <w:rsid w:val="002C6081"/>
    <w:rsid w:val="002D189C"/>
    <w:rsid w:val="002D4DD9"/>
    <w:rsid w:val="002D5F1E"/>
    <w:rsid w:val="002D7CD3"/>
    <w:rsid w:val="002E078C"/>
    <w:rsid w:val="002E4615"/>
    <w:rsid w:val="002E6638"/>
    <w:rsid w:val="002F04AF"/>
    <w:rsid w:val="002F06C4"/>
    <w:rsid w:val="002F3F37"/>
    <w:rsid w:val="002F5FE1"/>
    <w:rsid w:val="00300868"/>
    <w:rsid w:val="0030421A"/>
    <w:rsid w:val="00313FF0"/>
    <w:rsid w:val="00314279"/>
    <w:rsid w:val="00314CBF"/>
    <w:rsid w:val="0031766A"/>
    <w:rsid w:val="003267D8"/>
    <w:rsid w:val="00326CAA"/>
    <w:rsid w:val="00326D50"/>
    <w:rsid w:val="003272EE"/>
    <w:rsid w:val="0033018E"/>
    <w:rsid w:val="00331B79"/>
    <w:rsid w:val="003328B2"/>
    <w:rsid w:val="00332E69"/>
    <w:rsid w:val="003374EE"/>
    <w:rsid w:val="00342A19"/>
    <w:rsid w:val="00343102"/>
    <w:rsid w:val="00353E8D"/>
    <w:rsid w:val="00354FCA"/>
    <w:rsid w:val="00355621"/>
    <w:rsid w:val="00361097"/>
    <w:rsid w:val="0036208B"/>
    <w:rsid w:val="00362B61"/>
    <w:rsid w:val="00364475"/>
    <w:rsid w:val="0036655A"/>
    <w:rsid w:val="003665B6"/>
    <w:rsid w:val="00366769"/>
    <w:rsid w:val="003764EF"/>
    <w:rsid w:val="003767E5"/>
    <w:rsid w:val="00383BED"/>
    <w:rsid w:val="003847D1"/>
    <w:rsid w:val="00387A2A"/>
    <w:rsid w:val="003961B4"/>
    <w:rsid w:val="00396243"/>
    <w:rsid w:val="003A00E4"/>
    <w:rsid w:val="003A060E"/>
    <w:rsid w:val="003A28EB"/>
    <w:rsid w:val="003A37D9"/>
    <w:rsid w:val="003A7F52"/>
    <w:rsid w:val="003C020A"/>
    <w:rsid w:val="003C0E1A"/>
    <w:rsid w:val="003C332C"/>
    <w:rsid w:val="003D0B3F"/>
    <w:rsid w:val="003D19AD"/>
    <w:rsid w:val="003E2C2C"/>
    <w:rsid w:val="003E41BD"/>
    <w:rsid w:val="003E4728"/>
    <w:rsid w:val="003E7377"/>
    <w:rsid w:val="003E74B2"/>
    <w:rsid w:val="003F07C4"/>
    <w:rsid w:val="003F4284"/>
    <w:rsid w:val="003F4D37"/>
    <w:rsid w:val="003F603F"/>
    <w:rsid w:val="003F7544"/>
    <w:rsid w:val="00400649"/>
    <w:rsid w:val="00411CCE"/>
    <w:rsid w:val="00414727"/>
    <w:rsid w:val="0041479B"/>
    <w:rsid w:val="0041731F"/>
    <w:rsid w:val="004253EA"/>
    <w:rsid w:val="00425766"/>
    <w:rsid w:val="004301FE"/>
    <w:rsid w:val="00430690"/>
    <w:rsid w:val="00430C46"/>
    <w:rsid w:val="00432E65"/>
    <w:rsid w:val="0043416C"/>
    <w:rsid w:val="00435F8F"/>
    <w:rsid w:val="00436D40"/>
    <w:rsid w:val="00443CD5"/>
    <w:rsid w:val="00444A44"/>
    <w:rsid w:val="00446B0A"/>
    <w:rsid w:val="00454727"/>
    <w:rsid w:val="004556DC"/>
    <w:rsid w:val="004649D7"/>
    <w:rsid w:val="0046676E"/>
    <w:rsid w:val="0047172F"/>
    <w:rsid w:val="00480CCC"/>
    <w:rsid w:val="0048143E"/>
    <w:rsid w:val="00481455"/>
    <w:rsid w:val="0048621F"/>
    <w:rsid w:val="004A4CB6"/>
    <w:rsid w:val="004B2514"/>
    <w:rsid w:val="004B4916"/>
    <w:rsid w:val="004B5637"/>
    <w:rsid w:val="004B635D"/>
    <w:rsid w:val="004C08AC"/>
    <w:rsid w:val="004C2391"/>
    <w:rsid w:val="004D0392"/>
    <w:rsid w:val="004D3908"/>
    <w:rsid w:val="004D3FD5"/>
    <w:rsid w:val="004D4E2E"/>
    <w:rsid w:val="004E2549"/>
    <w:rsid w:val="004E25A3"/>
    <w:rsid w:val="004E58DC"/>
    <w:rsid w:val="004E7D07"/>
    <w:rsid w:val="004F0F92"/>
    <w:rsid w:val="004F5C55"/>
    <w:rsid w:val="004F7A17"/>
    <w:rsid w:val="0050110B"/>
    <w:rsid w:val="005056FD"/>
    <w:rsid w:val="0050755A"/>
    <w:rsid w:val="00510C3E"/>
    <w:rsid w:val="00510E16"/>
    <w:rsid w:val="00511FE5"/>
    <w:rsid w:val="00512E40"/>
    <w:rsid w:val="00521E0B"/>
    <w:rsid w:val="00524343"/>
    <w:rsid w:val="005277F6"/>
    <w:rsid w:val="00527846"/>
    <w:rsid w:val="00533DD1"/>
    <w:rsid w:val="00541C6A"/>
    <w:rsid w:val="00544348"/>
    <w:rsid w:val="00546637"/>
    <w:rsid w:val="00547678"/>
    <w:rsid w:val="00554E24"/>
    <w:rsid w:val="00556170"/>
    <w:rsid w:val="00556D75"/>
    <w:rsid w:val="00557B1E"/>
    <w:rsid w:val="0056108A"/>
    <w:rsid w:val="00563335"/>
    <w:rsid w:val="00564D25"/>
    <w:rsid w:val="00567EEA"/>
    <w:rsid w:val="00567FEB"/>
    <w:rsid w:val="00572D6D"/>
    <w:rsid w:val="00573F51"/>
    <w:rsid w:val="00577BA4"/>
    <w:rsid w:val="00582C9F"/>
    <w:rsid w:val="005862D5"/>
    <w:rsid w:val="00593582"/>
    <w:rsid w:val="00597744"/>
    <w:rsid w:val="005B1DBE"/>
    <w:rsid w:val="005B1DE2"/>
    <w:rsid w:val="005B792D"/>
    <w:rsid w:val="005B7AC2"/>
    <w:rsid w:val="005C11D4"/>
    <w:rsid w:val="005C1F32"/>
    <w:rsid w:val="005C334C"/>
    <w:rsid w:val="005C448C"/>
    <w:rsid w:val="005C4F5F"/>
    <w:rsid w:val="005D3C5C"/>
    <w:rsid w:val="005D5BF1"/>
    <w:rsid w:val="005E1046"/>
    <w:rsid w:val="005E54CE"/>
    <w:rsid w:val="005F0621"/>
    <w:rsid w:val="005F2045"/>
    <w:rsid w:val="005F6FF7"/>
    <w:rsid w:val="00605639"/>
    <w:rsid w:val="0060673C"/>
    <w:rsid w:val="00607797"/>
    <w:rsid w:val="006143C8"/>
    <w:rsid w:val="006228F7"/>
    <w:rsid w:val="00622E30"/>
    <w:rsid w:val="006231D9"/>
    <w:rsid w:val="00631904"/>
    <w:rsid w:val="00635EE4"/>
    <w:rsid w:val="00645E5E"/>
    <w:rsid w:val="00651C00"/>
    <w:rsid w:val="006607C2"/>
    <w:rsid w:val="00661A96"/>
    <w:rsid w:val="00661B03"/>
    <w:rsid w:val="0066352F"/>
    <w:rsid w:val="00663EFD"/>
    <w:rsid w:val="00664AC9"/>
    <w:rsid w:val="006653F3"/>
    <w:rsid w:val="00665E3B"/>
    <w:rsid w:val="00667489"/>
    <w:rsid w:val="00672E34"/>
    <w:rsid w:val="00683F1A"/>
    <w:rsid w:val="006976BF"/>
    <w:rsid w:val="006A13B7"/>
    <w:rsid w:val="006A14EB"/>
    <w:rsid w:val="006A7E4D"/>
    <w:rsid w:val="006B02E5"/>
    <w:rsid w:val="006B1E14"/>
    <w:rsid w:val="006C35C0"/>
    <w:rsid w:val="006C75EA"/>
    <w:rsid w:val="006D3A5A"/>
    <w:rsid w:val="006D4A58"/>
    <w:rsid w:val="006E0294"/>
    <w:rsid w:val="006E4BBA"/>
    <w:rsid w:val="006E6BFB"/>
    <w:rsid w:val="006F1B4C"/>
    <w:rsid w:val="006F3159"/>
    <w:rsid w:val="006F3BE4"/>
    <w:rsid w:val="006F4147"/>
    <w:rsid w:val="006F449D"/>
    <w:rsid w:val="006F5832"/>
    <w:rsid w:val="00706D0D"/>
    <w:rsid w:val="00711718"/>
    <w:rsid w:val="00716439"/>
    <w:rsid w:val="00716ED0"/>
    <w:rsid w:val="00723D12"/>
    <w:rsid w:val="007243D7"/>
    <w:rsid w:val="00731883"/>
    <w:rsid w:val="00732867"/>
    <w:rsid w:val="007351CC"/>
    <w:rsid w:val="0073549E"/>
    <w:rsid w:val="007410D0"/>
    <w:rsid w:val="00742C26"/>
    <w:rsid w:val="00744D50"/>
    <w:rsid w:val="00745047"/>
    <w:rsid w:val="00755A37"/>
    <w:rsid w:val="007564E7"/>
    <w:rsid w:val="00760E19"/>
    <w:rsid w:val="00761F2C"/>
    <w:rsid w:val="00762872"/>
    <w:rsid w:val="007670FD"/>
    <w:rsid w:val="007828C8"/>
    <w:rsid w:val="00790B4F"/>
    <w:rsid w:val="00792C05"/>
    <w:rsid w:val="00792E2C"/>
    <w:rsid w:val="0079543B"/>
    <w:rsid w:val="007A106B"/>
    <w:rsid w:val="007A24A1"/>
    <w:rsid w:val="007A2A8C"/>
    <w:rsid w:val="007A3AAD"/>
    <w:rsid w:val="007A7B8F"/>
    <w:rsid w:val="007C1ADD"/>
    <w:rsid w:val="007C1BA8"/>
    <w:rsid w:val="007C2A99"/>
    <w:rsid w:val="007C59CF"/>
    <w:rsid w:val="007D6899"/>
    <w:rsid w:val="007D6963"/>
    <w:rsid w:val="007D762D"/>
    <w:rsid w:val="007D770A"/>
    <w:rsid w:val="007D79FB"/>
    <w:rsid w:val="007D7D11"/>
    <w:rsid w:val="007E366C"/>
    <w:rsid w:val="007E3DA0"/>
    <w:rsid w:val="007E3E5B"/>
    <w:rsid w:val="007E72D5"/>
    <w:rsid w:val="007F4742"/>
    <w:rsid w:val="007F6ED2"/>
    <w:rsid w:val="00800BC7"/>
    <w:rsid w:val="00803463"/>
    <w:rsid w:val="00806FDD"/>
    <w:rsid w:val="0081047E"/>
    <w:rsid w:val="0081134A"/>
    <w:rsid w:val="008127BB"/>
    <w:rsid w:val="00812CCA"/>
    <w:rsid w:val="008134A7"/>
    <w:rsid w:val="00816E85"/>
    <w:rsid w:val="00823E82"/>
    <w:rsid w:val="00826064"/>
    <w:rsid w:val="008263FD"/>
    <w:rsid w:val="00827D90"/>
    <w:rsid w:val="00831F6D"/>
    <w:rsid w:val="008363D1"/>
    <w:rsid w:val="008370A4"/>
    <w:rsid w:val="00837656"/>
    <w:rsid w:val="00842906"/>
    <w:rsid w:val="00842D0F"/>
    <w:rsid w:val="008439E7"/>
    <w:rsid w:val="00846966"/>
    <w:rsid w:val="00852610"/>
    <w:rsid w:val="00852B7B"/>
    <w:rsid w:val="008530E8"/>
    <w:rsid w:val="008629F1"/>
    <w:rsid w:val="00867FC7"/>
    <w:rsid w:val="00870026"/>
    <w:rsid w:val="008713E4"/>
    <w:rsid w:val="00874054"/>
    <w:rsid w:val="008743A4"/>
    <w:rsid w:val="00875B23"/>
    <w:rsid w:val="008876EB"/>
    <w:rsid w:val="00890626"/>
    <w:rsid w:val="008A3269"/>
    <w:rsid w:val="008B2EDF"/>
    <w:rsid w:val="008B3D47"/>
    <w:rsid w:val="008B71DF"/>
    <w:rsid w:val="008B744F"/>
    <w:rsid w:val="008C2696"/>
    <w:rsid w:val="008C2AF0"/>
    <w:rsid w:val="008D0002"/>
    <w:rsid w:val="008D3CCB"/>
    <w:rsid w:val="008D4819"/>
    <w:rsid w:val="008D6000"/>
    <w:rsid w:val="008D72B7"/>
    <w:rsid w:val="008E1493"/>
    <w:rsid w:val="008F160F"/>
    <w:rsid w:val="008F1C47"/>
    <w:rsid w:val="008F3066"/>
    <w:rsid w:val="008F4705"/>
    <w:rsid w:val="008F49C7"/>
    <w:rsid w:val="008F71A9"/>
    <w:rsid w:val="00900FAD"/>
    <w:rsid w:val="00902346"/>
    <w:rsid w:val="00904D23"/>
    <w:rsid w:val="009066EC"/>
    <w:rsid w:val="009070C7"/>
    <w:rsid w:val="00907931"/>
    <w:rsid w:val="009100A8"/>
    <w:rsid w:val="00911DFC"/>
    <w:rsid w:val="00913E4E"/>
    <w:rsid w:val="009252C6"/>
    <w:rsid w:val="0092647D"/>
    <w:rsid w:val="00926F2F"/>
    <w:rsid w:val="009326AB"/>
    <w:rsid w:val="009518D7"/>
    <w:rsid w:val="0096039D"/>
    <w:rsid w:val="00971438"/>
    <w:rsid w:val="00971DFD"/>
    <w:rsid w:val="0097357F"/>
    <w:rsid w:val="00975587"/>
    <w:rsid w:val="009774B8"/>
    <w:rsid w:val="00983482"/>
    <w:rsid w:val="00993C06"/>
    <w:rsid w:val="00995B7E"/>
    <w:rsid w:val="00996E58"/>
    <w:rsid w:val="009A0CA2"/>
    <w:rsid w:val="009A7790"/>
    <w:rsid w:val="009B3EA8"/>
    <w:rsid w:val="009B6478"/>
    <w:rsid w:val="009B7ED0"/>
    <w:rsid w:val="009C12F8"/>
    <w:rsid w:val="009D016B"/>
    <w:rsid w:val="009D364E"/>
    <w:rsid w:val="009D3C22"/>
    <w:rsid w:val="009D3E95"/>
    <w:rsid w:val="009E0412"/>
    <w:rsid w:val="009E1DA5"/>
    <w:rsid w:val="009E70EB"/>
    <w:rsid w:val="009E79F2"/>
    <w:rsid w:val="009F0346"/>
    <w:rsid w:val="009F7B77"/>
    <w:rsid w:val="00A03C57"/>
    <w:rsid w:val="00A03F22"/>
    <w:rsid w:val="00A06756"/>
    <w:rsid w:val="00A06827"/>
    <w:rsid w:val="00A06F8D"/>
    <w:rsid w:val="00A07224"/>
    <w:rsid w:val="00A10A8C"/>
    <w:rsid w:val="00A12C59"/>
    <w:rsid w:val="00A1482F"/>
    <w:rsid w:val="00A23238"/>
    <w:rsid w:val="00A261CC"/>
    <w:rsid w:val="00A320CC"/>
    <w:rsid w:val="00A32D99"/>
    <w:rsid w:val="00A3306A"/>
    <w:rsid w:val="00A4089B"/>
    <w:rsid w:val="00A422D1"/>
    <w:rsid w:val="00A46E78"/>
    <w:rsid w:val="00A4700C"/>
    <w:rsid w:val="00A51985"/>
    <w:rsid w:val="00A52336"/>
    <w:rsid w:val="00A55094"/>
    <w:rsid w:val="00A55A20"/>
    <w:rsid w:val="00A5724F"/>
    <w:rsid w:val="00A57374"/>
    <w:rsid w:val="00A57917"/>
    <w:rsid w:val="00A6127C"/>
    <w:rsid w:val="00A63131"/>
    <w:rsid w:val="00A709E2"/>
    <w:rsid w:val="00A80023"/>
    <w:rsid w:val="00A850C8"/>
    <w:rsid w:val="00A87D52"/>
    <w:rsid w:val="00A903B8"/>
    <w:rsid w:val="00A90E2D"/>
    <w:rsid w:val="00A924B7"/>
    <w:rsid w:val="00A92703"/>
    <w:rsid w:val="00A93700"/>
    <w:rsid w:val="00A94BAC"/>
    <w:rsid w:val="00AA647D"/>
    <w:rsid w:val="00AB176E"/>
    <w:rsid w:val="00AB3F8F"/>
    <w:rsid w:val="00AB42AD"/>
    <w:rsid w:val="00AB48A1"/>
    <w:rsid w:val="00AB6AC3"/>
    <w:rsid w:val="00AB7212"/>
    <w:rsid w:val="00AC2F14"/>
    <w:rsid w:val="00AC60D5"/>
    <w:rsid w:val="00AD68AE"/>
    <w:rsid w:val="00AD6B32"/>
    <w:rsid w:val="00AD704B"/>
    <w:rsid w:val="00AE337E"/>
    <w:rsid w:val="00AE456B"/>
    <w:rsid w:val="00AE5AF8"/>
    <w:rsid w:val="00AE653A"/>
    <w:rsid w:val="00AE66D7"/>
    <w:rsid w:val="00B0139F"/>
    <w:rsid w:val="00B05A19"/>
    <w:rsid w:val="00B065B6"/>
    <w:rsid w:val="00B07930"/>
    <w:rsid w:val="00B10FFC"/>
    <w:rsid w:val="00B20AC3"/>
    <w:rsid w:val="00B2617A"/>
    <w:rsid w:val="00B30154"/>
    <w:rsid w:val="00B314FD"/>
    <w:rsid w:val="00B36C63"/>
    <w:rsid w:val="00B41E38"/>
    <w:rsid w:val="00B44A93"/>
    <w:rsid w:val="00B52259"/>
    <w:rsid w:val="00B5252E"/>
    <w:rsid w:val="00B55079"/>
    <w:rsid w:val="00B630C4"/>
    <w:rsid w:val="00B6445A"/>
    <w:rsid w:val="00B70319"/>
    <w:rsid w:val="00B73569"/>
    <w:rsid w:val="00B747FA"/>
    <w:rsid w:val="00B75FEC"/>
    <w:rsid w:val="00B77B4E"/>
    <w:rsid w:val="00B85551"/>
    <w:rsid w:val="00B85626"/>
    <w:rsid w:val="00B910E5"/>
    <w:rsid w:val="00B94C06"/>
    <w:rsid w:val="00BA0238"/>
    <w:rsid w:val="00BA03E9"/>
    <w:rsid w:val="00BA488F"/>
    <w:rsid w:val="00BB2059"/>
    <w:rsid w:val="00BC2042"/>
    <w:rsid w:val="00BC3BC9"/>
    <w:rsid w:val="00BC5121"/>
    <w:rsid w:val="00BC5918"/>
    <w:rsid w:val="00BD2497"/>
    <w:rsid w:val="00BD2FB9"/>
    <w:rsid w:val="00BD3BB7"/>
    <w:rsid w:val="00BE0197"/>
    <w:rsid w:val="00BE23EE"/>
    <w:rsid w:val="00BE533F"/>
    <w:rsid w:val="00BE6088"/>
    <w:rsid w:val="00BF6AF2"/>
    <w:rsid w:val="00C03818"/>
    <w:rsid w:val="00C041C7"/>
    <w:rsid w:val="00C05A59"/>
    <w:rsid w:val="00C12AAC"/>
    <w:rsid w:val="00C152AE"/>
    <w:rsid w:val="00C1741D"/>
    <w:rsid w:val="00C20A6C"/>
    <w:rsid w:val="00C20E4A"/>
    <w:rsid w:val="00C21CFF"/>
    <w:rsid w:val="00C233F8"/>
    <w:rsid w:val="00C26373"/>
    <w:rsid w:val="00C311B5"/>
    <w:rsid w:val="00C31317"/>
    <w:rsid w:val="00C339A6"/>
    <w:rsid w:val="00C35BFD"/>
    <w:rsid w:val="00C40DDF"/>
    <w:rsid w:val="00C43287"/>
    <w:rsid w:val="00C439AA"/>
    <w:rsid w:val="00C43AD7"/>
    <w:rsid w:val="00C5342A"/>
    <w:rsid w:val="00C53B4A"/>
    <w:rsid w:val="00C543F9"/>
    <w:rsid w:val="00C552D4"/>
    <w:rsid w:val="00C555B5"/>
    <w:rsid w:val="00C61A11"/>
    <w:rsid w:val="00C7185F"/>
    <w:rsid w:val="00C835D0"/>
    <w:rsid w:val="00CA6ED6"/>
    <w:rsid w:val="00CA7F7C"/>
    <w:rsid w:val="00CB4383"/>
    <w:rsid w:val="00CB4397"/>
    <w:rsid w:val="00CC1D63"/>
    <w:rsid w:val="00CC473B"/>
    <w:rsid w:val="00CD0CA0"/>
    <w:rsid w:val="00CD2E7E"/>
    <w:rsid w:val="00CD433A"/>
    <w:rsid w:val="00CD4FC9"/>
    <w:rsid w:val="00CD6238"/>
    <w:rsid w:val="00CD74FF"/>
    <w:rsid w:val="00CE1506"/>
    <w:rsid w:val="00CE43CC"/>
    <w:rsid w:val="00CF040C"/>
    <w:rsid w:val="00CF1E1C"/>
    <w:rsid w:val="00CF2654"/>
    <w:rsid w:val="00CF3AA0"/>
    <w:rsid w:val="00CF69B2"/>
    <w:rsid w:val="00D0039C"/>
    <w:rsid w:val="00D02DBD"/>
    <w:rsid w:val="00D07048"/>
    <w:rsid w:val="00D120FF"/>
    <w:rsid w:val="00D203CA"/>
    <w:rsid w:val="00D20E17"/>
    <w:rsid w:val="00D2100E"/>
    <w:rsid w:val="00D228FA"/>
    <w:rsid w:val="00D24D0C"/>
    <w:rsid w:val="00D25A57"/>
    <w:rsid w:val="00D30F07"/>
    <w:rsid w:val="00D31B23"/>
    <w:rsid w:val="00D35592"/>
    <w:rsid w:val="00D3755C"/>
    <w:rsid w:val="00D3794E"/>
    <w:rsid w:val="00D405B6"/>
    <w:rsid w:val="00D4360B"/>
    <w:rsid w:val="00D46FA2"/>
    <w:rsid w:val="00D50BFB"/>
    <w:rsid w:val="00D623C9"/>
    <w:rsid w:val="00D6363E"/>
    <w:rsid w:val="00D658FA"/>
    <w:rsid w:val="00D711E5"/>
    <w:rsid w:val="00D72A1C"/>
    <w:rsid w:val="00D75659"/>
    <w:rsid w:val="00D778CF"/>
    <w:rsid w:val="00D77A79"/>
    <w:rsid w:val="00D85B03"/>
    <w:rsid w:val="00D91586"/>
    <w:rsid w:val="00D93CE5"/>
    <w:rsid w:val="00D95A15"/>
    <w:rsid w:val="00DA3492"/>
    <w:rsid w:val="00DA4B0A"/>
    <w:rsid w:val="00DA5064"/>
    <w:rsid w:val="00DA61A8"/>
    <w:rsid w:val="00DB082A"/>
    <w:rsid w:val="00DB0DFD"/>
    <w:rsid w:val="00DB324E"/>
    <w:rsid w:val="00DB4511"/>
    <w:rsid w:val="00DB62BE"/>
    <w:rsid w:val="00DC57E3"/>
    <w:rsid w:val="00DC6025"/>
    <w:rsid w:val="00DD46F4"/>
    <w:rsid w:val="00DD538E"/>
    <w:rsid w:val="00DD5D83"/>
    <w:rsid w:val="00DD71BD"/>
    <w:rsid w:val="00DE0880"/>
    <w:rsid w:val="00DE57E2"/>
    <w:rsid w:val="00DE5FA5"/>
    <w:rsid w:val="00DF0939"/>
    <w:rsid w:val="00DF289D"/>
    <w:rsid w:val="00DF7E6E"/>
    <w:rsid w:val="00E046F7"/>
    <w:rsid w:val="00E10B7B"/>
    <w:rsid w:val="00E10FAC"/>
    <w:rsid w:val="00E130FC"/>
    <w:rsid w:val="00E15ACA"/>
    <w:rsid w:val="00E21ACF"/>
    <w:rsid w:val="00E301A9"/>
    <w:rsid w:val="00E33655"/>
    <w:rsid w:val="00E3371A"/>
    <w:rsid w:val="00E35773"/>
    <w:rsid w:val="00E3583C"/>
    <w:rsid w:val="00E364E2"/>
    <w:rsid w:val="00E36A11"/>
    <w:rsid w:val="00E37CED"/>
    <w:rsid w:val="00E53E33"/>
    <w:rsid w:val="00E54C18"/>
    <w:rsid w:val="00E55089"/>
    <w:rsid w:val="00E55400"/>
    <w:rsid w:val="00E6195F"/>
    <w:rsid w:val="00E63BD4"/>
    <w:rsid w:val="00E6421E"/>
    <w:rsid w:val="00E77F5E"/>
    <w:rsid w:val="00E820C9"/>
    <w:rsid w:val="00E84C62"/>
    <w:rsid w:val="00E8642B"/>
    <w:rsid w:val="00E92188"/>
    <w:rsid w:val="00EA7A1F"/>
    <w:rsid w:val="00EB30A6"/>
    <w:rsid w:val="00EB348E"/>
    <w:rsid w:val="00EC31BE"/>
    <w:rsid w:val="00EC4DA2"/>
    <w:rsid w:val="00ED285B"/>
    <w:rsid w:val="00ED38A4"/>
    <w:rsid w:val="00ED6278"/>
    <w:rsid w:val="00EE238F"/>
    <w:rsid w:val="00EE4572"/>
    <w:rsid w:val="00EE59DC"/>
    <w:rsid w:val="00EE71F6"/>
    <w:rsid w:val="00EE7C81"/>
    <w:rsid w:val="00EF3471"/>
    <w:rsid w:val="00EF4FA8"/>
    <w:rsid w:val="00EF63EE"/>
    <w:rsid w:val="00F02C6A"/>
    <w:rsid w:val="00F03DA2"/>
    <w:rsid w:val="00F0499F"/>
    <w:rsid w:val="00F04D9D"/>
    <w:rsid w:val="00F06035"/>
    <w:rsid w:val="00F1235F"/>
    <w:rsid w:val="00F17E9F"/>
    <w:rsid w:val="00F207E8"/>
    <w:rsid w:val="00F2293F"/>
    <w:rsid w:val="00F24174"/>
    <w:rsid w:val="00F25C02"/>
    <w:rsid w:val="00F30F34"/>
    <w:rsid w:val="00F3586E"/>
    <w:rsid w:val="00F37280"/>
    <w:rsid w:val="00F445AA"/>
    <w:rsid w:val="00F50331"/>
    <w:rsid w:val="00F52FA1"/>
    <w:rsid w:val="00F5546D"/>
    <w:rsid w:val="00F55CC4"/>
    <w:rsid w:val="00F563E1"/>
    <w:rsid w:val="00F61757"/>
    <w:rsid w:val="00F6521D"/>
    <w:rsid w:val="00F67705"/>
    <w:rsid w:val="00F67A5A"/>
    <w:rsid w:val="00F70321"/>
    <w:rsid w:val="00F7033C"/>
    <w:rsid w:val="00F76344"/>
    <w:rsid w:val="00F84627"/>
    <w:rsid w:val="00F86984"/>
    <w:rsid w:val="00F90524"/>
    <w:rsid w:val="00F94E41"/>
    <w:rsid w:val="00F969E6"/>
    <w:rsid w:val="00FB48AF"/>
    <w:rsid w:val="00FB53D0"/>
    <w:rsid w:val="00FB73FD"/>
    <w:rsid w:val="00FC1FD9"/>
    <w:rsid w:val="00FC2007"/>
    <w:rsid w:val="00FC2619"/>
    <w:rsid w:val="00FC5CDF"/>
    <w:rsid w:val="00FD5CA1"/>
    <w:rsid w:val="00FD66D7"/>
    <w:rsid w:val="00FD6BF7"/>
    <w:rsid w:val="00FE03DC"/>
    <w:rsid w:val="00FE0528"/>
    <w:rsid w:val="00FE6158"/>
    <w:rsid w:val="00FE6FBE"/>
    <w:rsid w:val="00FF1A15"/>
    <w:rsid w:val="00FF253B"/>
    <w:rsid w:val="00FF4EAC"/>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4F092C"/>
  <w15:docId w15:val="{A2082AA5-C5DD-4448-94EC-B5C403B10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528"/>
    <w:pPr>
      <w:spacing w:after="0"/>
      <w:ind w:firstLine="720"/>
    </w:pPr>
  </w:style>
  <w:style w:type="paragraph" w:styleId="Heading1">
    <w:name w:val="heading 1"/>
    <w:basedOn w:val="Normal"/>
    <w:next w:val="Normal"/>
    <w:link w:val="Heading1Char"/>
    <w:uiPriority w:val="9"/>
    <w:qFormat/>
    <w:rsid w:val="00C041C7"/>
    <w:pPr>
      <w:keepNext/>
      <w:keepLines/>
      <w:numPr>
        <w:numId w:val="7"/>
      </w:numPr>
      <w:spacing w:before="360" w:after="80"/>
      <w:outlineLvl w:val="0"/>
    </w:pPr>
    <w:rPr>
      <w:rFonts w:ascii="Times New Roman" w:eastAsiaTheme="majorEastAsia" w:hAnsi="Times New Roman" w:cstheme="majorBidi"/>
      <w:b/>
      <w:szCs w:val="40"/>
    </w:rPr>
  </w:style>
  <w:style w:type="paragraph" w:styleId="Heading2">
    <w:name w:val="heading 2"/>
    <w:basedOn w:val="Normal"/>
    <w:next w:val="Normal"/>
    <w:link w:val="Heading2Char"/>
    <w:uiPriority w:val="9"/>
    <w:unhideWhenUsed/>
    <w:qFormat/>
    <w:rsid w:val="00C041C7"/>
    <w:pPr>
      <w:keepNext/>
      <w:keepLines/>
      <w:spacing w:before="160" w:after="80"/>
      <w:outlineLvl w:val="1"/>
    </w:pPr>
    <w:rPr>
      <w:rFonts w:ascii="Times New Roman" w:eastAsiaTheme="majorEastAsia" w:hAnsi="Times New Roman" w:cstheme="majorBidi"/>
      <w:b/>
      <w:szCs w:val="32"/>
    </w:rPr>
  </w:style>
  <w:style w:type="paragraph" w:styleId="Heading3">
    <w:name w:val="heading 3"/>
    <w:basedOn w:val="Normal"/>
    <w:next w:val="Normal"/>
    <w:link w:val="Heading3Char"/>
    <w:uiPriority w:val="9"/>
    <w:semiHidden/>
    <w:unhideWhenUsed/>
    <w:qFormat/>
    <w:rsid w:val="00B541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41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41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41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1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1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1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41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41C7"/>
    <w:rPr>
      <w:rFonts w:ascii="Times New Roman" w:eastAsiaTheme="majorEastAsia" w:hAnsi="Times New Roman" w:cstheme="majorBidi"/>
      <w:b/>
      <w:szCs w:val="40"/>
    </w:rPr>
  </w:style>
  <w:style w:type="character" w:customStyle="1" w:styleId="Heading2Char">
    <w:name w:val="Heading 2 Char"/>
    <w:basedOn w:val="DefaultParagraphFont"/>
    <w:link w:val="Heading2"/>
    <w:uiPriority w:val="9"/>
    <w:rsid w:val="00C041C7"/>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semiHidden/>
    <w:rsid w:val="00B541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41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41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41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1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1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16F"/>
    <w:rPr>
      <w:rFonts w:eastAsiaTheme="majorEastAsia" w:cstheme="majorBidi"/>
      <w:color w:val="272727" w:themeColor="text1" w:themeTint="D8"/>
    </w:rPr>
  </w:style>
  <w:style w:type="character" w:customStyle="1" w:styleId="TitleChar">
    <w:name w:val="Title Char"/>
    <w:basedOn w:val="DefaultParagraphFont"/>
    <w:link w:val="Title"/>
    <w:uiPriority w:val="10"/>
    <w:rsid w:val="00B541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B541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16F"/>
    <w:pPr>
      <w:spacing w:before="160"/>
      <w:jc w:val="center"/>
    </w:pPr>
    <w:rPr>
      <w:i/>
      <w:iCs/>
      <w:color w:val="404040" w:themeColor="text1" w:themeTint="BF"/>
    </w:rPr>
  </w:style>
  <w:style w:type="character" w:customStyle="1" w:styleId="QuoteChar">
    <w:name w:val="Quote Char"/>
    <w:basedOn w:val="DefaultParagraphFont"/>
    <w:link w:val="Quote"/>
    <w:uiPriority w:val="29"/>
    <w:rsid w:val="00B5416F"/>
    <w:rPr>
      <w:i/>
      <w:iCs/>
      <w:color w:val="404040" w:themeColor="text1" w:themeTint="BF"/>
    </w:rPr>
  </w:style>
  <w:style w:type="paragraph" w:styleId="ListParagraph">
    <w:name w:val="List Paragraph"/>
    <w:basedOn w:val="Normal"/>
    <w:uiPriority w:val="34"/>
    <w:qFormat/>
    <w:rsid w:val="00B5416F"/>
    <w:pPr>
      <w:ind w:left="720"/>
      <w:contextualSpacing/>
    </w:pPr>
  </w:style>
  <w:style w:type="character" w:styleId="IntenseEmphasis">
    <w:name w:val="Intense Emphasis"/>
    <w:basedOn w:val="DefaultParagraphFont"/>
    <w:uiPriority w:val="21"/>
    <w:qFormat/>
    <w:rsid w:val="00B5416F"/>
    <w:rPr>
      <w:i/>
      <w:iCs/>
      <w:color w:val="2F5496" w:themeColor="accent1" w:themeShade="BF"/>
    </w:rPr>
  </w:style>
  <w:style w:type="paragraph" w:styleId="IntenseQuote">
    <w:name w:val="Intense Quote"/>
    <w:basedOn w:val="Normal"/>
    <w:next w:val="Normal"/>
    <w:link w:val="IntenseQuoteChar"/>
    <w:uiPriority w:val="30"/>
    <w:qFormat/>
    <w:rsid w:val="00B541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416F"/>
    <w:rPr>
      <w:i/>
      <w:iCs/>
      <w:color w:val="2F5496" w:themeColor="accent1" w:themeShade="BF"/>
    </w:rPr>
  </w:style>
  <w:style w:type="character" w:styleId="IntenseReference">
    <w:name w:val="Intense Reference"/>
    <w:basedOn w:val="DefaultParagraphFont"/>
    <w:uiPriority w:val="32"/>
    <w:qFormat/>
    <w:rsid w:val="00B5416F"/>
    <w:rPr>
      <w:b/>
      <w:bCs/>
      <w:smallCaps/>
      <w:color w:val="2F5496" w:themeColor="accent1" w:themeShade="BF"/>
      <w:spacing w:val="5"/>
    </w:rPr>
  </w:style>
  <w:style w:type="paragraph" w:styleId="FootnoteText">
    <w:name w:val="footnote text"/>
    <w:basedOn w:val="Normal"/>
    <w:link w:val="FootnoteTextChar"/>
    <w:uiPriority w:val="99"/>
    <w:unhideWhenUsed/>
    <w:rsid w:val="008D0002"/>
    <w:pPr>
      <w:spacing w:line="240" w:lineRule="auto"/>
    </w:pPr>
    <w:rPr>
      <w:sz w:val="20"/>
      <w:szCs w:val="20"/>
    </w:rPr>
  </w:style>
  <w:style w:type="character" w:customStyle="1" w:styleId="FootnoteTextChar">
    <w:name w:val="Footnote Text Char"/>
    <w:basedOn w:val="DefaultParagraphFont"/>
    <w:link w:val="FootnoteText"/>
    <w:uiPriority w:val="99"/>
    <w:rsid w:val="008D0002"/>
    <w:rPr>
      <w:sz w:val="20"/>
      <w:szCs w:val="20"/>
    </w:rPr>
  </w:style>
  <w:style w:type="character" w:styleId="FootnoteReference">
    <w:name w:val="footnote reference"/>
    <w:basedOn w:val="DefaultParagraphFont"/>
    <w:uiPriority w:val="99"/>
    <w:semiHidden/>
    <w:unhideWhenUsed/>
    <w:rsid w:val="00066A8F"/>
    <w:rPr>
      <w:vertAlign w:val="superscript"/>
    </w:rPr>
  </w:style>
  <w:style w:type="paragraph" w:styleId="NormalWeb">
    <w:name w:val="Normal (Web)"/>
    <w:basedOn w:val="Normal"/>
    <w:uiPriority w:val="99"/>
    <w:unhideWhenUsed/>
    <w:rsid w:val="00FA2084"/>
    <w:rPr>
      <w:rFonts w:ascii="Times New Roman" w:hAnsi="Times New Roman" w:cs="Times New Roman"/>
    </w:rPr>
  </w:style>
  <w:style w:type="character" w:styleId="Hyperlink">
    <w:name w:val="Hyperlink"/>
    <w:basedOn w:val="DefaultParagraphFont"/>
    <w:uiPriority w:val="99"/>
    <w:unhideWhenUsed/>
    <w:rsid w:val="00FA2084"/>
    <w:rPr>
      <w:color w:val="0563C1" w:themeColor="hyperlink"/>
      <w:u w:val="single"/>
    </w:rPr>
  </w:style>
  <w:style w:type="character" w:styleId="UnresolvedMention">
    <w:name w:val="Unresolved Mention"/>
    <w:basedOn w:val="DefaultParagraphFont"/>
    <w:uiPriority w:val="99"/>
    <w:semiHidden/>
    <w:unhideWhenUsed/>
    <w:rsid w:val="00FA2084"/>
    <w:rPr>
      <w:color w:val="605E5C"/>
      <w:shd w:val="clear" w:color="auto" w:fill="E1DFDD"/>
    </w:rPr>
  </w:style>
  <w:style w:type="character" w:styleId="FollowedHyperlink">
    <w:name w:val="FollowedHyperlink"/>
    <w:basedOn w:val="DefaultParagraphFont"/>
    <w:uiPriority w:val="99"/>
    <w:semiHidden/>
    <w:unhideWhenUsed/>
    <w:rsid w:val="00FA2084"/>
    <w:rPr>
      <w:color w:val="954F72" w:themeColor="followedHyperlink"/>
      <w:u w:val="single"/>
    </w:rPr>
  </w:style>
  <w:style w:type="paragraph" w:styleId="Header">
    <w:name w:val="header"/>
    <w:basedOn w:val="Normal"/>
    <w:link w:val="HeaderChar"/>
    <w:uiPriority w:val="99"/>
    <w:unhideWhenUsed/>
    <w:rsid w:val="00697A30"/>
    <w:pPr>
      <w:tabs>
        <w:tab w:val="center" w:pos="4680"/>
        <w:tab w:val="right" w:pos="9360"/>
      </w:tabs>
      <w:spacing w:line="240" w:lineRule="auto"/>
    </w:pPr>
  </w:style>
  <w:style w:type="character" w:customStyle="1" w:styleId="HeaderChar">
    <w:name w:val="Header Char"/>
    <w:basedOn w:val="DefaultParagraphFont"/>
    <w:link w:val="Header"/>
    <w:uiPriority w:val="99"/>
    <w:rsid w:val="00697A30"/>
  </w:style>
  <w:style w:type="paragraph" w:styleId="Footer">
    <w:name w:val="footer"/>
    <w:basedOn w:val="Normal"/>
    <w:link w:val="FooterChar"/>
    <w:uiPriority w:val="99"/>
    <w:unhideWhenUsed/>
    <w:rsid w:val="00697A30"/>
    <w:pPr>
      <w:tabs>
        <w:tab w:val="center" w:pos="4680"/>
        <w:tab w:val="right" w:pos="9360"/>
      </w:tabs>
      <w:spacing w:line="240" w:lineRule="auto"/>
    </w:pPr>
  </w:style>
  <w:style w:type="character" w:customStyle="1" w:styleId="FooterChar">
    <w:name w:val="Footer Char"/>
    <w:basedOn w:val="DefaultParagraphFont"/>
    <w:link w:val="Footer"/>
    <w:uiPriority w:val="99"/>
    <w:rsid w:val="00697A30"/>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sid w:val="002A4E48"/>
    <w:rPr>
      <w:b/>
      <w:bCs/>
    </w:rPr>
  </w:style>
  <w:style w:type="character" w:styleId="Emphasis">
    <w:name w:val="Emphasis"/>
    <w:basedOn w:val="DefaultParagraphFont"/>
    <w:uiPriority w:val="20"/>
    <w:qFormat/>
    <w:rsid w:val="002A4E48"/>
    <w:rPr>
      <w:i/>
      <w:iCs/>
    </w:rPr>
  </w:style>
  <w:style w:type="character" w:customStyle="1" w:styleId="mord">
    <w:name w:val="mord"/>
    <w:basedOn w:val="DefaultParagraphFont"/>
    <w:rsid w:val="00FE03DC"/>
  </w:style>
  <w:style w:type="character" w:customStyle="1" w:styleId="vlist-s">
    <w:name w:val="vlist-s"/>
    <w:basedOn w:val="DefaultParagraphFont"/>
    <w:rsid w:val="00FE03DC"/>
  </w:style>
  <w:style w:type="character" w:customStyle="1" w:styleId="mrel">
    <w:name w:val="mrel"/>
    <w:basedOn w:val="DefaultParagraphFont"/>
    <w:rsid w:val="00FE03DC"/>
  </w:style>
  <w:style w:type="character" w:customStyle="1" w:styleId="mbin">
    <w:name w:val="mbin"/>
    <w:basedOn w:val="DefaultParagraphFont"/>
    <w:rsid w:val="00FE03DC"/>
  </w:style>
  <w:style w:type="character" w:customStyle="1" w:styleId="mopen">
    <w:name w:val="mopen"/>
    <w:basedOn w:val="DefaultParagraphFont"/>
    <w:rsid w:val="00FE03DC"/>
  </w:style>
  <w:style w:type="character" w:customStyle="1" w:styleId="mclose">
    <w:name w:val="mclose"/>
    <w:basedOn w:val="DefaultParagraphFont"/>
    <w:rsid w:val="00FE03DC"/>
  </w:style>
  <w:style w:type="character" w:styleId="PlaceholderText">
    <w:name w:val="Placeholder Text"/>
    <w:basedOn w:val="DefaultParagraphFont"/>
    <w:uiPriority w:val="99"/>
    <w:semiHidden/>
    <w:rsid w:val="00DF0939"/>
    <w:rPr>
      <w:color w:val="666666"/>
    </w:rPr>
  </w:style>
  <w:style w:type="paragraph" w:styleId="TOCHeading">
    <w:name w:val="TOC Heading"/>
    <w:basedOn w:val="Heading1"/>
    <w:next w:val="Normal"/>
    <w:uiPriority w:val="39"/>
    <w:unhideWhenUsed/>
    <w:qFormat/>
    <w:rsid w:val="00C041C7"/>
    <w:pPr>
      <w:spacing w:before="240" w:after="0" w:line="259" w:lineRule="auto"/>
      <w:ind w:firstLine="0"/>
      <w:outlineLvl w:val="9"/>
    </w:pPr>
    <w:rPr>
      <w:sz w:val="32"/>
      <w:szCs w:val="32"/>
    </w:rPr>
  </w:style>
  <w:style w:type="paragraph" w:styleId="TOC1">
    <w:name w:val="toc 1"/>
    <w:basedOn w:val="Normal"/>
    <w:next w:val="Normal"/>
    <w:autoRedefine/>
    <w:uiPriority w:val="39"/>
    <w:unhideWhenUsed/>
    <w:rsid w:val="00902346"/>
    <w:pPr>
      <w:tabs>
        <w:tab w:val="left" w:pos="1200"/>
        <w:tab w:val="right" w:leader="dot" w:pos="9350"/>
      </w:tabs>
      <w:spacing w:after="100"/>
      <w:jc w:val="center"/>
    </w:pPr>
    <w:rPr>
      <w:rFonts w:ascii="Times New Roman" w:eastAsia="Times New Roman" w:hAnsi="Times New Roman" w:cs="Times New Roman"/>
      <w:b/>
      <w:bCs/>
      <w:noProof/>
      <w:sz w:val="28"/>
      <w:szCs w:val="28"/>
    </w:rPr>
  </w:style>
  <w:style w:type="paragraph" w:styleId="TOC2">
    <w:name w:val="toc 2"/>
    <w:basedOn w:val="Normal"/>
    <w:next w:val="Normal"/>
    <w:autoRedefine/>
    <w:uiPriority w:val="39"/>
    <w:unhideWhenUsed/>
    <w:rsid w:val="00207EF9"/>
    <w:pPr>
      <w:tabs>
        <w:tab w:val="right" w:leader="dot" w:pos="9350"/>
      </w:tabs>
      <w:spacing w:after="100" w:line="360" w:lineRule="auto"/>
      <w:ind w:left="245"/>
    </w:pPr>
  </w:style>
  <w:style w:type="paragraph" w:styleId="Caption">
    <w:name w:val="caption"/>
    <w:basedOn w:val="Normal"/>
    <w:next w:val="Normal"/>
    <w:uiPriority w:val="35"/>
    <w:unhideWhenUsed/>
    <w:qFormat/>
    <w:rsid w:val="00DD46F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490874">
      <w:bodyDiv w:val="1"/>
      <w:marLeft w:val="0"/>
      <w:marRight w:val="0"/>
      <w:marTop w:val="0"/>
      <w:marBottom w:val="0"/>
      <w:divBdr>
        <w:top w:val="none" w:sz="0" w:space="0" w:color="auto"/>
        <w:left w:val="none" w:sz="0" w:space="0" w:color="auto"/>
        <w:bottom w:val="none" w:sz="0" w:space="0" w:color="auto"/>
        <w:right w:val="none" w:sz="0" w:space="0" w:color="auto"/>
      </w:divBdr>
    </w:div>
    <w:div w:id="167408414">
      <w:bodyDiv w:val="1"/>
      <w:marLeft w:val="0"/>
      <w:marRight w:val="0"/>
      <w:marTop w:val="0"/>
      <w:marBottom w:val="0"/>
      <w:divBdr>
        <w:top w:val="none" w:sz="0" w:space="0" w:color="auto"/>
        <w:left w:val="none" w:sz="0" w:space="0" w:color="auto"/>
        <w:bottom w:val="none" w:sz="0" w:space="0" w:color="auto"/>
        <w:right w:val="none" w:sz="0" w:space="0" w:color="auto"/>
      </w:divBdr>
    </w:div>
    <w:div w:id="191723997">
      <w:bodyDiv w:val="1"/>
      <w:marLeft w:val="0"/>
      <w:marRight w:val="0"/>
      <w:marTop w:val="0"/>
      <w:marBottom w:val="0"/>
      <w:divBdr>
        <w:top w:val="none" w:sz="0" w:space="0" w:color="auto"/>
        <w:left w:val="none" w:sz="0" w:space="0" w:color="auto"/>
        <w:bottom w:val="none" w:sz="0" w:space="0" w:color="auto"/>
        <w:right w:val="none" w:sz="0" w:space="0" w:color="auto"/>
      </w:divBdr>
    </w:div>
    <w:div w:id="212280557">
      <w:bodyDiv w:val="1"/>
      <w:marLeft w:val="0"/>
      <w:marRight w:val="0"/>
      <w:marTop w:val="0"/>
      <w:marBottom w:val="0"/>
      <w:divBdr>
        <w:top w:val="none" w:sz="0" w:space="0" w:color="auto"/>
        <w:left w:val="none" w:sz="0" w:space="0" w:color="auto"/>
        <w:bottom w:val="none" w:sz="0" w:space="0" w:color="auto"/>
        <w:right w:val="none" w:sz="0" w:space="0" w:color="auto"/>
      </w:divBdr>
    </w:div>
    <w:div w:id="334184870">
      <w:bodyDiv w:val="1"/>
      <w:marLeft w:val="0"/>
      <w:marRight w:val="0"/>
      <w:marTop w:val="0"/>
      <w:marBottom w:val="0"/>
      <w:divBdr>
        <w:top w:val="none" w:sz="0" w:space="0" w:color="auto"/>
        <w:left w:val="none" w:sz="0" w:space="0" w:color="auto"/>
        <w:bottom w:val="none" w:sz="0" w:space="0" w:color="auto"/>
        <w:right w:val="none" w:sz="0" w:space="0" w:color="auto"/>
      </w:divBdr>
    </w:div>
    <w:div w:id="342443770">
      <w:bodyDiv w:val="1"/>
      <w:marLeft w:val="0"/>
      <w:marRight w:val="0"/>
      <w:marTop w:val="0"/>
      <w:marBottom w:val="0"/>
      <w:divBdr>
        <w:top w:val="none" w:sz="0" w:space="0" w:color="auto"/>
        <w:left w:val="none" w:sz="0" w:space="0" w:color="auto"/>
        <w:bottom w:val="none" w:sz="0" w:space="0" w:color="auto"/>
        <w:right w:val="none" w:sz="0" w:space="0" w:color="auto"/>
      </w:divBdr>
    </w:div>
    <w:div w:id="390464444">
      <w:bodyDiv w:val="1"/>
      <w:marLeft w:val="0"/>
      <w:marRight w:val="0"/>
      <w:marTop w:val="0"/>
      <w:marBottom w:val="0"/>
      <w:divBdr>
        <w:top w:val="none" w:sz="0" w:space="0" w:color="auto"/>
        <w:left w:val="none" w:sz="0" w:space="0" w:color="auto"/>
        <w:bottom w:val="none" w:sz="0" w:space="0" w:color="auto"/>
        <w:right w:val="none" w:sz="0" w:space="0" w:color="auto"/>
      </w:divBdr>
    </w:div>
    <w:div w:id="423576066">
      <w:bodyDiv w:val="1"/>
      <w:marLeft w:val="0"/>
      <w:marRight w:val="0"/>
      <w:marTop w:val="0"/>
      <w:marBottom w:val="0"/>
      <w:divBdr>
        <w:top w:val="none" w:sz="0" w:space="0" w:color="auto"/>
        <w:left w:val="none" w:sz="0" w:space="0" w:color="auto"/>
        <w:bottom w:val="none" w:sz="0" w:space="0" w:color="auto"/>
        <w:right w:val="none" w:sz="0" w:space="0" w:color="auto"/>
      </w:divBdr>
    </w:div>
    <w:div w:id="505874457">
      <w:bodyDiv w:val="1"/>
      <w:marLeft w:val="0"/>
      <w:marRight w:val="0"/>
      <w:marTop w:val="0"/>
      <w:marBottom w:val="0"/>
      <w:divBdr>
        <w:top w:val="none" w:sz="0" w:space="0" w:color="auto"/>
        <w:left w:val="none" w:sz="0" w:space="0" w:color="auto"/>
        <w:bottom w:val="none" w:sz="0" w:space="0" w:color="auto"/>
        <w:right w:val="none" w:sz="0" w:space="0" w:color="auto"/>
      </w:divBdr>
    </w:div>
    <w:div w:id="535048198">
      <w:bodyDiv w:val="1"/>
      <w:marLeft w:val="0"/>
      <w:marRight w:val="0"/>
      <w:marTop w:val="0"/>
      <w:marBottom w:val="0"/>
      <w:divBdr>
        <w:top w:val="none" w:sz="0" w:space="0" w:color="auto"/>
        <w:left w:val="none" w:sz="0" w:space="0" w:color="auto"/>
        <w:bottom w:val="none" w:sz="0" w:space="0" w:color="auto"/>
        <w:right w:val="none" w:sz="0" w:space="0" w:color="auto"/>
      </w:divBdr>
    </w:div>
    <w:div w:id="543448648">
      <w:bodyDiv w:val="1"/>
      <w:marLeft w:val="0"/>
      <w:marRight w:val="0"/>
      <w:marTop w:val="0"/>
      <w:marBottom w:val="0"/>
      <w:divBdr>
        <w:top w:val="none" w:sz="0" w:space="0" w:color="auto"/>
        <w:left w:val="none" w:sz="0" w:space="0" w:color="auto"/>
        <w:bottom w:val="none" w:sz="0" w:space="0" w:color="auto"/>
        <w:right w:val="none" w:sz="0" w:space="0" w:color="auto"/>
      </w:divBdr>
    </w:div>
    <w:div w:id="560873190">
      <w:bodyDiv w:val="1"/>
      <w:marLeft w:val="0"/>
      <w:marRight w:val="0"/>
      <w:marTop w:val="0"/>
      <w:marBottom w:val="0"/>
      <w:divBdr>
        <w:top w:val="none" w:sz="0" w:space="0" w:color="auto"/>
        <w:left w:val="none" w:sz="0" w:space="0" w:color="auto"/>
        <w:bottom w:val="none" w:sz="0" w:space="0" w:color="auto"/>
        <w:right w:val="none" w:sz="0" w:space="0" w:color="auto"/>
      </w:divBdr>
    </w:div>
    <w:div w:id="603339543">
      <w:bodyDiv w:val="1"/>
      <w:marLeft w:val="0"/>
      <w:marRight w:val="0"/>
      <w:marTop w:val="0"/>
      <w:marBottom w:val="0"/>
      <w:divBdr>
        <w:top w:val="none" w:sz="0" w:space="0" w:color="auto"/>
        <w:left w:val="none" w:sz="0" w:space="0" w:color="auto"/>
        <w:bottom w:val="none" w:sz="0" w:space="0" w:color="auto"/>
        <w:right w:val="none" w:sz="0" w:space="0" w:color="auto"/>
      </w:divBdr>
    </w:div>
    <w:div w:id="604119995">
      <w:bodyDiv w:val="1"/>
      <w:marLeft w:val="0"/>
      <w:marRight w:val="0"/>
      <w:marTop w:val="0"/>
      <w:marBottom w:val="0"/>
      <w:divBdr>
        <w:top w:val="none" w:sz="0" w:space="0" w:color="auto"/>
        <w:left w:val="none" w:sz="0" w:space="0" w:color="auto"/>
        <w:bottom w:val="none" w:sz="0" w:space="0" w:color="auto"/>
        <w:right w:val="none" w:sz="0" w:space="0" w:color="auto"/>
      </w:divBdr>
    </w:div>
    <w:div w:id="625165129">
      <w:bodyDiv w:val="1"/>
      <w:marLeft w:val="0"/>
      <w:marRight w:val="0"/>
      <w:marTop w:val="0"/>
      <w:marBottom w:val="0"/>
      <w:divBdr>
        <w:top w:val="none" w:sz="0" w:space="0" w:color="auto"/>
        <w:left w:val="none" w:sz="0" w:space="0" w:color="auto"/>
        <w:bottom w:val="none" w:sz="0" w:space="0" w:color="auto"/>
        <w:right w:val="none" w:sz="0" w:space="0" w:color="auto"/>
      </w:divBdr>
    </w:div>
    <w:div w:id="670913402">
      <w:bodyDiv w:val="1"/>
      <w:marLeft w:val="0"/>
      <w:marRight w:val="0"/>
      <w:marTop w:val="0"/>
      <w:marBottom w:val="0"/>
      <w:divBdr>
        <w:top w:val="none" w:sz="0" w:space="0" w:color="auto"/>
        <w:left w:val="none" w:sz="0" w:space="0" w:color="auto"/>
        <w:bottom w:val="none" w:sz="0" w:space="0" w:color="auto"/>
        <w:right w:val="none" w:sz="0" w:space="0" w:color="auto"/>
      </w:divBdr>
    </w:div>
    <w:div w:id="684942639">
      <w:bodyDiv w:val="1"/>
      <w:marLeft w:val="0"/>
      <w:marRight w:val="0"/>
      <w:marTop w:val="0"/>
      <w:marBottom w:val="0"/>
      <w:divBdr>
        <w:top w:val="none" w:sz="0" w:space="0" w:color="auto"/>
        <w:left w:val="none" w:sz="0" w:space="0" w:color="auto"/>
        <w:bottom w:val="none" w:sz="0" w:space="0" w:color="auto"/>
        <w:right w:val="none" w:sz="0" w:space="0" w:color="auto"/>
      </w:divBdr>
    </w:div>
    <w:div w:id="708803280">
      <w:bodyDiv w:val="1"/>
      <w:marLeft w:val="0"/>
      <w:marRight w:val="0"/>
      <w:marTop w:val="0"/>
      <w:marBottom w:val="0"/>
      <w:divBdr>
        <w:top w:val="none" w:sz="0" w:space="0" w:color="auto"/>
        <w:left w:val="none" w:sz="0" w:space="0" w:color="auto"/>
        <w:bottom w:val="none" w:sz="0" w:space="0" w:color="auto"/>
        <w:right w:val="none" w:sz="0" w:space="0" w:color="auto"/>
      </w:divBdr>
    </w:div>
    <w:div w:id="710495929">
      <w:bodyDiv w:val="1"/>
      <w:marLeft w:val="0"/>
      <w:marRight w:val="0"/>
      <w:marTop w:val="0"/>
      <w:marBottom w:val="0"/>
      <w:divBdr>
        <w:top w:val="none" w:sz="0" w:space="0" w:color="auto"/>
        <w:left w:val="none" w:sz="0" w:space="0" w:color="auto"/>
        <w:bottom w:val="none" w:sz="0" w:space="0" w:color="auto"/>
        <w:right w:val="none" w:sz="0" w:space="0" w:color="auto"/>
      </w:divBdr>
    </w:div>
    <w:div w:id="731389425">
      <w:bodyDiv w:val="1"/>
      <w:marLeft w:val="0"/>
      <w:marRight w:val="0"/>
      <w:marTop w:val="0"/>
      <w:marBottom w:val="0"/>
      <w:divBdr>
        <w:top w:val="none" w:sz="0" w:space="0" w:color="auto"/>
        <w:left w:val="none" w:sz="0" w:space="0" w:color="auto"/>
        <w:bottom w:val="none" w:sz="0" w:space="0" w:color="auto"/>
        <w:right w:val="none" w:sz="0" w:space="0" w:color="auto"/>
      </w:divBdr>
    </w:div>
    <w:div w:id="733045460">
      <w:bodyDiv w:val="1"/>
      <w:marLeft w:val="0"/>
      <w:marRight w:val="0"/>
      <w:marTop w:val="0"/>
      <w:marBottom w:val="0"/>
      <w:divBdr>
        <w:top w:val="none" w:sz="0" w:space="0" w:color="auto"/>
        <w:left w:val="none" w:sz="0" w:space="0" w:color="auto"/>
        <w:bottom w:val="none" w:sz="0" w:space="0" w:color="auto"/>
        <w:right w:val="none" w:sz="0" w:space="0" w:color="auto"/>
      </w:divBdr>
    </w:div>
    <w:div w:id="754744710">
      <w:bodyDiv w:val="1"/>
      <w:marLeft w:val="0"/>
      <w:marRight w:val="0"/>
      <w:marTop w:val="0"/>
      <w:marBottom w:val="0"/>
      <w:divBdr>
        <w:top w:val="none" w:sz="0" w:space="0" w:color="auto"/>
        <w:left w:val="none" w:sz="0" w:space="0" w:color="auto"/>
        <w:bottom w:val="none" w:sz="0" w:space="0" w:color="auto"/>
        <w:right w:val="none" w:sz="0" w:space="0" w:color="auto"/>
      </w:divBdr>
    </w:div>
    <w:div w:id="755328844">
      <w:bodyDiv w:val="1"/>
      <w:marLeft w:val="0"/>
      <w:marRight w:val="0"/>
      <w:marTop w:val="0"/>
      <w:marBottom w:val="0"/>
      <w:divBdr>
        <w:top w:val="none" w:sz="0" w:space="0" w:color="auto"/>
        <w:left w:val="none" w:sz="0" w:space="0" w:color="auto"/>
        <w:bottom w:val="none" w:sz="0" w:space="0" w:color="auto"/>
        <w:right w:val="none" w:sz="0" w:space="0" w:color="auto"/>
      </w:divBdr>
    </w:div>
    <w:div w:id="793014132">
      <w:bodyDiv w:val="1"/>
      <w:marLeft w:val="0"/>
      <w:marRight w:val="0"/>
      <w:marTop w:val="0"/>
      <w:marBottom w:val="0"/>
      <w:divBdr>
        <w:top w:val="none" w:sz="0" w:space="0" w:color="auto"/>
        <w:left w:val="none" w:sz="0" w:space="0" w:color="auto"/>
        <w:bottom w:val="none" w:sz="0" w:space="0" w:color="auto"/>
        <w:right w:val="none" w:sz="0" w:space="0" w:color="auto"/>
      </w:divBdr>
    </w:div>
    <w:div w:id="820080715">
      <w:bodyDiv w:val="1"/>
      <w:marLeft w:val="0"/>
      <w:marRight w:val="0"/>
      <w:marTop w:val="0"/>
      <w:marBottom w:val="0"/>
      <w:divBdr>
        <w:top w:val="none" w:sz="0" w:space="0" w:color="auto"/>
        <w:left w:val="none" w:sz="0" w:space="0" w:color="auto"/>
        <w:bottom w:val="none" w:sz="0" w:space="0" w:color="auto"/>
        <w:right w:val="none" w:sz="0" w:space="0" w:color="auto"/>
      </w:divBdr>
    </w:div>
    <w:div w:id="864485571">
      <w:bodyDiv w:val="1"/>
      <w:marLeft w:val="0"/>
      <w:marRight w:val="0"/>
      <w:marTop w:val="0"/>
      <w:marBottom w:val="0"/>
      <w:divBdr>
        <w:top w:val="none" w:sz="0" w:space="0" w:color="auto"/>
        <w:left w:val="none" w:sz="0" w:space="0" w:color="auto"/>
        <w:bottom w:val="none" w:sz="0" w:space="0" w:color="auto"/>
        <w:right w:val="none" w:sz="0" w:space="0" w:color="auto"/>
      </w:divBdr>
    </w:div>
    <w:div w:id="921528299">
      <w:bodyDiv w:val="1"/>
      <w:marLeft w:val="0"/>
      <w:marRight w:val="0"/>
      <w:marTop w:val="0"/>
      <w:marBottom w:val="0"/>
      <w:divBdr>
        <w:top w:val="none" w:sz="0" w:space="0" w:color="auto"/>
        <w:left w:val="none" w:sz="0" w:space="0" w:color="auto"/>
        <w:bottom w:val="none" w:sz="0" w:space="0" w:color="auto"/>
        <w:right w:val="none" w:sz="0" w:space="0" w:color="auto"/>
      </w:divBdr>
    </w:div>
    <w:div w:id="950210972">
      <w:bodyDiv w:val="1"/>
      <w:marLeft w:val="0"/>
      <w:marRight w:val="0"/>
      <w:marTop w:val="0"/>
      <w:marBottom w:val="0"/>
      <w:divBdr>
        <w:top w:val="none" w:sz="0" w:space="0" w:color="auto"/>
        <w:left w:val="none" w:sz="0" w:space="0" w:color="auto"/>
        <w:bottom w:val="none" w:sz="0" w:space="0" w:color="auto"/>
        <w:right w:val="none" w:sz="0" w:space="0" w:color="auto"/>
      </w:divBdr>
    </w:div>
    <w:div w:id="987782812">
      <w:bodyDiv w:val="1"/>
      <w:marLeft w:val="0"/>
      <w:marRight w:val="0"/>
      <w:marTop w:val="0"/>
      <w:marBottom w:val="0"/>
      <w:divBdr>
        <w:top w:val="none" w:sz="0" w:space="0" w:color="auto"/>
        <w:left w:val="none" w:sz="0" w:space="0" w:color="auto"/>
        <w:bottom w:val="none" w:sz="0" w:space="0" w:color="auto"/>
        <w:right w:val="none" w:sz="0" w:space="0" w:color="auto"/>
      </w:divBdr>
    </w:div>
    <w:div w:id="1129475586">
      <w:bodyDiv w:val="1"/>
      <w:marLeft w:val="0"/>
      <w:marRight w:val="0"/>
      <w:marTop w:val="0"/>
      <w:marBottom w:val="0"/>
      <w:divBdr>
        <w:top w:val="none" w:sz="0" w:space="0" w:color="auto"/>
        <w:left w:val="none" w:sz="0" w:space="0" w:color="auto"/>
        <w:bottom w:val="none" w:sz="0" w:space="0" w:color="auto"/>
        <w:right w:val="none" w:sz="0" w:space="0" w:color="auto"/>
      </w:divBdr>
    </w:div>
    <w:div w:id="1155995949">
      <w:bodyDiv w:val="1"/>
      <w:marLeft w:val="0"/>
      <w:marRight w:val="0"/>
      <w:marTop w:val="0"/>
      <w:marBottom w:val="0"/>
      <w:divBdr>
        <w:top w:val="none" w:sz="0" w:space="0" w:color="auto"/>
        <w:left w:val="none" w:sz="0" w:space="0" w:color="auto"/>
        <w:bottom w:val="none" w:sz="0" w:space="0" w:color="auto"/>
        <w:right w:val="none" w:sz="0" w:space="0" w:color="auto"/>
      </w:divBdr>
    </w:div>
    <w:div w:id="1214275747">
      <w:bodyDiv w:val="1"/>
      <w:marLeft w:val="0"/>
      <w:marRight w:val="0"/>
      <w:marTop w:val="0"/>
      <w:marBottom w:val="0"/>
      <w:divBdr>
        <w:top w:val="none" w:sz="0" w:space="0" w:color="auto"/>
        <w:left w:val="none" w:sz="0" w:space="0" w:color="auto"/>
        <w:bottom w:val="none" w:sz="0" w:space="0" w:color="auto"/>
        <w:right w:val="none" w:sz="0" w:space="0" w:color="auto"/>
      </w:divBdr>
    </w:div>
    <w:div w:id="1245652739">
      <w:bodyDiv w:val="1"/>
      <w:marLeft w:val="0"/>
      <w:marRight w:val="0"/>
      <w:marTop w:val="0"/>
      <w:marBottom w:val="0"/>
      <w:divBdr>
        <w:top w:val="none" w:sz="0" w:space="0" w:color="auto"/>
        <w:left w:val="none" w:sz="0" w:space="0" w:color="auto"/>
        <w:bottom w:val="none" w:sz="0" w:space="0" w:color="auto"/>
        <w:right w:val="none" w:sz="0" w:space="0" w:color="auto"/>
      </w:divBdr>
    </w:div>
    <w:div w:id="1303541743">
      <w:bodyDiv w:val="1"/>
      <w:marLeft w:val="0"/>
      <w:marRight w:val="0"/>
      <w:marTop w:val="0"/>
      <w:marBottom w:val="0"/>
      <w:divBdr>
        <w:top w:val="none" w:sz="0" w:space="0" w:color="auto"/>
        <w:left w:val="none" w:sz="0" w:space="0" w:color="auto"/>
        <w:bottom w:val="none" w:sz="0" w:space="0" w:color="auto"/>
        <w:right w:val="none" w:sz="0" w:space="0" w:color="auto"/>
      </w:divBdr>
    </w:div>
    <w:div w:id="1342390000">
      <w:bodyDiv w:val="1"/>
      <w:marLeft w:val="0"/>
      <w:marRight w:val="0"/>
      <w:marTop w:val="0"/>
      <w:marBottom w:val="0"/>
      <w:divBdr>
        <w:top w:val="none" w:sz="0" w:space="0" w:color="auto"/>
        <w:left w:val="none" w:sz="0" w:space="0" w:color="auto"/>
        <w:bottom w:val="none" w:sz="0" w:space="0" w:color="auto"/>
        <w:right w:val="none" w:sz="0" w:space="0" w:color="auto"/>
      </w:divBdr>
    </w:div>
    <w:div w:id="1381368768">
      <w:bodyDiv w:val="1"/>
      <w:marLeft w:val="0"/>
      <w:marRight w:val="0"/>
      <w:marTop w:val="0"/>
      <w:marBottom w:val="0"/>
      <w:divBdr>
        <w:top w:val="none" w:sz="0" w:space="0" w:color="auto"/>
        <w:left w:val="none" w:sz="0" w:space="0" w:color="auto"/>
        <w:bottom w:val="none" w:sz="0" w:space="0" w:color="auto"/>
        <w:right w:val="none" w:sz="0" w:space="0" w:color="auto"/>
      </w:divBdr>
    </w:div>
    <w:div w:id="1491555111">
      <w:bodyDiv w:val="1"/>
      <w:marLeft w:val="0"/>
      <w:marRight w:val="0"/>
      <w:marTop w:val="0"/>
      <w:marBottom w:val="0"/>
      <w:divBdr>
        <w:top w:val="none" w:sz="0" w:space="0" w:color="auto"/>
        <w:left w:val="none" w:sz="0" w:space="0" w:color="auto"/>
        <w:bottom w:val="none" w:sz="0" w:space="0" w:color="auto"/>
        <w:right w:val="none" w:sz="0" w:space="0" w:color="auto"/>
      </w:divBdr>
    </w:div>
    <w:div w:id="1499269911">
      <w:bodyDiv w:val="1"/>
      <w:marLeft w:val="0"/>
      <w:marRight w:val="0"/>
      <w:marTop w:val="0"/>
      <w:marBottom w:val="0"/>
      <w:divBdr>
        <w:top w:val="none" w:sz="0" w:space="0" w:color="auto"/>
        <w:left w:val="none" w:sz="0" w:space="0" w:color="auto"/>
        <w:bottom w:val="none" w:sz="0" w:space="0" w:color="auto"/>
        <w:right w:val="none" w:sz="0" w:space="0" w:color="auto"/>
      </w:divBdr>
    </w:div>
    <w:div w:id="1590310315">
      <w:bodyDiv w:val="1"/>
      <w:marLeft w:val="0"/>
      <w:marRight w:val="0"/>
      <w:marTop w:val="0"/>
      <w:marBottom w:val="0"/>
      <w:divBdr>
        <w:top w:val="none" w:sz="0" w:space="0" w:color="auto"/>
        <w:left w:val="none" w:sz="0" w:space="0" w:color="auto"/>
        <w:bottom w:val="none" w:sz="0" w:space="0" w:color="auto"/>
        <w:right w:val="none" w:sz="0" w:space="0" w:color="auto"/>
      </w:divBdr>
    </w:div>
    <w:div w:id="1593246521">
      <w:bodyDiv w:val="1"/>
      <w:marLeft w:val="0"/>
      <w:marRight w:val="0"/>
      <w:marTop w:val="0"/>
      <w:marBottom w:val="0"/>
      <w:divBdr>
        <w:top w:val="none" w:sz="0" w:space="0" w:color="auto"/>
        <w:left w:val="none" w:sz="0" w:space="0" w:color="auto"/>
        <w:bottom w:val="none" w:sz="0" w:space="0" w:color="auto"/>
        <w:right w:val="none" w:sz="0" w:space="0" w:color="auto"/>
      </w:divBdr>
    </w:div>
    <w:div w:id="1750617766">
      <w:bodyDiv w:val="1"/>
      <w:marLeft w:val="0"/>
      <w:marRight w:val="0"/>
      <w:marTop w:val="0"/>
      <w:marBottom w:val="0"/>
      <w:divBdr>
        <w:top w:val="none" w:sz="0" w:space="0" w:color="auto"/>
        <w:left w:val="none" w:sz="0" w:space="0" w:color="auto"/>
        <w:bottom w:val="none" w:sz="0" w:space="0" w:color="auto"/>
        <w:right w:val="none" w:sz="0" w:space="0" w:color="auto"/>
      </w:divBdr>
    </w:div>
    <w:div w:id="1861115738">
      <w:bodyDiv w:val="1"/>
      <w:marLeft w:val="0"/>
      <w:marRight w:val="0"/>
      <w:marTop w:val="0"/>
      <w:marBottom w:val="0"/>
      <w:divBdr>
        <w:top w:val="none" w:sz="0" w:space="0" w:color="auto"/>
        <w:left w:val="none" w:sz="0" w:space="0" w:color="auto"/>
        <w:bottom w:val="none" w:sz="0" w:space="0" w:color="auto"/>
        <w:right w:val="none" w:sz="0" w:space="0" w:color="auto"/>
      </w:divBdr>
    </w:div>
    <w:div w:id="1874881017">
      <w:bodyDiv w:val="1"/>
      <w:marLeft w:val="0"/>
      <w:marRight w:val="0"/>
      <w:marTop w:val="0"/>
      <w:marBottom w:val="0"/>
      <w:divBdr>
        <w:top w:val="none" w:sz="0" w:space="0" w:color="auto"/>
        <w:left w:val="none" w:sz="0" w:space="0" w:color="auto"/>
        <w:bottom w:val="none" w:sz="0" w:space="0" w:color="auto"/>
        <w:right w:val="none" w:sz="0" w:space="0" w:color="auto"/>
      </w:divBdr>
    </w:div>
    <w:div w:id="1941639407">
      <w:bodyDiv w:val="1"/>
      <w:marLeft w:val="0"/>
      <w:marRight w:val="0"/>
      <w:marTop w:val="0"/>
      <w:marBottom w:val="0"/>
      <w:divBdr>
        <w:top w:val="none" w:sz="0" w:space="0" w:color="auto"/>
        <w:left w:val="none" w:sz="0" w:space="0" w:color="auto"/>
        <w:bottom w:val="none" w:sz="0" w:space="0" w:color="auto"/>
        <w:right w:val="none" w:sz="0" w:space="0" w:color="auto"/>
      </w:divBdr>
    </w:div>
    <w:div w:id="1968467908">
      <w:bodyDiv w:val="1"/>
      <w:marLeft w:val="0"/>
      <w:marRight w:val="0"/>
      <w:marTop w:val="0"/>
      <w:marBottom w:val="0"/>
      <w:divBdr>
        <w:top w:val="none" w:sz="0" w:space="0" w:color="auto"/>
        <w:left w:val="none" w:sz="0" w:space="0" w:color="auto"/>
        <w:bottom w:val="none" w:sz="0" w:space="0" w:color="auto"/>
        <w:right w:val="none" w:sz="0" w:space="0" w:color="auto"/>
      </w:divBdr>
    </w:div>
    <w:div w:id="2090688402">
      <w:bodyDiv w:val="1"/>
      <w:marLeft w:val="0"/>
      <w:marRight w:val="0"/>
      <w:marTop w:val="0"/>
      <w:marBottom w:val="0"/>
      <w:divBdr>
        <w:top w:val="none" w:sz="0" w:space="0" w:color="auto"/>
        <w:left w:val="none" w:sz="0" w:space="0" w:color="auto"/>
        <w:bottom w:val="none" w:sz="0" w:space="0" w:color="auto"/>
        <w:right w:val="none" w:sz="0" w:space="0" w:color="auto"/>
      </w:divBdr>
    </w:div>
    <w:div w:id="2097827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07/s11127-020-00848-9" TargetMode="External"/><Relationship Id="rId18" Type="http://schemas.openxmlformats.org/officeDocument/2006/relationships/hyperlink" Target="https://doi.org/10.2139/ssrn.3534451"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govinfo.gov/content/pkg/USCODE-2020-title26/html/USCODE-2020-title26-subtitleE-chap53-subchapB-partI-sec5842.htm" TargetMode="External"/><Relationship Id="rId7" Type="http://schemas.openxmlformats.org/officeDocument/2006/relationships/footnotes" Target="footnotes.xml"/><Relationship Id="rId12" Type="http://schemas.openxmlformats.org/officeDocument/2006/relationships/hyperlink" Target="https://www.congress.gov/115/plaws/publ97/PLAW-115publ97.pdf" TargetMode="External"/><Relationship Id="rId17" Type="http://schemas.openxmlformats.org/officeDocument/2006/relationships/hyperlink" Target="https://doi.org/10.1257/jep.38.3.113"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i.org/10.3386/w26587" TargetMode="External"/><Relationship Id="rId20" Type="http://schemas.openxmlformats.org/officeDocument/2006/relationships/hyperlink" Target="https://www.irs.gov/newsroom/opportunity-zon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i.org/10.2139/ssrn.3385502" TargetMode="External"/><Relationship Id="rId5" Type="http://schemas.openxmlformats.org/officeDocument/2006/relationships/settings" Target="settings.xml"/><Relationship Id="rId15" Type="http://schemas.openxmlformats.org/officeDocument/2006/relationships/hyperlink" Target="https://data.census.gov/map?q=EMP&amp;layer=VT_2023_040_00_PP_D1&amp;loc=43.3751%2C-113.1138%2Cz2.6270" TargetMode="External"/><Relationship Id="rId23" Type="http://schemas.openxmlformats.org/officeDocument/2006/relationships/hyperlink" Target="https://www.cbsnews.com/news/trump-tax-cuts-brackets-salt-tax-child-tax-credit-2025/" TargetMode="External"/><Relationship Id="rId10" Type="http://schemas.openxmlformats.org/officeDocument/2006/relationships/image" Target="media/image2.png"/><Relationship Id="rId19" Type="http://schemas.openxmlformats.org/officeDocument/2006/relationships/hyperlink" Target="https://doi.org/10.3386/w2857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i.org/10.1287/mnsc.2022.03223" TargetMode="External"/><Relationship Id="rId22" Type="http://schemas.openxmlformats.org/officeDocument/2006/relationships/hyperlink" Target="https://www.brookings.edu/articles/learning-from-opportunity-zones-how-to-improve-place-based-polici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dCkf6ezxP10qpf0eXxB0ahY47w==">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</go:docsCustomData>
</go:gDocsCustomXmlDataStorage>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74AA4DD-5C2E-4673-9608-6AFBA1F52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7524</TotalTime>
  <Pages>30</Pages>
  <Words>7657</Words>
  <Characters>43649</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Coleman</dc:creator>
  <cp:lastModifiedBy>Kevin Coleman</cp:lastModifiedBy>
  <cp:revision>727</cp:revision>
  <dcterms:created xsi:type="dcterms:W3CDTF">2025-04-01T00:32:00Z</dcterms:created>
  <dcterms:modified xsi:type="dcterms:W3CDTF">2025-05-12T00:53:00Z</dcterms:modified>
</cp:coreProperties>
</file>