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C0B8A" w14:textId="77777777" w:rsidR="009A710F" w:rsidRDefault="009A710F" w:rsidP="009A710F">
      <w:pPr>
        <w:jc w:val="center"/>
      </w:pPr>
    </w:p>
    <w:p w14:paraId="6F0075D5" w14:textId="77777777" w:rsidR="009A710F" w:rsidRDefault="009A710F" w:rsidP="009A710F">
      <w:pPr>
        <w:jc w:val="center"/>
      </w:pPr>
    </w:p>
    <w:p w14:paraId="6D6F8952" w14:textId="77777777" w:rsidR="009A710F" w:rsidRDefault="009A710F" w:rsidP="009A710F">
      <w:pPr>
        <w:jc w:val="center"/>
      </w:pPr>
    </w:p>
    <w:p w14:paraId="2CED9AAE" w14:textId="77777777" w:rsidR="009A710F" w:rsidRDefault="009A710F" w:rsidP="009A710F">
      <w:pPr>
        <w:jc w:val="center"/>
      </w:pPr>
    </w:p>
    <w:p w14:paraId="566749FB" w14:textId="77777777" w:rsidR="009A710F" w:rsidRDefault="009A710F" w:rsidP="009A710F">
      <w:pPr>
        <w:jc w:val="center"/>
      </w:pPr>
    </w:p>
    <w:p w14:paraId="09D37ACD" w14:textId="77777777" w:rsidR="009A710F" w:rsidRDefault="009A710F" w:rsidP="009A710F">
      <w:pPr>
        <w:jc w:val="center"/>
      </w:pPr>
    </w:p>
    <w:p w14:paraId="4CA7C5E9" w14:textId="77777777" w:rsidR="009A710F" w:rsidRDefault="009A710F" w:rsidP="009A710F">
      <w:pPr>
        <w:jc w:val="center"/>
      </w:pPr>
    </w:p>
    <w:p w14:paraId="2CF0C7D4" w14:textId="111ACFEF" w:rsidR="0081098E" w:rsidRDefault="009A710F" w:rsidP="009A710F">
      <w:pPr>
        <w:jc w:val="center"/>
      </w:pPr>
      <w:r>
        <w:t>NAME:</w:t>
      </w:r>
    </w:p>
    <w:p w14:paraId="330EBA95" w14:textId="5B605D6D" w:rsidR="009A710F" w:rsidRDefault="009A710F" w:rsidP="009A710F">
      <w:pPr>
        <w:jc w:val="center"/>
      </w:pPr>
      <w:r>
        <w:t>DATE:</w:t>
      </w:r>
    </w:p>
    <w:p w14:paraId="1AECFA03" w14:textId="10400FA6" w:rsidR="009A710F" w:rsidRDefault="009A710F" w:rsidP="009A710F">
      <w:pPr>
        <w:jc w:val="center"/>
      </w:pPr>
    </w:p>
    <w:p w14:paraId="04A4FC85" w14:textId="48782A0C" w:rsidR="009A710F" w:rsidRDefault="009A710F" w:rsidP="009A710F">
      <w:pPr>
        <w:jc w:val="center"/>
      </w:pPr>
    </w:p>
    <w:p w14:paraId="44F1DCE2" w14:textId="0DB3B1BB" w:rsidR="009A710F" w:rsidRDefault="009A710F" w:rsidP="009A710F">
      <w:pPr>
        <w:jc w:val="center"/>
      </w:pPr>
    </w:p>
    <w:p w14:paraId="41B60E6D" w14:textId="00544DFC" w:rsidR="009A710F" w:rsidRDefault="009A710F" w:rsidP="009A710F">
      <w:pPr>
        <w:jc w:val="center"/>
      </w:pPr>
    </w:p>
    <w:p w14:paraId="3D405C9E" w14:textId="692DE959" w:rsidR="009A710F" w:rsidRDefault="009A710F" w:rsidP="009A710F">
      <w:pPr>
        <w:jc w:val="center"/>
      </w:pPr>
    </w:p>
    <w:p w14:paraId="215DDC4B" w14:textId="28D8DE5F" w:rsidR="009A710F" w:rsidRDefault="009A710F" w:rsidP="009A710F">
      <w:pPr>
        <w:jc w:val="center"/>
      </w:pPr>
    </w:p>
    <w:p w14:paraId="22D7B409" w14:textId="482288B9" w:rsidR="009A710F" w:rsidRDefault="009A710F" w:rsidP="009A710F">
      <w:pPr>
        <w:jc w:val="center"/>
      </w:pPr>
    </w:p>
    <w:p w14:paraId="6FE3F7AC" w14:textId="17A172DB" w:rsidR="009A710F" w:rsidRDefault="009A710F" w:rsidP="009A710F">
      <w:pPr>
        <w:jc w:val="center"/>
      </w:pPr>
    </w:p>
    <w:p w14:paraId="27BFE84B" w14:textId="083F4996" w:rsidR="009A710F" w:rsidRDefault="009A710F" w:rsidP="009A710F">
      <w:pPr>
        <w:jc w:val="center"/>
      </w:pPr>
    </w:p>
    <w:p w14:paraId="7EF6A5C7" w14:textId="5742BC87" w:rsidR="009A710F" w:rsidRDefault="009A710F" w:rsidP="009A710F">
      <w:pPr>
        <w:jc w:val="center"/>
      </w:pPr>
    </w:p>
    <w:p w14:paraId="36475CFD" w14:textId="6AC7167F" w:rsidR="009A710F" w:rsidRDefault="009A710F" w:rsidP="009A710F">
      <w:pPr>
        <w:jc w:val="center"/>
      </w:pPr>
    </w:p>
    <w:p w14:paraId="72B6F600" w14:textId="7008658B" w:rsidR="009A710F" w:rsidRDefault="009A710F" w:rsidP="009A710F">
      <w:pPr>
        <w:jc w:val="center"/>
      </w:pPr>
    </w:p>
    <w:p w14:paraId="0D2C75F8" w14:textId="7DB650EE" w:rsidR="009A710F" w:rsidRDefault="009A710F" w:rsidP="009A710F">
      <w:pPr>
        <w:jc w:val="center"/>
      </w:pPr>
    </w:p>
    <w:p w14:paraId="564BB03F" w14:textId="30B54F68" w:rsidR="009A710F" w:rsidRDefault="009A710F" w:rsidP="009A710F">
      <w:pPr>
        <w:jc w:val="center"/>
      </w:pPr>
    </w:p>
    <w:p w14:paraId="36B41F8D" w14:textId="744289D0" w:rsidR="009A710F" w:rsidRDefault="009A3794" w:rsidP="009A710F">
      <w:pPr>
        <w:rPr>
          <w:b/>
          <w:bCs/>
        </w:rPr>
      </w:pPr>
      <w:r>
        <w:rPr>
          <w:b/>
          <w:bCs/>
        </w:rPr>
        <w:lastRenderedPageBreak/>
        <w:t>Di</w:t>
      </w:r>
      <w:r w:rsidR="009A710F" w:rsidRPr="00820612">
        <w:rPr>
          <w:b/>
          <w:bCs/>
        </w:rPr>
        <w:t>ffusion of gases</w:t>
      </w:r>
    </w:p>
    <w:p w14:paraId="37ADEEF8" w14:textId="48AB3E0A" w:rsidR="009A3794" w:rsidRDefault="00360B72" w:rsidP="00D73F23">
      <w:pPr>
        <w:jc w:val="both"/>
      </w:pPr>
      <w:r>
        <w:t>Gas exchange refers to the process in which oxygen and carbon dioxide move between the bloodstream and the lungs</w:t>
      </w:r>
      <w:r w:rsidR="00EC69A8">
        <w:t xml:space="preserve"> </w:t>
      </w:r>
      <w:r w:rsidR="00EC69A8">
        <w:fldChar w:fldCharType="begin" w:fldLock="1"/>
      </w:r>
      <w:r w:rsidR="00EC69A8">
        <w:instrText>ADDIN CSL_CITATION {"citationItems":[{"id":"ITEM-1","itemData":{"DOI":"10.1007/978-3-319-94159-2_5","ISBN":"978-3-319-94159-2","abstract":"Gas exchange is the primary function of the lung. The basic process is the transfer of oxygen (O2) from the inspired air to the bloodstream and the transport of carbon dioxide (CO2) produced by metabolism out of the body via the expired gas. The three main structural considerations at play to facilitate this function are (1) the system of airways and the mechanical actions of the chest wall and respiratory muscles to move gas in and out of the lung; (2) the provision of a blood-gas interface which is very thin and has a very large surface area to promote the passive flow of O2 and CO2, driven only by partial pressure differences between alveolar gas and pulmonary capillary blood; and (3) the provision of a pulmonary vasculature sufficient both to perfuse the very large surface area of the blood-gas interface and to accommodate the full cardiac output with relatively low resistance.","author":[{"dropping-particle":"","family":"Graham","given":"Brian L","non-dropping-particle":"","parse-names":false,"suffix":""},{"dropping-particle":"","family":"MacIntyre","given":"Neil","non-dropping-particle":"","parse-names":false,"suffix":""},{"dropping-particle":"","family":"Huang","given":"Yuh Chin","non-dropping-particle":"","parse-names":false,"suffix":""}],"editor":[{"dropping-particle":"","family":"Kaminsky","given":"David A","non-dropping-particle":"","parse-names":false,"suffix":""},{"dropping-particle":"","family":"Irvin","given":"Charles G","non-dropping-particle":"","parse-names":false,"suffix":""}],"id":"ITEM-1","issued":{"date-parts":[["2018"]]},"page":"77-101","publisher":"Springer International Publishing","publisher-place":"Cham","title":"Gas Exchange BT  - Pulmonary Function Testing: Principles and Practice","type":"chapter"},"uris":["http://www.mendeley.com/documents/?uuid=79a92105-5c80-4a65-841e-211c282acee9"]}],"mendeley":{"formattedCitation":"(Graham et al., 2018)","plainTextFormattedCitation":"(Graham et al., 2018)","previouslyFormattedCitation":"(Graham et al., 2018)"},"properties":{"noteIndex":0},"schema":"https://github.com/citation-style-language/schema/raw/master/csl-citation.json"}</w:instrText>
      </w:r>
      <w:r w:rsidR="00EC69A8">
        <w:fldChar w:fldCharType="separate"/>
      </w:r>
      <w:r w:rsidR="00EC69A8" w:rsidRPr="00EC69A8">
        <w:rPr>
          <w:noProof/>
        </w:rPr>
        <w:t>(Graham et al., 2018)</w:t>
      </w:r>
      <w:r w:rsidR="00EC69A8">
        <w:fldChar w:fldCharType="end"/>
      </w:r>
      <w:r>
        <w:t xml:space="preserve">. </w:t>
      </w:r>
      <w:r w:rsidR="00D73F23">
        <w:t xml:space="preserve">During inhalation, air enters the body via the mouth or nose through to the pharynx trachea, and lungs. Within the lungs, trachea divides into smaller branches called </w:t>
      </w:r>
      <w:r w:rsidR="00155094">
        <w:t>bronchioles</w:t>
      </w:r>
      <w:r w:rsidR="00D73F23">
        <w:t xml:space="preserve"> which end in alveoli, tiny air sacs where gaseous exchange take place via diffusion. </w:t>
      </w:r>
      <w:r>
        <w:t xml:space="preserve">The movement of the gases is random but the overall direction is dependent on the concentration gradient. </w:t>
      </w:r>
      <w:r w:rsidR="00D522E9">
        <w:t xml:space="preserve">Oxygen diffuses from the lungs to the blood and at the same time carbon dioxide diffuse from blood to the lungs. </w:t>
      </w:r>
      <w:r>
        <w:t xml:space="preserve">The greater the concentration gradient the faster the rate of diffusion. In addition, the greater the </w:t>
      </w:r>
      <w:r w:rsidR="00530B25">
        <w:t xml:space="preserve">surface area for diffusion the faster the rate. </w:t>
      </w:r>
    </w:p>
    <w:p w14:paraId="674D2D87" w14:textId="086C2751" w:rsidR="005D2F03" w:rsidRDefault="00EF66FC" w:rsidP="004E4DE3">
      <w:pPr>
        <w:jc w:val="both"/>
      </w:pPr>
      <w:r>
        <w:t xml:space="preserve">Pulmonary diffusion capacity is a method used to assess lung function by measuring how well oxygen and carbon dioxide diffuse between </w:t>
      </w:r>
      <w:r w:rsidR="00C41C11">
        <w:t xml:space="preserve">the </w:t>
      </w:r>
      <w:r>
        <w:t>lungs and bloodstream</w:t>
      </w:r>
      <w:r w:rsidR="00EC69A8">
        <w:t xml:space="preserve"> </w:t>
      </w:r>
      <w:r w:rsidR="00EC69A8">
        <w:fldChar w:fldCharType="begin" w:fldLock="1"/>
      </w:r>
      <w:r w:rsidR="00A012D7">
        <w:instrText>ADDIN CSL_CITATION {"citationItems":[{"id":"ITEM-1","itemData":{"DOI":"https://doi.org/10.1378/chest.125.2.446","ISSN":"0012-3692","abstract":"Study objective Single-breath diffusing capacity of the lung for carbon monoxide (Dlco) is used as a pulmonary function test (PFT) to assess gas transfer in the lungs. The implications of a low Dlco are well-recognized, but the clinical significance of a high Dlco is not clear. The aim of this study was to identify the clinical correlates of a high Dlco. Patients and methods We identified 245 patients with a high Dlco (ie, &gt; 140% predicted) and a matched group of 245 patients with normal Dlco (ie, 85 to 115% predicted), who were selected from a laboratory database of 45,000 patients tested between January 1997 and December 1999. We compared the demographic features, clinical diagnoses, and PFT data between the two groups. Settings Large multispecialty group practice. Results The patients in the high Dlco group were heavier (mean [± SD] weight, 96.0 ± 22.9 vs 85.0 ± 21.3 kg, respectively; p &lt; 0.001), had a higher mean body mass index (32.9 ± 7.4 vs 29.4 ± 6.4 kg/m2, respectively; p &lt; 0.001), larger body surface area (p &lt; 0.001), and larger mean total lung capacity (p = 0.007) and alveolar volume (p &lt; 0.001). The clinical diagnoses of obesity (p &lt; 0.001) and asthma (p &lt; 0.001) were more common among patients with high Dlco values. The majority of patients (62%) with a high Dlco had a diagnosis of obesity, asthma, or both. Polycythemia, hemoptysis, and left-to-right shunt were uncommon. Conclusion A high Dlco on a PFT is most frequently associated with large lung volumes, obesity, and asthma. Other conditions are much less common. A clinical condition, which typically reduces Dlco, may deceptively normalize Dlco in such patients.","author":[{"dropping-particle":"","family":"Saydain","given":"Ghulam","non-dropping-particle":"","parse-names":false,"suffix":""},{"dropping-particle":"","family":"Beck","given":"Kenneth C","non-dropping-particle":"","parse-names":false,"suffix":""},{"dropping-particle":"","family":"Decker","given":"Paul A","non-dropping-particle":"","parse-names":false,"suffix":""},{"dropping-particle":"","family":"Cowl","given":"Clayton T","non-dropping-particle":"","parse-names":false,"suffix":""},{"dropping-particle":"","family":"Scanlon","given":"Paul D","non-dropping-particle":"","parse-names":false,"suffix":""}],"container-title":"Chest","id":"ITEM-1","issue":"2","issued":{"date-parts":[["2004"]]},"page":"446-452","title":"Clinical Significance of Elevated Diffusing Capacity","type":"article-journal","volume":"125"},"uris":["http://www.mendeley.com/documents/?uuid=c6334171-1ba1-4227-a27f-2b501e640d38"]}],"mendeley":{"formattedCitation":"(Saydain et al., 2004)","plainTextFormattedCitation":"(Saydain et al., 2004)","previouslyFormattedCitation":"(Saydain et al., 2004)"},"properties":{"noteIndex":0},"schema":"https://github.com/citation-style-language/schema/raw/master/csl-citation.json"}</w:instrText>
      </w:r>
      <w:r w:rsidR="00EC69A8">
        <w:fldChar w:fldCharType="separate"/>
      </w:r>
      <w:r w:rsidR="00EC69A8" w:rsidRPr="00EC69A8">
        <w:rPr>
          <w:noProof/>
        </w:rPr>
        <w:t>(Saydain et al., 2004)</w:t>
      </w:r>
      <w:r w:rsidR="00EC69A8">
        <w:fldChar w:fldCharType="end"/>
      </w:r>
      <w:r>
        <w:t xml:space="preserve">. In this test, </w:t>
      </w:r>
      <w:r w:rsidR="00E61C8C">
        <w:t xml:space="preserve">inhaled </w:t>
      </w:r>
      <w:r>
        <w:t xml:space="preserve">carbon monoxide </w:t>
      </w:r>
      <w:r w:rsidR="00E61C8C">
        <w:t>is used because it</w:t>
      </w:r>
      <w:r w:rsidR="005D2F03">
        <w:t>s</w:t>
      </w:r>
      <w:r w:rsidR="00E61C8C">
        <w:t xml:space="preserve"> affinity for hemoglobin</w:t>
      </w:r>
      <w:r w:rsidR="005D2F03">
        <w:t xml:space="preserve"> is high</w:t>
      </w:r>
      <w:r w:rsidR="00E61C8C">
        <w:t>, about 200 times that of oxygen. I</w:t>
      </w:r>
      <w:r w:rsidR="00D42684">
        <w:t>n</w:t>
      </w:r>
      <w:r w:rsidR="00E61C8C">
        <w:t xml:space="preserve"> addition to the high affinity, carbon monoxide uptake is less dependent on cardiac output unlike oxygen. </w:t>
      </w:r>
      <w:r w:rsidR="005D2F03" w:rsidRPr="005D2F03">
        <w:t xml:space="preserve">The single breath method is used to perform a diffusion capacity test, in which a patient is asked to take regular breaths followed by full exhalation up to residual volume, and then inhale a test gas up to vital capacity. This test gas contains 0.3 percent carbon monoxide, 0.3 percent tracer gas, 21% oxygen, and the rest nitrogen. The patient is then asked to hold their breath for 10 seconds at full lung capacity before completely exhaling. The CO and tracer concentrations are measured in the exhaled gas. CO absorption is measured in cc of CO per second per </w:t>
      </w:r>
      <w:r w:rsidR="0026343C" w:rsidRPr="005D2F03">
        <w:t>millimeter</w:t>
      </w:r>
      <w:r w:rsidR="005D2F03" w:rsidRPr="005D2F03">
        <w:t xml:space="preserve"> of CO driving pressure (cc of CO/sec/mm of Hg).</w:t>
      </w:r>
    </w:p>
    <w:p w14:paraId="53B4C6B3" w14:textId="7EADA984" w:rsidR="00661262" w:rsidRDefault="00661262" w:rsidP="004E4DE3">
      <w:pPr>
        <w:jc w:val="both"/>
      </w:pPr>
      <w:r>
        <w:t>In this test hemoglobin</w:t>
      </w:r>
      <w:r w:rsidR="00E171B3">
        <w:t xml:space="preserve"> is significant as it</w:t>
      </w:r>
      <w:r>
        <w:t xml:space="preserve"> binds to the carbon monoxide </w:t>
      </w:r>
      <w:r w:rsidR="00E171B3">
        <w:t xml:space="preserve">whose uptake quantity is being </w:t>
      </w:r>
      <w:r w:rsidR="00EB01A6">
        <w:t>measured</w:t>
      </w:r>
      <w:r w:rsidR="00E171B3">
        <w:t>.</w:t>
      </w:r>
      <w:r w:rsidR="00EB01A6">
        <w:t xml:space="preserve"> </w:t>
      </w:r>
      <w:r w:rsidR="00D42684">
        <w:t>Diffusing capacity is significant clinically in diagnosis of lung disease.</w:t>
      </w:r>
    </w:p>
    <w:p w14:paraId="55C81F42" w14:textId="5CA91AE6" w:rsidR="007176C8" w:rsidRDefault="007176C8" w:rsidP="004E4DE3">
      <w:pPr>
        <w:jc w:val="both"/>
      </w:pPr>
      <w:r w:rsidRPr="007176C8">
        <w:t>The hemoglobin level is not taken into account while calculating diffusion capacity. As a result, it is lower in anemia patients and higher in polycythemia patients. As a result, hemoglobin levels should be taken into account while interpreting the results. Anemia that is severe or develops during treatment should not be mistaken for pulmonary disease.</w:t>
      </w:r>
      <w:r>
        <w:t xml:space="preserve"> </w:t>
      </w:r>
      <w:r w:rsidRPr="007176C8">
        <w:t xml:space="preserve">When pulmonary blood flow and consequently alveolar-capillary volume and surface area rise, diffusing capacity increases as well. </w:t>
      </w:r>
      <w:r w:rsidR="005200EF" w:rsidRPr="007176C8">
        <w:t>Furthermore, diffusing</w:t>
      </w:r>
      <w:r w:rsidRPr="007176C8">
        <w:t xml:space="preserve"> capacity may be increased in response to changes in pulmonary capillary blood volume although alveolar-capillary membrane function is </w:t>
      </w:r>
      <w:r w:rsidR="00FB7B76" w:rsidRPr="007176C8">
        <w:t>normal</w:t>
      </w:r>
      <w:r w:rsidR="00FB7B76">
        <w:t>.</w:t>
      </w:r>
      <w:r w:rsidR="00FB7B76" w:rsidRPr="007176C8">
        <w:t xml:space="preserve"> During</w:t>
      </w:r>
      <w:r w:rsidRPr="007176C8">
        <w:t xml:space="preserve"> exercise, it </w:t>
      </w:r>
      <w:r w:rsidRPr="007176C8">
        <w:lastRenderedPageBreak/>
        <w:t>increases by about twofold due to the mobilization of pulmonary capillaries and the resulting increase in the alveolar-capillary membrane surface area.</w:t>
      </w:r>
      <w:r>
        <w:t xml:space="preserve"> </w:t>
      </w:r>
      <w:r w:rsidRPr="007176C8">
        <w:t>It may also be higher in patients with asthma or obesity, owing to an increase in pulmonary blood volume, but these increases are not clinically significant.</w:t>
      </w:r>
    </w:p>
    <w:p w14:paraId="28F0F540" w14:textId="0FD37A2A" w:rsidR="00661262" w:rsidRDefault="00661262" w:rsidP="00661262">
      <w:pPr>
        <w:rPr>
          <w:b/>
          <w:bCs/>
        </w:rPr>
      </w:pPr>
      <w:r w:rsidRPr="00D97D54">
        <w:rPr>
          <w:b/>
          <w:bCs/>
        </w:rPr>
        <w:t>Krogh model of diffusion in tissue</w:t>
      </w:r>
    </w:p>
    <w:p w14:paraId="729E27C8" w14:textId="69433030" w:rsidR="00ED007A" w:rsidRDefault="00ED007A" w:rsidP="001D7729">
      <w:pPr>
        <w:jc w:val="both"/>
      </w:pPr>
      <w:r w:rsidRPr="00ED007A">
        <w:t>The Krogh tissue cylinder model is a simplified illustration of the surrounding tissue of the capillary. It is assumed that each capillary is surrounded by a cylindrical layer of tissue, and that the solute is carried only through that capillary. The capillary should have a consistent radius and be spherical in shape.</w:t>
      </w:r>
      <w:r>
        <w:t xml:space="preserve"> </w:t>
      </w:r>
      <w:r w:rsidRPr="00ED007A">
        <w:t>The model assumes that diffusion takes place from a capillary cylinder into a larger but limited cylinder surrounding it</w:t>
      </w:r>
      <w:r w:rsidR="001D7729">
        <w:t xml:space="preserve"> </w:t>
      </w:r>
      <w:r w:rsidR="00A012D7">
        <w:fldChar w:fldCharType="begin" w:fldLock="1"/>
      </w:r>
      <w:r w:rsidR="008F357C">
        <w:instrText>ADDIN CSL_CITATION {"citationItems":[{"id":"ITEM-1","itemData":{"ISSN":"0278-940X","abstract":"This review focuses on the theory of oxygen transport to tissue and presents the state of the art in mathematical modeling of transport phenomena. Results obtained with the classic Krogh tissue-cylinder model and recent advances in mathematical modeling of hemoglobin-oxygen kinetics, the role of hemoglobin and myoglobin in facilitating oxygen diffusion, and the role of morphologic and hemodynamic heterogeneities in oxygen transport in the microcirculation are critically discussed. Mathematical models simulate different parts of the pathway of oxygen molecules from the red blood cell, through the plasma, the endothelial cell, other elements of the vascular wall, and the extra- and intracellular space. Special attention in the review is devoted to intracapillary transport, which has been the subject of intensive theoretical research in the last decade. Models of pre- and postcapillary oxygen transport are also discussed. Applications to specific organs and tissues are reviewed, including skeletal muscle, myocardium, brain, lungs, arterial wall, and skin. Unresolved problems and major gaps in our knowledge of the mechanisms of oxygen transport are identified.","author":[{"dropping-particle":"","family":"Popel","given":"A S","non-dropping-particle":"","parse-names":false,"suffix":""}],"container-title":"Critical reviews in biomedical engineering","id":"ITEM-1","issue":"3","issued":{"date-parts":[["1989"]]},"language":"eng","page":"257-321","title":"Theory of oxygen transport to tissue","type":"article-journal","volume":"17"},"uris":["http://www.mendeley.com/documents/?uuid=a6606251-3f03-4e59-ad14-73f75389699d"]}],"mendeley":{"formattedCitation":"(Popel, 1989)","plainTextFormattedCitation":"(Popel, 1989)","previouslyFormattedCitation":"(Popel, 1989)"},"properties":{"noteIndex":0},"schema":"https://github.com/citation-style-language/schema/raw/master/csl-citation.json"}</w:instrText>
      </w:r>
      <w:r w:rsidR="00A012D7">
        <w:fldChar w:fldCharType="separate"/>
      </w:r>
      <w:r w:rsidR="00A012D7" w:rsidRPr="00A012D7">
        <w:rPr>
          <w:noProof/>
        </w:rPr>
        <w:t>(Popel, 1989)</w:t>
      </w:r>
      <w:r w:rsidR="00A012D7">
        <w:fldChar w:fldCharType="end"/>
      </w:r>
      <w:r w:rsidRPr="00ED007A">
        <w:t>.</w:t>
      </w:r>
      <w:r>
        <w:t xml:space="preserve"> Also, it is assumed that only diffusion takes place and there is no active transport and no turbulence. In addition, diffusion and oxygen consumption in the tissue are homogeneous and independent of the cellular structure or local oxygen partial pressure. Other assumptions of the model are</w:t>
      </w:r>
      <w:r w:rsidR="006145C0">
        <w:t xml:space="preserve"> that </w:t>
      </w:r>
      <w:r w:rsidR="00467C16">
        <w:t>both utilization and solubility of oxygen is the tissue is constant and uniform. Additionally, longitudinal diffusion of oxygen is not significant. Furthermore, Krogh model assumes that all capillaries receive equal supply of oxygen.</w:t>
      </w:r>
    </w:p>
    <w:p w14:paraId="6C53B867" w14:textId="401F22D2" w:rsidR="00833FE3" w:rsidRDefault="00FD4F01" w:rsidP="0032146C">
      <w:pPr>
        <w:jc w:val="both"/>
      </w:pPr>
      <w:r>
        <w:t>In Krogh model, t</w:t>
      </w:r>
      <w:r w:rsidRPr="00FD4F01">
        <w:t xml:space="preserve">he condition of zero radial solute flux is imposed at the outer edge of the cylinder. </w:t>
      </w:r>
      <w:r w:rsidR="006145C0" w:rsidRPr="006145C0">
        <w:t xml:space="preserve">This assumption is based on the fact that the tissue cylinder is surrounded by an array of analogous parallel units, ensuring that solute levels in adjacent units are identical and that no solute exchange occurs. This approach was motivated by the </w:t>
      </w:r>
      <w:r w:rsidR="006145C0">
        <w:t>fact</w:t>
      </w:r>
      <w:r w:rsidR="006145C0" w:rsidRPr="006145C0">
        <w:t xml:space="preserve"> that capillaries </w:t>
      </w:r>
      <w:r w:rsidR="006145C0">
        <w:t>present in the</w:t>
      </w:r>
      <w:r w:rsidR="006145C0" w:rsidRPr="006145C0">
        <w:t xml:space="preserve"> skeletal muscle form a parallel array</w:t>
      </w:r>
      <w:r w:rsidR="006145C0">
        <w:t xml:space="preserve"> which are </w:t>
      </w:r>
      <w:r w:rsidR="006145C0" w:rsidRPr="006145C0">
        <w:t>aligned with the muscle fibers. However, capillaries in skeletal muscle are not evenly spaced, and the points of connection to feeding arterioles and draining venules are not always aligned across numerous adjacent capillaries.</w:t>
      </w:r>
    </w:p>
    <w:p w14:paraId="49741DF1" w14:textId="4BD6CD8B" w:rsidR="00EE08A8" w:rsidRDefault="00EE08A8" w:rsidP="0032146C">
      <w:pPr>
        <w:jc w:val="both"/>
      </w:pPr>
    </w:p>
    <w:p w14:paraId="0A982371" w14:textId="099466A5" w:rsidR="00196A32" w:rsidRDefault="00196A32" w:rsidP="0032146C">
      <w:pPr>
        <w:jc w:val="both"/>
      </w:pPr>
    </w:p>
    <w:p w14:paraId="1D326B16" w14:textId="3242E5BD" w:rsidR="00196A32" w:rsidRDefault="00196A32" w:rsidP="0032146C">
      <w:pPr>
        <w:jc w:val="both"/>
      </w:pPr>
    </w:p>
    <w:p w14:paraId="4B7446B8" w14:textId="46C9F07D" w:rsidR="00196A32" w:rsidRDefault="00196A32" w:rsidP="0032146C">
      <w:pPr>
        <w:jc w:val="both"/>
      </w:pPr>
    </w:p>
    <w:p w14:paraId="4C1BB79D" w14:textId="5E5FD175" w:rsidR="00196A32" w:rsidRDefault="00196A32" w:rsidP="0032146C">
      <w:pPr>
        <w:jc w:val="both"/>
      </w:pPr>
    </w:p>
    <w:p w14:paraId="1CF36407" w14:textId="77777777" w:rsidR="00196A32" w:rsidRPr="00FD4F01" w:rsidRDefault="00196A32" w:rsidP="0032146C">
      <w:pPr>
        <w:jc w:val="both"/>
      </w:pPr>
    </w:p>
    <w:p w14:paraId="1B3E612B" w14:textId="42652AF3" w:rsidR="00ED007A" w:rsidRPr="007D542B" w:rsidRDefault="00ED007A" w:rsidP="00661262">
      <w:pPr>
        <w:rPr>
          <w:b/>
          <w:bCs/>
        </w:rPr>
      </w:pPr>
      <w:r w:rsidRPr="007D542B">
        <w:rPr>
          <w:b/>
          <w:bCs/>
        </w:rPr>
        <w:lastRenderedPageBreak/>
        <w:t>References</w:t>
      </w:r>
    </w:p>
    <w:p w14:paraId="72ADC120" w14:textId="449C79FE" w:rsidR="008F357C" w:rsidRPr="008F357C" w:rsidRDefault="008F357C" w:rsidP="008F357C">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8F357C">
        <w:rPr>
          <w:rFonts w:cs="Times New Roman"/>
          <w:noProof/>
          <w:szCs w:val="24"/>
        </w:rPr>
        <w:t xml:space="preserve">Graham, B. L., MacIntyre, N., &amp; Huang, Y. C. (2018). </w:t>
      </w:r>
      <w:r w:rsidRPr="008F357C">
        <w:rPr>
          <w:rFonts w:cs="Times New Roman"/>
          <w:i/>
          <w:iCs/>
          <w:noProof/>
          <w:szCs w:val="24"/>
        </w:rPr>
        <w:t>Gas Exchange BT  - Pulmonary Function Testing: Principles and Practice</w:t>
      </w:r>
      <w:r w:rsidRPr="008F357C">
        <w:rPr>
          <w:rFonts w:cs="Times New Roman"/>
          <w:noProof/>
          <w:szCs w:val="24"/>
        </w:rPr>
        <w:t xml:space="preserve"> (D. A. Kaminsky &amp; C. G. Irvin (eds.); pp. 77–101). Springer International Publishing. https://doi.org/10.1007/978-3-319-94159-2_5</w:t>
      </w:r>
    </w:p>
    <w:p w14:paraId="0ED6EE73" w14:textId="77777777" w:rsidR="008F357C" w:rsidRPr="008F357C" w:rsidRDefault="008F357C" w:rsidP="008F357C">
      <w:pPr>
        <w:widowControl w:val="0"/>
        <w:autoSpaceDE w:val="0"/>
        <w:autoSpaceDN w:val="0"/>
        <w:adjustRightInd w:val="0"/>
        <w:ind w:left="480" w:hanging="480"/>
        <w:rPr>
          <w:rFonts w:cs="Times New Roman"/>
          <w:noProof/>
          <w:szCs w:val="24"/>
        </w:rPr>
      </w:pPr>
      <w:r w:rsidRPr="008F357C">
        <w:rPr>
          <w:rFonts w:cs="Times New Roman"/>
          <w:noProof/>
          <w:szCs w:val="24"/>
        </w:rPr>
        <w:t xml:space="preserve">Popel, A. S. (1989). Theory of oxygen transport to tissue. </w:t>
      </w:r>
      <w:r w:rsidRPr="008F357C">
        <w:rPr>
          <w:rFonts w:cs="Times New Roman"/>
          <w:i/>
          <w:iCs/>
          <w:noProof/>
          <w:szCs w:val="24"/>
        </w:rPr>
        <w:t>Critical Reviews in Biomedical Engineering</w:t>
      </w:r>
      <w:r w:rsidRPr="008F357C">
        <w:rPr>
          <w:rFonts w:cs="Times New Roman"/>
          <w:noProof/>
          <w:szCs w:val="24"/>
        </w:rPr>
        <w:t xml:space="preserve">, </w:t>
      </w:r>
      <w:r w:rsidRPr="008F357C">
        <w:rPr>
          <w:rFonts w:cs="Times New Roman"/>
          <w:i/>
          <w:iCs/>
          <w:noProof/>
          <w:szCs w:val="24"/>
        </w:rPr>
        <w:t>17</w:t>
      </w:r>
      <w:r w:rsidRPr="008F357C">
        <w:rPr>
          <w:rFonts w:cs="Times New Roman"/>
          <w:noProof/>
          <w:szCs w:val="24"/>
        </w:rPr>
        <w:t>(3), 257–321. https://pubmed.ncbi.nlm.nih.gov/2673661</w:t>
      </w:r>
    </w:p>
    <w:p w14:paraId="44BF6888" w14:textId="070BFA0D" w:rsidR="007D542B" w:rsidRDefault="008F357C" w:rsidP="006B0800">
      <w:pPr>
        <w:widowControl w:val="0"/>
        <w:autoSpaceDE w:val="0"/>
        <w:autoSpaceDN w:val="0"/>
        <w:adjustRightInd w:val="0"/>
        <w:ind w:left="480" w:hanging="480"/>
      </w:pPr>
      <w:r w:rsidRPr="008F357C">
        <w:rPr>
          <w:rFonts w:cs="Times New Roman"/>
          <w:noProof/>
          <w:szCs w:val="24"/>
        </w:rPr>
        <w:t xml:space="preserve">Saydain, G., Beck, K. C., Decker, P. A., Cowl, C. T., &amp; Scanlon, P. D. (2004). Clinical Significance of Elevated Diffusing Capacity. </w:t>
      </w:r>
      <w:r w:rsidRPr="008F357C">
        <w:rPr>
          <w:rFonts w:cs="Times New Roman"/>
          <w:i/>
          <w:iCs/>
          <w:noProof/>
          <w:szCs w:val="24"/>
        </w:rPr>
        <w:t>Chest</w:t>
      </w:r>
      <w:r w:rsidRPr="008F357C">
        <w:rPr>
          <w:rFonts w:cs="Times New Roman"/>
          <w:noProof/>
          <w:szCs w:val="24"/>
        </w:rPr>
        <w:t xml:space="preserve">, </w:t>
      </w:r>
      <w:r w:rsidRPr="008F357C">
        <w:rPr>
          <w:rFonts w:cs="Times New Roman"/>
          <w:i/>
          <w:iCs/>
          <w:noProof/>
          <w:szCs w:val="24"/>
        </w:rPr>
        <w:t>125</w:t>
      </w:r>
      <w:r w:rsidRPr="008F357C">
        <w:rPr>
          <w:rFonts w:cs="Times New Roman"/>
          <w:noProof/>
          <w:szCs w:val="24"/>
        </w:rPr>
        <w:t>(2), 446–452. https://doi.org/https://doi.org/10.1378/chest.125.2.446</w:t>
      </w:r>
      <w:r>
        <w:fldChar w:fldCharType="end"/>
      </w:r>
    </w:p>
    <w:sectPr w:rsidR="007D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6AC9"/>
    <w:multiLevelType w:val="hybridMultilevel"/>
    <w:tmpl w:val="D208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26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0F"/>
    <w:rsid w:val="00155094"/>
    <w:rsid w:val="00184C61"/>
    <w:rsid w:val="00196A32"/>
    <w:rsid w:val="001D7729"/>
    <w:rsid w:val="00210C54"/>
    <w:rsid w:val="0026343C"/>
    <w:rsid w:val="002F349E"/>
    <w:rsid w:val="0032146C"/>
    <w:rsid w:val="00360B72"/>
    <w:rsid w:val="00390949"/>
    <w:rsid w:val="003C12AE"/>
    <w:rsid w:val="003C1531"/>
    <w:rsid w:val="00467C16"/>
    <w:rsid w:val="004E4DE3"/>
    <w:rsid w:val="005200EF"/>
    <w:rsid w:val="00530B25"/>
    <w:rsid w:val="005D2F03"/>
    <w:rsid w:val="006145C0"/>
    <w:rsid w:val="00633516"/>
    <w:rsid w:val="00661262"/>
    <w:rsid w:val="006B0800"/>
    <w:rsid w:val="0071400A"/>
    <w:rsid w:val="007176C8"/>
    <w:rsid w:val="007B2B97"/>
    <w:rsid w:val="007D542B"/>
    <w:rsid w:val="007E7947"/>
    <w:rsid w:val="0081098E"/>
    <w:rsid w:val="00833FE3"/>
    <w:rsid w:val="00896C38"/>
    <w:rsid w:val="008F357C"/>
    <w:rsid w:val="00972ABA"/>
    <w:rsid w:val="00973957"/>
    <w:rsid w:val="00995B96"/>
    <w:rsid w:val="009A3794"/>
    <w:rsid w:val="009A710F"/>
    <w:rsid w:val="009D7F1D"/>
    <w:rsid w:val="00A012D7"/>
    <w:rsid w:val="00A675A0"/>
    <w:rsid w:val="00A67B8B"/>
    <w:rsid w:val="00A904D4"/>
    <w:rsid w:val="00B015BC"/>
    <w:rsid w:val="00BD5892"/>
    <w:rsid w:val="00C10DC3"/>
    <w:rsid w:val="00C41C11"/>
    <w:rsid w:val="00D42684"/>
    <w:rsid w:val="00D522E9"/>
    <w:rsid w:val="00D73F23"/>
    <w:rsid w:val="00E03E14"/>
    <w:rsid w:val="00E171B3"/>
    <w:rsid w:val="00E61C8C"/>
    <w:rsid w:val="00E92E77"/>
    <w:rsid w:val="00EB01A6"/>
    <w:rsid w:val="00EC69A8"/>
    <w:rsid w:val="00ED007A"/>
    <w:rsid w:val="00EE08A8"/>
    <w:rsid w:val="00EF66FC"/>
    <w:rsid w:val="00FB7B76"/>
    <w:rsid w:val="00FC0A92"/>
    <w:rsid w:val="00FD4F01"/>
    <w:rsid w:val="00FE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C27C"/>
  <w15:chartTrackingRefBased/>
  <w15:docId w15:val="{51BC2133-8914-43A9-B9C5-63950F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5BC"/>
    <w:pPr>
      <w:spacing w:line="360" w:lineRule="auto"/>
    </w:pPr>
    <w:rPr>
      <w:rFonts w:ascii="Times New Roman" w:hAnsi="Times New Roman" w:cstheme="minorBidi"/>
      <w:szCs w:val="22"/>
    </w:rPr>
  </w:style>
  <w:style w:type="paragraph" w:styleId="Heading1">
    <w:name w:val="heading 1"/>
    <w:basedOn w:val="Normal"/>
    <w:next w:val="Normal"/>
    <w:link w:val="Heading1Char"/>
    <w:uiPriority w:val="9"/>
    <w:qFormat/>
    <w:rsid w:val="00FC0A92"/>
    <w:pPr>
      <w:keepNext/>
      <w:keepLines/>
      <w:spacing w:before="240" w:after="120" w:line="259" w:lineRule="auto"/>
      <w:outlineLvl w:val="0"/>
    </w:pPr>
    <w:rPr>
      <w:rFonts w:ascii="Segoe UI" w:eastAsiaTheme="majorEastAsia" w:hAnsi="Segoe UI" w:cstheme="majorBidi"/>
      <w:szCs w:val="32"/>
    </w:rPr>
  </w:style>
  <w:style w:type="paragraph" w:styleId="Heading2">
    <w:name w:val="heading 2"/>
    <w:basedOn w:val="Normal"/>
    <w:next w:val="Normal"/>
    <w:link w:val="Heading2Char"/>
    <w:uiPriority w:val="9"/>
    <w:unhideWhenUsed/>
    <w:qFormat/>
    <w:rsid w:val="00E03E14"/>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C10DC3"/>
    <w:pPr>
      <w:keepNext/>
      <w:keepLines/>
      <w:spacing w:before="160" w:after="120" w:line="259" w:lineRule="auto"/>
      <w:outlineLvl w:val="2"/>
    </w:pPr>
    <w:rPr>
      <w:rFonts w:cs="Times New Roman"/>
      <w:b/>
      <w:szCs w:val="24"/>
    </w:rPr>
  </w:style>
  <w:style w:type="paragraph" w:styleId="Heading4">
    <w:name w:val="heading 4"/>
    <w:basedOn w:val="Normal"/>
    <w:next w:val="Normal"/>
    <w:link w:val="Heading4Char"/>
    <w:uiPriority w:val="9"/>
    <w:unhideWhenUsed/>
    <w:qFormat/>
    <w:rsid w:val="00C10DC3"/>
    <w:pPr>
      <w:keepNext/>
      <w:keepLines/>
      <w:spacing w:before="40" w:after="0"/>
      <w:outlineLvl w:val="3"/>
    </w:pPr>
    <w:rPr>
      <w:rFonts w:eastAsiaTheme="majorEastAsia" w:cstheme="majorBidi"/>
      <w:b/>
      <w:iCs/>
      <w:szCs w:val="24"/>
    </w:rPr>
  </w:style>
  <w:style w:type="paragraph" w:styleId="Heading5">
    <w:name w:val="heading 5"/>
    <w:basedOn w:val="Normal"/>
    <w:next w:val="Normal"/>
    <w:link w:val="Heading5Char"/>
    <w:uiPriority w:val="9"/>
    <w:unhideWhenUsed/>
    <w:qFormat/>
    <w:rsid w:val="007B2B97"/>
    <w:pPr>
      <w:keepNext/>
      <w:keepLines/>
      <w:spacing w:after="0"/>
      <w:outlineLvl w:val="4"/>
    </w:pPr>
    <w:rPr>
      <w:rFonts w:eastAsia="Times New Roman" w:cs="Times New Roman"/>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995B96"/>
    <w:pPr>
      <w:spacing w:after="0"/>
    </w:pPr>
  </w:style>
  <w:style w:type="character" w:customStyle="1" w:styleId="Heading1Char">
    <w:name w:val="Heading 1 Char"/>
    <w:basedOn w:val="DefaultParagraphFont"/>
    <w:link w:val="Heading1"/>
    <w:uiPriority w:val="9"/>
    <w:rsid w:val="00FC0A92"/>
    <w:rPr>
      <w:rFonts w:ascii="Segoe UI" w:eastAsiaTheme="majorEastAsia" w:hAnsi="Segoe UI" w:cstheme="majorBidi"/>
      <w:szCs w:val="32"/>
    </w:rPr>
  </w:style>
  <w:style w:type="character" w:customStyle="1" w:styleId="Heading2Char">
    <w:name w:val="Heading 2 Char"/>
    <w:basedOn w:val="DefaultParagraphFont"/>
    <w:link w:val="Heading2"/>
    <w:uiPriority w:val="9"/>
    <w:rsid w:val="00E03E14"/>
    <w:rPr>
      <w:rFonts w:eastAsiaTheme="majorEastAsia" w:cstheme="majorBidi"/>
      <w:b/>
      <w:szCs w:val="26"/>
    </w:rPr>
  </w:style>
  <w:style w:type="character" w:customStyle="1" w:styleId="Heading3Char">
    <w:name w:val="Heading 3 Char"/>
    <w:basedOn w:val="DefaultParagraphFont"/>
    <w:link w:val="Heading3"/>
    <w:uiPriority w:val="9"/>
    <w:rsid w:val="00C10DC3"/>
    <w:rPr>
      <w:rFonts w:ascii="Times New Roman" w:hAnsi="Times New Roman" w:cs="Times New Roman"/>
      <w:b/>
    </w:rPr>
  </w:style>
  <w:style w:type="character" w:customStyle="1" w:styleId="Heading4Char">
    <w:name w:val="Heading 4 Char"/>
    <w:basedOn w:val="DefaultParagraphFont"/>
    <w:link w:val="Heading4"/>
    <w:uiPriority w:val="9"/>
    <w:rsid w:val="00C10DC3"/>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7B2B97"/>
    <w:rPr>
      <w:rFonts w:ascii="Times New Roman" w:eastAsia="Times New Roman" w:hAnsi="Times New Roman" w:cs="Times New Roman"/>
      <w:b/>
      <w:iCs/>
    </w:rPr>
  </w:style>
  <w:style w:type="paragraph" w:styleId="TOC1">
    <w:name w:val="toc 1"/>
    <w:basedOn w:val="Normal"/>
    <w:next w:val="Normal"/>
    <w:autoRedefine/>
    <w:uiPriority w:val="39"/>
    <w:unhideWhenUsed/>
    <w:rsid w:val="00973957"/>
    <w:pPr>
      <w:spacing w:after="100"/>
    </w:pPr>
    <w:rPr>
      <w:rFonts w:eastAsia="Calibri" w:cs="SimSun"/>
    </w:rPr>
  </w:style>
  <w:style w:type="paragraph" w:styleId="ListParagraph">
    <w:name w:val="List Paragraph"/>
    <w:basedOn w:val="Normal"/>
    <w:uiPriority w:val="34"/>
    <w:qFormat/>
    <w:rsid w:val="00ED0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A377-AAA2-4E9A-A1F5-ED24718E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Kigen, Collins</dc:creator>
  <cp:keywords/>
  <dc:description/>
  <cp:lastModifiedBy>Kigen, Collins</cp:lastModifiedBy>
  <cp:revision>31</cp:revision>
  <dcterms:created xsi:type="dcterms:W3CDTF">2022-06-19T18:05:00Z</dcterms:created>
  <dcterms:modified xsi:type="dcterms:W3CDTF">2022-06-21T08:17:00Z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http://www.zotero.org/styles/elsevier-vancouver-author-date</vt:lpwstr>
  </property>
  <property fmtid="{D5CDD505-2E9C-101B-9397-08002B2CF9AE}" pid="5" name="Mendeley Recent Style Name 1_1">
    <vt:lpwstr>Elsevier - Vancouver (author-date)</vt:lpwstr>
  </property>
  <property fmtid="{D5CDD505-2E9C-101B-9397-08002B2CF9AE}" pid="6" name="Mendeley Recent Style Id 2_1">
    <vt:lpwstr>http://csl.mendeley.com/styles/536623531/AnaplasmaMS</vt:lpwstr>
  </property>
  <property fmtid="{D5CDD505-2E9C-101B-9397-08002B2CF9AE}" pid="7" name="Mendeley Recent Style Name 2_1">
    <vt:lpwstr>Elsevier - Vancouver - Collins Kigen</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http://www.zotero.org/styles/journal-of-the-american-chemical-society</vt:lpwstr>
  </property>
  <property fmtid="{D5CDD505-2E9C-101B-9397-08002B2CF9AE}" pid="13" name="Mendeley Recent Style Name 5_1">
    <vt:lpwstr>Journal of the American Chemical Society</vt:lpwstr>
  </property>
  <property fmtid="{D5CDD505-2E9C-101B-9397-08002B2CF9AE}" pid="14" name="Mendeley Recent Style Id 6_1">
    <vt:lpwstr>http://csl.mendeley.com/styles/536623531/NLMdd-2</vt:lpwstr>
  </property>
  <property fmtid="{D5CDD505-2E9C-101B-9397-08002B2CF9AE}" pid="15" name="Mendeley Recent Style Name 6_1">
    <vt:lpwstr>NLMdd</vt:lpwstr>
  </property>
  <property fmtid="{D5CDD505-2E9C-101B-9397-08002B2CF9AE}" pid="16" name="Mendeley Recent Style Id 7_1">
    <vt:lpwstr>http://www.zotero.org/styles/springer-vancouver</vt:lpwstr>
  </property>
  <property fmtid="{D5CDD505-2E9C-101B-9397-08002B2CF9AE}" pid="17" name="Mendeley Recent Style Name 7_1">
    <vt:lpwstr>Springer - Vancouver</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https://csl.mendeley.com/styles/536623531/vancouver-2kkkk</vt:lpwstr>
  </property>
  <property fmtid="{D5CDD505-2E9C-101B-9397-08002B2CF9AE}" pid="21" name="Mendeley Recent Style Name 9_1">
    <vt:lpwstr>Vancouver - Collins Kigen</vt:lpwstr>
  </property>
  <property fmtid="{D5CDD505-2E9C-101B-9397-08002B2CF9AE}" pid="22" name="Mendeley Document_1">
    <vt:lpwstr>True</vt:lpwstr>
  </property>
  <property fmtid="{D5CDD505-2E9C-101B-9397-08002B2CF9AE}" pid="23" name="Mendeley Unique User Id_1">
    <vt:lpwstr>d2b2fd57-d5b1-3bb5-8047-b97cacbd6634</vt:lpwstr>
  </property>
  <property fmtid="{D5CDD505-2E9C-101B-9397-08002B2CF9AE}" pid="24" name="Mendeley Citation Style_1">
    <vt:lpwstr>http://www.zotero.org/styles/apa</vt:lpwstr>
  </property>
</Properties>
</file>