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i4wgdy5uf61k" w:id="0"/>
      <w:bookmarkEnd w:id="0"/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2">
      <w:pPr>
        <w:spacing w:after="140" w:before="240" w:line="301.09090909090907" w:lineRule="auto"/>
        <w:rPr/>
      </w:pPr>
      <w:r w:rsidDel="00000000" w:rsidR="00000000" w:rsidRPr="00000000">
        <w:rPr>
          <w:rtl w:val="0"/>
        </w:rPr>
        <w:t xml:space="preserve">This is to test table markdown rendering.</w:t>
      </w:r>
    </w:p>
    <w:p w:rsidR="00000000" w:rsidDel="00000000" w:rsidP="00000000" w:rsidRDefault="00000000" w:rsidRPr="00000000" w14:paraId="00000003">
      <w:pPr>
        <w:pStyle w:val="Heading2"/>
        <w:spacing w:after="140" w:before="240" w:line="301.09090909090907" w:lineRule="auto"/>
        <w:rPr/>
      </w:pPr>
      <w:bookmarkStart w:colFirst="0" w:colLast="0" w:name="_qgmxp29p6yud" w:id="1"/>
      <w:bookmarkEnd w:id="1"/>
      <w:r w:rsidDel="00000000" w:rsidR="00000000" w:rsidRPr="00000000">
        <w:rPr>
          <w:rtl w:val="0"/>
        </w:rPr>
        <w:t xml:space="preserve">Table 1, with bolded headings: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 4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14">
      <w:pPr>
        <w:spacing w:after="140" w:before="240" w:line="301.09090909090907" w:lineRule="auto"/>
        <w:rPr/>
      </w:pPr>
      <w:r w:rsidDel="00000000" w:rsidR="00000000" w:rsidRPr="00000000">
        <w:rPr>
          <w:rtl w:val="0"/>
        </w:rPr>
        <w:t xml:space="preserve">Text immediately after the table</w:t>
      </w:r>
    </w:p>
    <w:p w:rsidR="00000000" w:rsidDel="00000000" w:rsidP="00000000" w:rsidRDefault="00000000" w:rsidRPr="00000000" w14:paraId="00000015">
      <w:pPr>
        <w:spacing w:after="140" w:before="240" w:line="301.0909090909090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140" w:before="240" w:line="301.09090909090907" w:lineRule="auto"/>
        <w:rPr/>
      </w:pPr>
      <w:bookmarkStart w:colFirst="0" w:colLast="0" w:name="_xt6iol7y20cl" w:id="2"/>
      <w:bookmarkEnd w:id="2"/>
      <w:r w:rsidDel="00000000" w:rsidR="00000000" w:rsidRPr="00000000">
        <w:rPr>
          <w:rtl w:val="0"/>
        </w:rPr>
        <w:t xml:space="preserve">Table 2, with different indentations</w:t>
      </w:r>
    </w:p>
    <w:p w:rsidR="00000000" w:rsidDel="00000000" w:rsidP="00000000" w:rsidRDefault="00000000" w:rsidRPr="00000000" w14:paraId="00000017">
      <w:pPr>
        <w:spacing w:after="140" w:before="240" w:line="301.09090909090907" w:lineRule="auto"/>
        <w:rPr/>
      </w:pPr>
      <w:r w:rsidDel="00000000" w:rsidR="00000000" w:rsidRPr="00000000">
        <w:rPr>
          <w:rtl w:val="0"/>
        </w:rPr>
        <w:t xml:space="preserve">Here, the header is left aligned, the A column is center aligned, and the B column content is right aligned.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</w:tr>
    </w:tbl>
    <w:p w:rsidR="00000000" w:rsidDel="00000000" w:rsidP="00000000" w:rsidRDefault="00000000" w:rsidRPr="00000000" w14:paraId="0000001E">
      <w:pPr>
        <w:spacing w:after="140" w:before="240" w:line="301.0909090909090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uxxyhn45ga5a" w:id="3"/>
      <w:bookmarkEnd w:id="3"/>
      <w:r w:rsidDel="00000000" w:rsidR="00000000" w:rsidRPr="00000000">
        <w:rPr>
          <w:rtl w:val="0"/>
        </w:rPr>
        <w:t xml:space="preserve">Table 3, multiline table cells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tests what tables look like with multiline cells.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1g3aa95wiwp1" w:id="4"/>
      <w:bookmarkEnd w:id="4"/>
      <w:r w:rsidDel="00000000" w:rsidR="00000000" w:rsidRPr="00000000">
        <w:rPr>
          <w:rtl w:val="0"/>
        </w:rPr>
        <w:t xml:space="preserve">Multiline 1: Table as layout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example shows multiline tables in which the table is really just layout and there is a </w:t>
      </w:r>
      <w:r w:rsidDel="00000000" w:rsidR="00000000" w:rsidRPr="00000000">
        <w:rPr>
          <w:i w:val="1"/>
          <w:rtl w:val="0"/>
        </w:rPr>
        <w:t xml:space="preserve">lot</w:t>
      </w:r>
      <w:r w:rsidDel="00000000" w:rsidR="00000000" w:rsidRPr="00000000">
        <w:rPr>
          <w:rtl w:val="0"/>
        </w:rPr>
        <w:t xml:space="preserve"> of content in each cell.</w:t>
      </w:r>
    </w:p>
    <w:p w:rsidR="00000000" w:rsidDel="00000000" w:rsidP="00000000" w:rsidRDefault="00000000" w:rsidRPr="00000000" w14:paraId="00000023">
      <w:pPr>
        <w:keepNext w:val="1"/>
        <w:keepLines w:val="1"/>
        <w:shd w:fill="ffffff" w:val="clear"/>
        <w:spacing w:after="160" w:line="276" w:lineRule="auto"/>
        <w:rPr>
          <w:rFonts w:ascii="Open Sans" w:cs="Open Sans" w:eastAsia="Open Sans" w:hAnsi="Open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0.0" w:type="dxa"/>
        <w:jc w:val="left"/>
        <w:tblInd w:w="10.0" w:type="dxa"/>
        <w:tblLayout w:type="fixed"/>
        <w:tblLook w:val="0400"/>
      </w:tblPr>
      <w:tblGrid>
        <w:gridCol w:w="4740"/>
        <w:gridCol w:w="4720"/>
        <w:tblGridChange w:id="0">
          <w:tblGrid>
            <w:gridCol w:w="4740"/>
            <w:gridCol w:w="4720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tcBorders>
              <w:top w:color="712a51" w:space="0" w:sz="8" w:val="single"/>
              <w:left w:color="712a51" w:space="0" w:sz="8" w:val="single"/>
              <w:bottom w:color="712a51" w:space="0" w:sz="8" w:val="single"/>
              <w:right w:color="712a51" w:space="0" w:sz="8" w:val="single"/>
            </w:tcBorders>
            <w:shd w:fill="a98192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line="259" w:lineRule="auto"/>
              <w:ind w:left="1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  <w:rtl w:val="0"/>
              </w:rPr>
              <w:t xml:space="preserve">Cycle 1: Alternative Strategies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12a51" w:space="0" w:sz="8" w:val="single"/>
              <w:left w:color="712a51" w:space="0" w:sz="8" w:val="single"/>
              <w:bottom w:color="712a51" w:space="0" w:sz="8" w:val="single"/>
              <w:right w:color="712a51" w:space="0" w:sz="8" w:val="single"/>
            </w:tcBorders>
            <w:shd w:fill="a98192" w:val="clea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line="259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  <w:rtl w:val="0"/>
              </w:rPr>
              <w:t xml:space="preserve">Cycle 2: Modifications to Alternative Strategies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0" w:hRule="atLeast"/>
          <w:tblHeader w:val="0"/>
        </w:trPr>
        <w:tc>
          <w:tcPr>
            <w:tcBorders>
              <w:top w:color="712a51" w:space="0" w:sz="8" w:val="single"/>
              <w:left w:color="712a51" w:space="0" w:sz="8" w:val="single"/>
              <w:bottom w:color="712a51" w:space="0" w:sz="8" w:val="single"/>
              <w:right w:color="712a51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line="259" w:lineRule="auto"/>
              <w:ind w:left="1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Improved access to &amp; tracking of performance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1"/>
              <w:keepLines w:val="1"/>
              <w:numPr>
                <w:ilvl w:val="0"/>
                <w:numId w:val="2"/>
              </w:numPr>
              <w:spacing w:line="259" w:lineRule="auto"/>
              <w:ind w:left="555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Tailored outreach to instructors during orientation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1"/>
              <w:keepLines w:val="1"/>
              <w:spacing w:line="259" w:lineRule="auto"/>
              <w:ind w:left="54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(instructor luncheons-1 site)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keepLines w:val="1"/>
              <w:numPr>
                <w:ilvl w:val="0"/>
                <w:numId w:val="2"/>
              </w:numPr>
              <w:spacing w:after="12" w:line="229" w:lineRule="auto"/>
              <w:ind w:left="555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Established mechanism for accessing students' grades (designated person to gather &amp; distribute info)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1"/>
              <w:keepLines w:val="1"/>
              <w:numPr>
                <w:ilvl w:val="0"/>
                <w:numId w:val="2"/>
              </w:numPr>
              <w:spacing w:after="120" w:line="230" w:lineRule="auto"/>
              <w:ind w:left="555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Shared spreadsheet containing feedback from instructors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1"/>
              <w:keepLines w:val="1"/>
              <w:spacing w:after="12" w:line="229" w:lineRule="auto"/>
              <w:ind w:left="1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Systematic &amp; planful use of information on academic performance to inform coaching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1"/>
              <w:keepLines w:val="1"/>
              <w:numPr>
                <w:ilvl w:val="0"/>
                <w:numId w:val="2"/>
              </w:numPr>
              <w:spacing w:after="12" w:line="230" w:lineRule="auto"/>
              <w:ind w:left="555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Focused more deliberately on academics during coaching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1"/>
              <w:keepLines w:val="1"/>
              <w:numPr>
                <w:ilvl w:val="0"/>
                <w:numId w:val="2"/>
              </w:numPr>
              <w:spacing w:after="120" w:line="230" w:lineRule="auto"/>
              <w:ind w:left="555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one-page coaching guide to flag academic issues (2 sites)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1"/>
              <w:keepLines w:val="1"/>
              <w:spacing w:line="259" w:lineRule="auto"/>
              <w:ind w:left="1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Additional resources &amp; supports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1"/>
              <w:keepLines w:val="1"/>
              <w:numPr>
                <w:ilvl w:val="0"/>
                <w:numId w:val="2"/>
              </w:numPr>
              <w:spacing w:after="12" w:line="230" w:lineRule="auto"/>
              <w:ind w:left="555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Expanded portfolio assignment to include academic focus (1 site)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1"/>
              <w:keepLines w:val="1"/>
              <w:numPr>
                <w:ilvl w:val="0"/>
                <w:numId w:val="2"/>
              </w:numPr>
              <w:spacing w:line="259" w:lineRule="auto"/>
              <w:ind w:left="555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Hired Academic Coordinator (1 site)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1"/>
              <w:keepLines w:val="1"/>
              <w:numPr>
                <w:ilvl w:val="0"/>
                <w:numId w:val="2"/>
              </w:numPr>
              <w:spacing w:line="259" w:lineRule="auto"/>
              <w:ind w:left="555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a textbook library (1 site)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1"/>
              <w:keepLines w:val="1"/>
              <w:numPr>
                <w:ilvl w:val="0"/>
                <w:numId w:val="2"/>
              </w:numPr>
              <w:spacing w:line="259" w:lineRule="auto"/>
              <w:ind w:left="555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Ordered and distributed Wi-Fi hotspots (1 site)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1"/>
              <w:keepLines w:val="1"/>
              <w:numPr>
                <w:ilvl w:val="0"/>
                <w:numId w:val="2"/>
              </w:numPr>
              <w:spacing w:line="259" w:lineRule="auto"/>
              <w:ind w:left="555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Increased referrals to existing college tutoring &amp; support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12a51" w:space="0" w:sz="8" w:val="single"/>
              <w:left w:color="712a51" w:space="0" w:sz="8" w:val="single"/>
              <w:bottom w:color="712a51" w:space="0" w:sz="8" w:val="single"/>
              <w:right w:color="712a51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line="259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Additions and enhancements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1"/>
              <w:keepLines w:val="1"/>
              <w:numPr>
                <w:ilvl w:val="0"/>
                <w:numId w:val="1"/>
              </w:numPr>
              <w:spacing w:after="12" w:line="230" w:lineRule="auto"/>
              <w:ind w:left="540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Increased coach access to information on academic histories and grades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1"/>
              <w:keepLines w:val="1"/>
              <w:numPr>
                <w:ilvl w:val="0"/>
                <w:numId w:val="1"/>
              </w:numPr>
              <w:spacing w:after="12" w:line="230" w:lineRule="auto"/>
              <w:ind w:left="540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 one-page coaching guide to a Weekly Academic Coaching Notes Sheet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1"/>
              <w:keepLines w:val="1"/>
              <w:numPr>
                <w:ilvl w:val="0"/>
                <w:numId w:val="1"/>
              </w:numPr>
              <w:spacing w:after="12" w:line="230" w:lineRule="auto"/>
              <w:ind w:left="540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Academic Coaching Binder (Year Up, 2018)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1"/>
              <w:keepLines w:val="1"/>
              <w:numPr>
                <w:ilvl w:val="0"/>
                <w:numId w:val="1"/>
              </w:numPr>
              <w:spacing w:after="12" w:line="230" w:lineRule="auto"/>
              <w:ind w:left="540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Conducted formal coach training on the Academic Coaching Binder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1"/>
              <w:keepLines w:val="1"/>
              <w:numPr>
                <w:ilvl w:val="0"/>
                <w:numId w:val="1"/>
              </w:numPr>
              <w:spacing w:after="12" w:line="230" w:lineRule="auto"/>
              <w:ind w:left="540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Focused on academic issues in Learning Community meetings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1"/>
              <w:keepLines w:val="1"/>
              <w:numPr>
                <w:ilvl w:val="0"/>
                <w:numId w:val="1"/>
              </w:numPr>
              <w:spacing w:after="120" w:line="230" w:lineRule="auto"/>
              <w:ind w:left="540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Increased centralization of information on support resources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1"/>
              <w:keepLines w:val="1"/>
              <w:spacing w:line="259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Strategies abandoned or de-emphasized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1"/>
              <w:keepLines w:val="1"/>
              <w:numPr>
                <w:ilvl w:val="0"/>
                <w:numId w:val="1"/>
              </w:numPr>
              <w:spacing w:after="12" w:line="229" w:lineRule="auto"/>
              <w:ind w:left="540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Abandoned efforts to provide shared access to Wi-Fi hotspots (strategy to be tested cycle 1, but not executed)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1"/>
              <w:keepLines w:val="1"/>
              <w:numPr>
                <w:ilvl w:val="0"/>
                <w:numId w:val="1"/>
              </w:numPr>
              <w:spacing w:line="259" w:lineRule="auto"/>
              <w:ind w:left="540" w:hanging="30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Lowered expectations that instructors would serve as primary source of information on students’ academic performance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160" w:line="276" w:lineRule="auto"/>
        <w:rPr>
          <w:rFonts w:ascii="Open Sans" w:cs="Open Sans" w:eastAsia="Open Sans" w:hAnsi="Open Sans"/>
          <w:color w:val="40404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1"/>
          <w:szCs w:val="21"/>
          <w:rtl w:val="0"/>
        </w:rPr>
        <w:t xml:space="preserve">Source:  Britt et al. (2021).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98b9elf35pz8" w:id="5"/>
      <w:bookmarkEnd w:id="5"/>
      <w:r w:rsidDel="00000000" w:rsidR="00000000" w:rsidRPr="00000000">
        <w:rPr>
          <w:rtl w:val="0"/>
        </w:rPr>
        <w:t xml:space="preserve">Multiline 2: Table with occasional multilines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This example shows more of an analysis table that has some multiline content.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Aggregate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Dependent variable: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-.125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(.026)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-.057</w:t>
              <w:br w:type="textWrapping"/>
              <w:t xml:space="preserve">(.013)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-.08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(.026)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.65***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(.10)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.79***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(.04)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.7***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(.05)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1.05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(.67)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-.03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(.40)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.45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(.9)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540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13" w:hanging="1413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33" w:hanging="2133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53" w:hanging="2853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73" w:hanging="3573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93" w:hanging="4293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13" w:hanging="5013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33" w:hanging="5733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53" w:hanging="6453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55" w:hanging="555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26" w:hanging="142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46" w:hanging="214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66" w:hanging="286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86" w:hanging="358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06" w:hanging="430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26" w:hanging="502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46" w:hanging="574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66" w:hanging="646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40" w:lineRule="auto"/>
    </w:pPr>
    <w:rPr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hd w:fill="auto" w:val="clear"/>
      <w:spacing w:after="0" w:line="240" w:lineRule="auto"/>
    </w:pPr>
    <w:rPr>
      <w:rFonts w:ascii="Cambria" w:cs="Cambria" w:eastAsia="Cambria" w:hAnsi="Cambria"/>
      <w:color w:val="000000"/>
      <w:sz w:val="22"/>
      <w:szCs w:val="22"/>
    </w:rPr>
    <w:tblPr>
      <w:tblStyleRowBandSize w:val="1"/>
      <w:tblStyleColBandSize w:val="1"/>
      <w:tblCellMar>
        <w:top w:w="150.0" w:type="dxa"/>
        <w:left w:w="9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