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1F4E79"/>
          <w:sz w:val="54"/>
          <w:szCs w:val="54"/>
        </w:rPr>
        <w:t xml:space="preserve">Network Device Standards</w:t>
      </w:r>
    </w:p>
    <w:p>
      <w:pPr>
        <w:spacing w:after="40"/>
      </w:pPr>
      <w:r>
        <w:rPr>
          <w:color w:val="595959"/>
          <w:sz w:val="30"/>
          <w:szCs w:val="30"/>
        </w:rPr>
        <w:t xml:space="preserve">User Guide &amp; Overview</w:t>
      </w:r>
    </w:p>
    <w:p>
      <w:pPr>
        <w:pBdr>
          <w:bottom w:val="single" w:color="B26A00" w:sz="14" w:space="6"/>
        </w:pBdr>
        <w:spacing w:after="200"/>
      </w:pPr>
      <w:r>
        <w:t xml:space="preserve"/>
      </w:r>
    </w:p>
    <w:p>
      <w:pPr>
        <w:spacing w:after="200"/>
      </w:pPr>
      <w:r>
        <w:rPr>
          <w:i/>
          <w:iCs/>
        </w:rPr>
        <w:t xml:space="preserve">A single, shared catalogue of standard network devices, their accessories, links, golden images, sites and costs — with bills of materials for pricing standard builds.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app is</w:t>
      </w:r>
    </w:p>
    <w:p>
      <w:pPr>
        <w:spacing w:after="140" w:line="288"/>
      </w:pPr>
      <w:r>
        <w:rPr>
          <w:b/>
          <w:bCs/>
        </w:rPr>
        <w:t xml:space="preserve">Network Device Standards </w:t>
      </w:r>
      <w:r>
        <w:t xml:space="preserve">is a single-page application for cataloguing the network hardware your organisation has standardised on. Instead of scattered spreadsheets and documents, it gives the whole team one place to look up an approved device, see what accessories go with it, find its datasheets, check which software image it should run, and understand what it costs.</w:t>
      </w:r>
    </w:p>
    <w:p>
      <w:pPr>
        <w:spacing w:after="140" w:line="288"/>
      </w:pPr>
      <w:r>
        <w:t xml:space="preserve">It runs entirely in a web browser. Depending on how it has been set up, the data can be stored just in your own browser, in shared </w:t>
      </w:r>
      <w:r>
        <w:rPr>
          <w:b/>
          <w:bCs/>
        </w:rPr>
        <w:t xml:space="preserve">SharePoint</w:t>
      </w:r>
      <w:r>
        <w:t xml:space="preserve"> lists, or on a small shared </w:t>
      </w:r>
      <w:r>
        <w:rPr>
          <w:b/>
          <w:bCs/>
        </w:rPr>
        <w:t xml:space="preserve">server</w:t>
      </w:r>
      <w:r>
        <w:t xml:space="preserve"> — but the way you use the app is identical in every case. When it is shared, everyone sees and edits the same catalogue.</w:t>
      </w:r>
    </w:p>
    <w:p>
      <w:pPr>
        <w:pStyle w:val="Heading2"/>
      </w:pPr>
      <w:r>
        <w:t xml:space="preserve">What you can keep track of</w:t>
      </w:r>
    </w:p>
    <w:p>
      <w:pPr>
        <w:pStyle w:val="ListParagraph"/>
        <w:numPr>
          <w:ilvl w:val="0"/>
          <w:numId w:val="2"/>
        </w:numPr>
        <w:spacing w:after="70" w:line="276"/>
      </w:pPr>
      <w:r>
        <w:rPr>
          <w:b/>
          <w:bCs/>
        </w:rPr>
        <w:t xml:space="preserve">Devices</w:t>
      </w:r>
      <w:r>
        <w:t xml:space="preserve"> — the standard models, with their type, ports, description, features, licence and unit cost.</w:t>
      </w:r>
    </w:p>
    <w:p>
      <w:pPr>
        <w:pStyle w:val="ListParagraph"/>
        <w:numPr>
          <w:ilvl w:val="0"/>
          <w:numId w:val="2"/>
        </w:numPr>
        <w:spacing w:after="70" w:line="276"/>
      </w:pPr>
      <w:r>
        <w:rPr>
          <w:b/>
          <w:bCs/>
        </w:rPr>
        <w:t xml:space="preserve">Accessories</w:t>
      </w:r>
      <w:r>
        <w:t xml:space="preserve"> — power supplies, optics, modules and so on, and which devices each one fits.</w:t>
      </w:r>
    </w:p>
    <w:p>
      <w:pPr>
        <w:pStyle w:val="ListParagraph"/>
        <w:numPr>
          <w:ilvl w:val="0"/>
          <w:numId w:val="2"/>
        </w:numPr>
        <w:spacing w:after="70" w:line="276"/>
      </w:pPr>
      <w:r>
        <w:rPr>
          <w:b/>
          <w:bCs/>
        </w:rPr>
        <w:t xml:space="preserve">Links</w:t>
      </w:r>
      <w:r>
        <w:t xml:space="preserve"> — datasheets, guides and reference material attached to the relevant devices.</w:t>
      </w:r>
    </w:p>
    <w:p>
      <w:pPr>
        <w:pStyle w:val="ListParagraph"/>
        <w:numPr>
          <w:ilvl w:val="0"/>
          <w:numId w:val="2"/>
        </w:numPr>
        <w:spacing w:after="70" w:line="276"/>
      </w:pPr>
      <w:r>
        <w:rPr>
          <w:b/>
          <w:bCs/>
        </w:rPr>
        <w:t xml:space="preserve">Golden images</w:t>
      </w:r>
      <w:r>
        <w:t xml:space="preserve"> — the approved software version a device should run.</w:t>
      </w:r>
    </w:p>
    <w:p>
      <w:pPr>
        <w:pStyle w:val="ListParagraph"/>
        <w:numPr>
          <w:ilvl w:val="0"/>
          <w:numId w:val="2"/>
        </w:numPr>
        <w:spacing w:after="70" w:line="276"/>
      </w:pPr>
      <w:r>
        <w:rPr>
          <w:b/>
          <w:bCs/>
        </w:rPr>
        <w:t xml:space="preserve">Sites</w:t>
      </w:r>
      <w:r>
        <w:t xml:space="preserve"> — your locations and their addresses, used on bills of materials.</w:t>
      </w:r>
    </w:p>
    <w:p>
      <w:pPr>
        <w:pStyle w:val="ListParagraph"/>
        <w:numPr>
          <w:ilvl w:val="0"/>
          <w:numId w:val="2"/>
        </w:numPr>
        <w:spacing w:after="70" w:line="276"/>
      </w:pPr>
      <w:r>
        <w:rPr>
          <w:b/>
          <w:bCs/>
        </w:rPr>
        <w:t xml:space="preserve">Bills of materials</w:t>
      </w:r>
      <w:r>
        <w:t xml:space="preserve"> — costed lists of devices and accessories for a particular build or project.</w:t>
      </w:r>
    </w:p>
    <w:p>
      <w:pPr>
        <w:pStyle w:val="ListParagraph"/>
        <w:numPr>
          <w:ilvl w:val="0"/>
          <w:numId w:val="2"/>
        </w:numPr>
        <w:spacing w:after="70" w:line="276"/>
      </w:pPr>
      <w:r>
        <w:rPr>
          <w:b/>
          <w:bCs/>
        </w:rPr>
        <w:t xml:space="preserve">Unit costs</w:t>
      </w:r>
      <w:r>
        <w:t xml:space="preserve"> — a single review screen for checking and updating every price.</w:t>
      </w:r>
    </w:p>
    <w:p>
      <w:pPr>
        <w:pStyle w:val="ListParagraph"/>
        <w:numPr>
          <w:ilvl w:val="0"/>
          <w:numId w:val="2"/>
        </w:numPr>
        <w:spacing w:after="70" w:line="276"/>
      </w:pPr>
      <w:r>
        <w:rPr>
          <w:b/>
          <w:bCs/>
        </w:rPr>
        <w:t xml:space="preserve">Change log</w:t>
      </w:r>
      <w:r>
        <w:t xml:space="preserve"> — an automatic record of who changed what and when.</w:t>
      </w:r>
    </w:p>
    <w:p>
      <w:pPr>
        <w:pStyle w:val="Heading1"/>
      </w:pPr>
      <w:r>
        <w:t xml:space="preserve">2. Getting around the app</w:t>
      </w:r>
    </w:p>
    <w:p>
      <w:pPr>
        <w:spacing w:after="140" w:line="288"/>
      </w:pPr>
      <w:r>
        <w:t xml:space="preserve">Across the top of the page there is a menu bar with five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Menu item</w:t>
            </w:r>
          </w:p>
        </w:tc>
        <w:tc>
          <w:tcPr>
            <w:tcW w:type="dxa" w:w="676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What it is for</w:t>
            </w:r>
          </w:p>
        </w:tc>
      </w:tr>
      <w:tr>
        <w:tc>
          <w:tcPr>
            <w:tcW w:type="dxa" w:w="26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Catalog</w:t>
            </w:r>
          </w:p>
        </w:tc>
        <w:tc>
          <w:tcPr>
            <w:tcW w:type="dxa" w:w="67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The home page. Shows every device as a card. This is where you browse, search and filter.</w:t>
            </w:r>
          </w:p>
        </w:tc>
      </w:tr>
      <w:tr>
        <w:tc>
          <w:tcPr>
            <w:tcW w:type="dxa" w:w="26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Actions ▾</w:t>
            </w:r>
          </w:p>
        </w:tc>
        <w:tc>
          <w:tcPr>
            <w:tcW w:type="dxa" w:w="67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A dropdown holding all the management pages — adding and editing devices, accessories, links and everything else (covered in section 5).</w:t>
            </w:r>
          </w:p>
        </w:tc>
      </w:tr>
      <w:tr>
        <w:tc>
          <w:tcPr>
            <w:tcW w:type="dxa" w:w="26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Bills of materials</w:t>
            </w:r>
          </w:p>
        </w:tc>
        <w:tc>
          <w:tcPr>
            <w:tcW w:type="dxa" w:w="67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Create and price up lists of devices and accessories for a build or project.</w:t>
            </w:r>
          </w:p>
        </w:tc>
      </w:tr>
      <w:tr>
        <w:tc>
          <w:tcPr>
            <w:tcW w:type="dxa" w:w="26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Change log</w:t>
            </w:r>
          </w:p>
        </w:tc>
        <w:tc>
          <w:tcPr>
            <w:tcW w:type="dxa" w:w="67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The audit trail of every change made.</w:t>
            </w:r>
          </w:p>
        </w:tc>
      </w:tr>
      <w:tr>
        <w:tc>
          <w:tcPr>
            <w:tcW w:type="dxa" w:w="26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Settings</w:t>
            </w:r>
          </w:p>
        </w:tc>
        <w:tc>
          <w:tcPr>
            <w:tcW w:type="dxa" w:w="67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Storage, currency, the administrator login, branding and the catalogue taxonomy.</w:t>
            </w:r>
          </w:p>
        </w:tc>
      </w:tr>
    </w:tbl>
    <w:p>
      <w:pPr>
        <w:spacing w:after="140" w:line="288"/>
      </w:pPr>
      <w:r>
        <w:t xml:space="preserve">The </w:t>
      </w:r>
      <w:r>
        <w:rPr>
          <w:b/>
          <w:bCs/>
        </w:rPr>
        <w:t xml:space="preserve">Catalog</w:t>
      </w:r>
      <w:r>
        <w:t xml:space="preserve"> has two views you can switch between: a full </w:t>
      </w:r>
      <w:r>
        <w:rPr>
          <w:b/>
          <w:bCs/>
        </w:rPr>
        <w:t xml:space="preserve">card view</w:t>
      </w:r>
      <w:r>
        <w:t xml:space="preserve">, and a </w:t>
      </w:r>
      <w:r>
        <w:rPr>
          <w:b/>
          <w:bCs/>
        </w:rPr>
        <w:t xml:space="preserve">collapsed view</w:t>
      </w:r>
      <w:r>
        <w:t xml:space="preserve"> that lists devices compactly (model, description, use cases, features and unit cost). Both offer the same search box and filters — search by text, filter by device type, and narrow further by use case.</w:t>
      </w:r>
    </w:p>
    <w:p>
      <w:pPr>
        <w:pStyle w:val="Heading1"/>
      </w:pPr>
      <w:r>
        <w:t xml:space="preserve">3. Creating a new device</w:t>
      </w:r>
    </w:p>
    <w:p>
      <w:pPr>
        <w:spacing w:after="140" w:line="288"/>
      </w:pPr>
      <w:r>
        <w:t xml:space="preserve">This is the most common task, so it is worth walking through in full.</w:t>
      </w:r>
    </w:p>
    <w:p>
      <w:pPr>
        <w:pStyle w:val="ListParagraph"/>
        <w:numPr>
          <w:ilvl w:val="0"/>
          <w:numId w:val="3"/>
        </w:numPr>
        <w:spacing w:after="90" w:line="276"/>
      </w:pPr>
      <w:r>
        <w:t xml:space="preserve">Open </w:t>
      </w:r>
      <w:r>
        <w:rPr>
          <w:b/>
          <w:bCs/>
        </w:rPr>
        <w:t xml:space="preserve">Actions ▾</w:t>
      </w:r>
      <w:r>
        <w:t xml:space="preserve"> and choose </w:t>
      </w:r>
      <w:r>
        <w:rPr>
          <w:b/>
          <w:bCs/>
        </w:rPr>
        <w:t xml:space="preserve">Add device</w:t>
      </w:r>
      <w:r>
        <w:t xml:space="preserve">.</w:t>
      </w:r>
    </w:p>
    <w:p>
      <w:pPr>
        <w:pStyle w:val="ListParagraph"/>
        <w:numPr>
          <w:ilvl w:val="0"/>
          <w:numId w:val="3"/>
        </w:numPr>
        <w:spacing w:after="90" w:line="276"/>
      </w:pPr>
      <w:r>
        <w:t xml:space="preserve">Fill in the device details (see the required fields below).</w:t>
      </w:r>
    </w:p>
    <w:p>
      <w:pPr>
        <w:pStyle w:val="ListParagraph"/>
        <w:numPr>
          <w:ilvl w:val="0"/>
          <w:numId w:val="3"/>
        </w:numPr>
        <w:spacing w:after="90" w:line="276"/>
      </w:pPr>
      <w:r>
        <w:t xml:space="preserve">Click </w:t>
      </w:r>
      <w:r>
        <w:rPr>
          <w:b/>
          <w:bCs/>
        </w:rPr>
        <w:t xml:space="preserve">Save device</w:t>
      </w:r>
      <w:r>
        <w:t xml:space="preserve">. The new device appears on the Catalog straight away.</w:t>
      </w:r>
    </w:p>
    <w:p>
      <w:pPr>
        <w:pStyle w:val="Heading2"/>
      </w:pPr>
      <w:r>
        <w:t xml:space="preserve">Minimum required fields</w:t>
      </w:r>
    </w:p>
    <w:p>
      <w:pPr>
        <w:spacing w:after="140" w:line="288"/>
      </w:pPr>
      <w:r>
        <w:t xml:space="preserve">Four fields must be filled in before a device can be saved. If any are missing, the app will stop you and point to the one that needs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Required field</w:t>
            </w:r>
          </w:p>
        </w:tc>
        <w:tc>
          <w:tcPr>
            <w:tcW w:type="dxa" w:w="676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Why it matters</w:t>
            </w:r>
          </w:p>
        </w:tc>
      </w:tr>
      <w:tr>
        <w:tc>
          <w:tcPr>
            <w:tcW w:type="dxa" w:w="26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Model / part number</w:t>
            </w:r>
          </w:p>
        </w:tc>
        <w:tc>
          <w:tcPr>
            <w:tcW w:type="dxa" w:w="67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The device's model name or number (for example C9300-48P). This is how the device is identified throughout the app.</w:t>
            </w:r>
          </w:p>
        </w:tc>
      </w:tr>
      <w:tr>
        <w:tc>
          <w:tcPr>
            <w:tcW w:type="dxa" w:w="26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Device type</w:t>
            </w:r>
          </w:p>
        </w:tc>
        <w:tc>
          <w:tcPr>
            <w:tcW w:type="dxa" w:w="67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The category the device belongs to, such as Access Switch or Core Switch. It drives grouping, colour-coding and the catalogue filters.</w:t>
            </w:r>
          </w:p>
        </w:tc>
      </w:tr>
      <w:tr>
        <w:tc>
          <w:tcPr>
            <w:tcW w:type="dxa" w:w="26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Port count</w:t>
            </w:r>
          </w:p>
        </w:tc>
        <w:tc>
          <w:tcPr>
            <w:tcW w:type="dxa" w:w="67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The number of ports. This drives the small port label on the device card (for example “48P”). It is entered directly and is never guessed from the model name.</w:t>
            </w:r>
          </w:p>
        </w:tc>
      </w:tr>
      <w:tr>
        <w:tc>
          <w:tcPr>
            <w:tcW w:type="dxa" w:w="26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Description</w:t>
            </w:r>
          </w:p>
        </w:tc>
        <w:tc>
          <w:tcPr>
            <w:tcW w:type="dxa" w:w="67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A short plain-language description of the device, shown on its card and in the collapsed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6A00" w:sz="2"/>
              <w:left w:val="single" w:color="B26A00" w:sz="18"/>
              <w:bottom w:val="single" w:color="B26A00" w:sz="2"/>
              <w:right w:val="single" w:color="B26A00" w:sz="2"/>
            </w:tcBorders>
            <w:shd w:fill="FFF8E6" w:val="clear"/>
            <w:tcMar>
              <w:top w:type="dxa" w:w="120"/>
              <w:left w:type="dxa" w:w="160"/>
              <w:bottom w:type="dxa" w:w="120"/>
              <w:right w:type="dxa" w:w="160"/>
            </w:tcMar>
          </w:tcPr>
          <w:p>
            <w:pPr>
              <w:spacing w:after="60"/>
            </w:pPr>
            <w:r>
              <w:rPr>
                <w:b/>
                <w:bCs/>
                <w:color w:val="B26A00"/>
                <w:sz w:val="20"/>
                <w:szCs w:val="20"/>
              </w:rPr>
              <w:t xml:space="preserve">KEY POINT</w:t>
            </w:r>
          </w:p>
          <w:p>
            <w:pPr>
              <w:spacing w:after="50" w:line="276"/>
            </w:pPr>
            <w:r>
              <w:rPr>
                <w:b/>
                <w:bCs/>
              </w:rPr>
              <w:t xml:space="preserve">Everything else is optional.</w:t>
            </w:r>
            <w:r>
              <w:t xml:space="preserve"> Use cases, features, licence, unit cost and price date can all be added now or filled in later. A device is valid as soon as the four required fields above are filled in.</w:t>
            </w:r>
          </w:p>
        </w:tc>
      </w:tr>
    </w:tbl>
    <w:p>
      <w:pPr>
        <w:pStyle w:val="Heading2"/>
      </w:pPr>
      <w:r>
        <w:t xml:space="preserve">The other fields, briefly</w:t>
      </w:r>
    </w:p>
    <w:p>
      <w:pPr>
        <w:pStyle w:val="ListParagraph"/>
        <w:numPr>
          <w:ilvl w:val="0"/>
          <w:numId w:val="2"/>
        </w:numPr>
        <w:spacing w:after="70" w:line="276"/>
      </w:pPr>
      <w:r>
        <w:rPr>
          <w:b/>
          <w:bCs/>
        </w:rPr>
        <w:t xml:space="preserve">Use cases</w:t>
      </w:r>
      <w:r>
        <w:t xml:space="preserve"> — what the device is typically deployed for; shown as tags and usable as a filter.</w:t>
      </w:r>
    </w:p>
    <w:p>
      <w:pPr>
        <w:pStyle w:val="ListParagraph"/>
        <w:numPr>
          <w:ilvl w:val="0"/>
          <w:numId w:val="2"/>
        </w:numPr>
        <w:spacing w:after="70" w:line="276"/>
      </w:pPr>
      <w:r>
        <w:rPr>
          <w:b/>
          <w:bCs/>
        </w:rPr>
        <w:t xml:space="preserve">Features</w:t>
      </w:r>
      <w:r>
        <w:t xml:space="preserve"> — capabilities such as PoE+, shown as tags.</w:t>
      </w:r>
    </w:p>
    <w:p>
      <w:pPr>
        <w:pStyle w:val="ListParagraph"/>
        <w:numPr>
          <w:ilvl w:val="0"/>
          <w:numId w:val="2"/>
        </w:numPr>
        <w:spacing w:after="70" w:line="276"/>
      </w:pPr>
      <w:r>
        <w:rPr>
          <w:b/>
          <w:bCs/>
        </w:rPr>
        <w:t xml:space="preserve">Licence</w:t>
      </w:r>
      <w:r>
        <w:t xml:space="preserve"> — the single licence type that applies to the device.</w:t>
      </w:r>
    </w:p>
    <w:p>
      <w:pPr>
        <w:pStyle w:val="ListParagraph"/>
        <w:numPr>
          <w:ilvl w:val="0"/>
          <w:numId w:val="2"/>
        </w:numPr>
        <w:spacing w:after="70" w:line="276"/>
      </w:pPr>
      <w:r>
        <w:rPr>
          <w:b/>
          <w:bCs/>
        </w:rPr>
        <w:t xml:space="preserve">Unit cost &amp; price date</w:t>
      </w:r>
      <w:r>
        <w:t xml:space="preserve"> — the cost of the device and when that price was last checked, shown in the active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8"/>
              <w:bottom w:val="single" w:color="2E7D32" w:sz="2"/>
              <w:right w:val="single" w:color="2E7D32" w:sz="2"/>
            </w:tcBorders>
            <w:shd w:fill="EAF4EC" w:val="clear"/>
            <w:tcMar>
              <w:top w:type="dxa" w:w="120"/>
              <w:left w:type="dxa" w:w="160"/>
              <w:bottom w:type="dxa" w:w="120"/>
              <w:right w:type="dxa" w:w="160"/>
            </w:tcMar>
          </w:tcPr>
          <w:p>
            <w:pPr>
              <w:spacing w:after="60"/>
            </w:pPr>
            <w:r>
              <w:rPr>
                <w:b/>
                <w:bCs/>
                <w:color w:val="2E7D32"/>
                <w:sz w:val="20"/>
                <w:szCs w:val="20"/>
              </w:rPr>
              <w:t xml:space="preserve">TIP</w:t>
            </w:r>
          </w:p>
          <w:p>
            <w:pPr>
              <w:spacing w:after="50" w:line="276"/>
            </w:pPr>
            <w:r>
              <w:rPr>
                <w:b/>
                <w:bCs/>
              </w:rPr>
              <w:t xml:space="preserve">Accessories and links are not attached here.</w:t>
            </w:r>
            <w:r>
              <w:t xml:space="preserve"> You connect an accessory or a link to a device </w:t>
            </w:r>
            <w:r>
              <w:rPr>
                <w:b/>
                <w:bCs/>
              </w:rPr>
              <w:t xml:space="preserve">from the accessory or link page</w:t>
            </w:r>
            <w:r>
              <w:t xml:space="preserve">, not from the device form. This is explained in the next section and is the key to understanding how everything fits together.</w:t>
            </w:r>
          </w:p>
        </w:tc>
      </w:tr>
    </w:tbl>
    <w:p>
      <w:pPr>
        <w:pStyle w:val="Heading1"/>
      </w:pPr>
      <w:r>
        <w:t xml:space="preserve">4. How the Actions relate to each other</w:t>
      </w:r>
    </w:p>
    <w:p>
      <w:pPr>
        <w:spacing w:after="140" w:line="288"/>
      </w:pPr>
      <w:r>
        <w:t xml:space="preserve">The pages under </w:t>
      </w:r>
      <w:r>
        <w:rPr>
          <w:b/>
          <w:bCs/>
        </w:rPr>
        <w:t xml:space="preserve">Actions ▾</w:t>
      </w:r>
      <w:r>
        <w:t xml:space="preserve"> are not isolated lists — they describe relationships between things. Understanding the direction of those relationships makes the app much easier to use.</w:t>
      </w:r>
    </w:p>
    <w:p>
      <w:pPr>
        <w:pStyle w:val="Heading2"/>
      </w:pPr>
      <w:r>
        <w:t xml:space="preserve">The device is the centre</w:t>
      </w:r>
    </w:p>
    <w:p>
      <w:pPr>
        <w:spacing w:after="140" w:line="288"/>
      </w:pPr>
      <w:r>
        <w:t xml:space="preserve">A </w:t>
      </w:r>
      <w:r>
        <w:rPr>
          <w:b/>
          <w:bCs/>
        </w:rPr>
        <w:t xml:space="preserve">device</w:t>
      </w:r>
      <w:r>
        <w:t xml:space="preserve"> sits at the middle. Other records point </w:t>
      </w:r>
      <w:r>
        <w:rPr>
          <w:i/>
          <w:iCs/>
        </w:rPr>
        <w:t xml:space="preserve">at</w:t>
      </w:r>
      <w:r>
        <w:t xml:space="preserv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Record</w:t>
            </w:r>
          </w:p>
        </w:tc>
        <w:tc>
          <w:tcPr>
            <w:tcW w:type="dxa" w:w="436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How it links to devices</w:t>
            </w:r>
          </w:p>
        </w:tc>
        <w:tc>
          <w:tcPr>
            <w:tcW w:type="dxa" w:w="28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Where you make the link</w:t>
            </w:r>
          </w:p>
        </w:tc>
      </w:tr>
      <w:tr>
        <w:tc>
          <w:tcPr>
            <w:tcW w:type="dxa" w:w="22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Accessory</w:t>
            </w:r>
          </w:p>
        </w:tc>
        <w:tc>
          <w:tcPr>
            <w:tcW w:type="dxa" w:w="43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An accessory is marked as compatible with one or more devices.</w:t>
            </w:r>
          </w:p>
        </w:tc>
        <w:tc>
          <w:tcPr>
            <w:tcW w:type="dxa" w:w="28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On the Accessories page (tick the devices it fits).</w:t>
            </w:r>
          </w:p>
        </w:tc>
      </w:tr>
      <w:tr>
        <w:tc>
          <w:tcPr>
            <w:tcW w:type="dxa" w:w="22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Link</w:t>
            </w:r>
          </w:p>
        </w:tc>
        <w:tc>
          <w:tcPr>
            <w:tcW w:type="dxa" w:w="43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A datasheet or guide is associated with one or more devices.</w:t>
            </w:r>
          </w:p>
        </w:tc>
        <w:tc>
          <w:tcPr>
            <w:tcW w:type="dxa" w:w="28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On the Links page (tick the devices it relates to).</w:t>
            </w:r>
          </w:p>
        </w:tc>
      </w:tr>
      <w:tr>
        <w:tc>
          <w:tcPr>
            <w:tcW w:type="dxa" w:w="22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Golden image</w:t>
            </w:r>
          </w:p>
        </w:tc>
        <w:tc>
          <w:tcPr>
            <w:tcW w:type="dxa" w:w="43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An approved software version is assigned to devices (one image per device).</w:t>
            </w:r>
          </w:p>
        </w:tc>
        <w:tc>
          <w:tcPr>
            <w:tcW w:type="dxa" w:w="28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On the Golden images page.</w:t>
            </w:r>
          </w:p>
        </w:tc>
      </w:tr>
      <w:tr>
        <w:tc>
          <w:tcPr>
            <w:tcW w:type="dxa" w:w="22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Licence / Features / Use cases</w:t>
            </w:r>
          </w:p>
        </w:tc>
        <w:tc>
          <w:tcPr>
            <w:tcW w:type="dxa" w:w="43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Chosen on the device itself from lists you maintain.</w:t>
            </w:r>
          </w:p>
        </w:tc>
        <w:tc>
          <w:tcPr>
            <w:tcW w:type="dxa" w:w="28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On the device form; the lists are managed under Types &amp; groups.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6A00" w:sz="2"/>
              <w:left w:val="single" w:color="B26A00" w:sz="18"/>
              <w:bottom w:val="single" w:color="B26A00" w:sz="2"/>
              <w:right w:val="single" w:color="B26A00" w:sz="2"/>
            </w:tcBorders>
            <w:shd w:fill="FFF8E6" w:val="clear"/>
            <w:tcMar>
              <w:top w:type="dxa" w:w="120"/>
              <w:left w:type="dxa" w:w="160"/>
              <w:bottom w:type="dxa" w:w="120"/>
              <w:right w:type="dxa" w:w="160"/>
            </w:tcMar>
          </w:tcPr>
          <w:p>
            <w:pPr>
              <w:spacing w:after="60"/>
            </w:pPr>
            <w:r>
              <w:rPr>
                <w:b/>
                <w:bCs/>
                <w:color w:val="B26A00"/>
                <w:sz w:val="20"/>
                <w:szCs w:val="20"/>
              </w:rPr>
              <w:t xml:space="preserve">KEY POINT</w:t>
            </w:r>
          </w:p>
          <w:p>
            <w:pPr>
              <w:spacing w:after="50" w:line="276"/>
            </w:pPr>
            <w:r>
              <w:rPr>
                <w:b/>
                <w:bCs/>
              </w:rPr>
              <w:t xml:space="preserve">The golden rule: </w:t>
            </w:r>
            <w:r>
              <w:t xml:space="preserve">accessories and links are connected </w:t>
            </w:r>
            <w:r>
              <w:rPr>
                <w:b/>
                <w:bCs/>
              </w:rPr>
              <w:t xml:space="preserve">from their own pages</w:t>
            </w:r>
            <w:r>
              <w:t xml:space="preserve">, by choosing which devices they belong to. The device card then automatically displays the accessories and links that point to it. You never attach them from the device form.</w:t>
            </w:r>
          </w:p>
        </w:tc>
      </w:tr>
    </w:tbl>
    <w:p>
      <w:pPr>
        <w:pStyle w:val="Heading2"/>
      </w:pPr>
      <w:r>
        <w:t xml:space="preserve">The supporting lists</w:t>
      </w:r>
    </w:p>
    <w:p>
      <w:pPr>
        <w:spacing w:after="140" w:line="288"/>
      </w:pPr>
      <w:r>
        <w:t xml:space="preserve">Two pages exist mainly to feed the others:</w:t>
      </w:r>
    </w:p>
    <w:p>
      <w:pPr>
        <w:pStyle w:val="ListParagraph"/>
        <w:numPr>
          <w:ilvl w:val="0"/>
          <w:numId w:val="2"/>
        </w:numPr>
        <w:spacing w:after="70" w:line="276"/>
      </w:pPr>
      <w:r>
        <w:rPr>
          <w:b/>
          <w:bCs/>
        </w:rPr>
        <w:t xml:space="preserve">Types &amp; groups</w:t>
      </w:r>
      <w:r>
        <w:t xml:space="preserve"> — the master lists behind the dropdowns: device types (with their colours), use cases, accessory categories and link categories. Rename one here and every record using it updates.</w:t>
      </w:r>
    </w:p>
    <w:p>
      <w:pPr>
        <w:pStyle w:val="ListParagraph"/>
        <w:numPr>
          <w:ilvl w:val="0"/>
          <w:numId w:val="2"/>
        </w:numPr>
        <w:spacing w:after="70" w:line="276"/>
      </w:pPr>
      <w:r>
        <w:rPr>
          <w:b/>
          <w:bCs/>
        </w:rPr>
        <w:t xml:space="preserve">Sites</w:t>
      </w:r>
      <w:r>
        <w:t xml:space="preserve"> — your locations and addresses. These don't attach to devices; they are used on bills of materials for delivery and invoice addresses. A </w:t>
      </w:r>
      <w:r>
        <w:rPr>
          <w:b/>
          <w:bCs/>
        </w:rPr>
        <w:t xml:space="preserve">Site ID</w:t>
      </w:r>
      <w:r>
        <w:t xml:space="preserve"> is required for each site.</w:t>
      </w:r>
    </w:p>
    <w:p>
      <w:pPr>
        <w:pStyle w:val="ListParagraph"/>
        <w:numPr>
          <w:ilvl w:val="0"/>
          <w:numId w:val="2"/>
        </w:numPr>
        <w:spacing w:after="70" w:line="276"/>
      </w:pPr>
      <w:r>
        <w:rPr>
          <w:b/>
          <w:bCs/>
        </w:rPr>
        <w:t xml:space="preserve">Unit Costs</w:t>
      </w:r>
      <w:r>
        <w:t xml:space="preserve"> — not a new kind of data, but a single screen for reviewing and editing the cost of every device and accessory in one place, grouped by type. Ideal for a periodic price review.</w:t>
      </w:r>
    </w:p>
    <w:p>
      <w:pPr>
        <w:pStyle w:val="Heading2"/>
      </w:pPr>
      <w:r>
        <w:t xml:space="preserve">At a glance</w:t>
      </w:r>
    </w:p>
    <w:p>
      <w:pPr>
        <w:spacing w:after="140" w:line="288"/>
      </w:pPr>
      <w:r>
        <w:t xml:space="preserve">Reading the table below from the outside in: everything ultimately supports the </w:t>
      </w:r>
      <w:r>
        <w:rPr>
          <w:b/>
          <w:bCs/>
        </w:rPr>
        <w:t xml:space="preserve">device</w:t>
      </w:r>
      <w:r>
        <w:t xml:space="preserve">, and devices and accessories ultimately feed the </w:t>
      </w:r>
      <w:r>
        <w:rPr>
          <w:b/>
          <w:bCs/>
        </w:rPr>
        <w:t xml:space="preserve">bill of materials</w:t>
      </w:r>
      <w:r>
        <w:t xml:space="preserve">, which is where costs come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Layer</w:t>
            </w:r>
          </w:p>
        </w:tc>
        <w:tc>
          <w:tcPr>
            <w:tcW w:type="dxa" w:w="34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Records</w:t>
            </w:r>
          </w:p>
        </w:tc>
        <w:tc>
          <w:tcPr>
            <w:tcW w:type="dxa" w:w="406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Purpose</w:t>
            </w:r>
          </w:p>
        </w:tc>
      </w:tr>
      <w:tr>
        <w:tc>
          <w:tcPr>
            <w:tcW w:type="dxa" w:w="19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Foundation</w:t>
            </w:r>
          </w:p>
        </w:tc>
        <w:tc>
          <w:tcPr>
            <w:tcW w:type="dxa" w:w="34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Types &amp; groups, Sites</w:t>
            </w:r>
          </w:p>
        </w:tc>
        <w:tc>
          <w:tcPr>
            <w:tcW w:type="dxa" w:w="40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The vocabulary and locations everything else draws on.</w:t>
            </w:r>
          </w:p>
        </w:tc>
      </w:tr>
      <w:tr>
        <w:tc>
          <w:tcPr>
            <w:tcW w:type="dxa" w:w="19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Core catalogue</w:t>
            </w:r>
          </w:p>
        </w:tc>
        <w:tc>
          <w:tcPr>
            <w:tcW w:type="dxa" w:w="34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Devices, Accessories, Links, Golden images</w:t>
            </w:r>
          </w:p>
        </w:tc>
        <w:tc>
          <w:tcPr>
            <w:tcW w:type="dxa" w:w="40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The standard hardware and everything attached to it.</w:t>
            </w:r>
          </w:p>
        </w:tc>
      </w:tr>
      <w:tr>
        <w:tc>
          <w:tcPr>
            <w:tcW w:type="dxa" w:w="19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Costing</w:t>
            </w:r>
          </w:p>
        </w:tc>
        <w:tc>
          <w:tcPr>
            <w:tcW w:type="dxa" w:w="34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Unit Costs, Bills of materials</w:t>
            </w:r>
          </w:p>
        </w:tc>
        <w:tc>
          <w:tcPr>
            <w:tcW w:type="dxa" w:w="40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Review prices, then assemble and total up a build.</w:t>
            </w:r>
          </w:p>
        </w:tc>
      </w:tr>
      <w:tr>
        <w:tc>
          <w:tcPr>
            <w:tcW w:type="dxa" w:w="19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Oversight</w:t>
            </w:r>
          </w:p>
        </w:tc>
        <w:tc>
          <w:tcPr>
            <w:tcW w:type="dxa" w:w="34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Change log, Settings</w:t>
            </w:r>
          </w:p>
        </w:tc>
        <w:tc>
          <w:tcPr>
            <w:tcW w:type="dxa" w:w="40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Track changes; control storage, currency and access.</w:t>
            </w:r>
          </w:p>
        </w:tc>
      </w:tr>
    </w:tbl>
    <w:p>
      <w:pPr>
        <w:pStyle w:val="Heading1"/>
      </w:pPr>
      <w:r>
        <w:t xml:space="preserve">5. The Actions pages in detail</w:t>
      </w:r>
    </w:p>
    <w:p>
      <w:pPr>
        <w:pStyle w:val="Heading3"/>
      </w:pPr>
      <w:r>
        <w:t xml:space="preserve">Accessories</w:t>
      </w:r>
    </w:p>
    <w:p>
      <w:pPr>
        <w:spacing w:after="140" w:line="288"/>
      </w:pPr>
      <w:r>
        <w:t xml:space="preserve">A library of accessories grouped by category. Each accessory can carry a part number, a unit cost and price date, and a list of compatible devices (grouped by device type, with Select-all / Clear-all for convenience). Linking an accessory to devices here is what makes it appear on those device cards.</w:t>
      </w:r>
    </w:p>
    <w:p>
      <w:pPr>
        <w:pStyle w:val="Heading3"/>
      </w:pPr>
      <w:r>
        <w:t xml:space="preserve">Links</w:t>
      </w:r>
    </w:p>
    <w:p>
      <w:pPr>
        <w:spacing w:after="140" w:line="288"/>
      </w:pPr>
      <w:r>
        <w:t xml:space="preserve">Datasheets, guides and other references, each opening in a new tab and associated with the relevant devices. As with accessories, the association is made here, not on the device.</w:t>
      </w:r>
    </w:p>
    <w:p>
      <w:pPr>
        <w:pStyle w:val="Heading3"/>
      </w:pPr>
      <w:r>
        <w:t xml:space="preserve">Features &amp; Licensing</w:t>
      </w:r>
    </w:p>
    <w:p>
      <w:pPr>
        <w:spacing w:after="140" w:line="288"/>
      </w:pPr>
      <w:r>
        <w:t xml:space="preserve">Two simple pages for maintaining the list of features (a device can have several) and licence types (a device has one). Devices then pick from these.</w:t>
      </w:r>
    </w:p>
    <w:p>
      <w:pPr>
        <w:pStyle w:val="Heading3"/>
      </w:pPr>
      <w:r>
        <w:t xml:space="preserve">Golden images</w:t>
      </w:r>
    </w:p>
    <w:p>
      <w:pPr>
        <w:spacing w:after="140" w:line="288"/>
      </w:pPr>
      <w:r>
        <w:t xml:space="preserve">The approved software image versions, each with a version, an update date and an optional file, assigned to devices. A device has at most one golden image, shown in a distinct block on its card.</w:t>
      </w:r>
    </w:p>
    <w:p>
      <w:pPr>
        <w:pStyle w:val="Heading3"/>
      </w:pPr>
      <w:r>
        <w:t xml:space="preserve">Sites</w:t>
      </w:r>
    </w:p>
    <w:p>
      <w:pPr>
        <w:spacing w:after="140" w:line="288"/>
      </w:pPr>
      <w:r>
        <w:t xml:space="preserve">Your locations, each with a required Site ID plus address and notes. Used by bills of materials for delivery and invoice addresses.</w:t>
      </w:r>
    </w:p>
    <w:p>
      <w:pPr>
        <w:pStyle w:val="Heading3"/>
      </w:pPr>
      <w:r>
        <w:t xml:space="preserve">Unit Costs</w:t>
      </w:r>
    </w:p>
    <w:p>
      <w:pPr>
        <w:spacing w:after="140" w:line="288"/>
      </w:pPr>
      <w:r>
        <w:t xml:space="preserve">A two-column review screen — devices on one side, accessories on the other, each grouped by type. Click any price to edit it inline. Search and two separate type filters (one for device type, one for accessory type) help you focus. A count at the top of each column shows how many items have a cost recorded.</w:t>
      </w:r>
    </w:p>
    <w:p>
      <w:pPr>
        <w:pStyle w:val="Heading3"/>
      </w:pPr>
      <w:r>
        <w:t xml:space="preserve">Types &amp; groups</w:t>
      </w:r>
    </w:p>
    <w:p>
      <w:pPr>
        <w:spacing w:after="140" w:line="288"/>
      </w:pPr>
      <w:r>
        <w:t xml:space="preserve">The master taxonomy: device types and their colours, use cases, accessory categories and link categories. Renaming cascades everywhere; deleting is reversible.</w:t>
      </w:r>
    </w:p>
    <w:p>
      <w:pPr>
        <w:pStyle w:val="Heading1"/>
      </w:pPr>
      <w:r>
        <w:t xml:space="preserve">6. Bills of materials — pricing a standard build</w:t>
      </w:r>
    </w:p>
    <w:p>
      <w:pPr>
        <w:spacing w:after="140" w:line="288"/>
      </w:pPr>
      <w:r>
        <w:rPr>
          <w:b/>
          <w:bCs/>
        </w:rPr>
        <w:t xml:space="preserve">This is where the catalogue pays off. </w:t>
      </w:r>
      <w:r>
        <w:t xml:space="preserve">A bill of materials (BOM) lets you assemble a list of standard devices and their accessories for a particular build, site or project, and have the costs worked out automatically. Because the devices and accessories already carry their unit costs, a BOM turns “what hardware do we need” into “what will it cost” with no separate spreadsheet.</w:t>
      </w:r>
    </w:p>
    <w:p>
      <w:pPr>
        <w:pStyle w:val="Heading2"/>
      </w:pPr>
      <w:r>
        <w:t xml:space="preserve">Why it's useful</w:t>
      </w:r>
    </w:p>
    <w:p>
      <w:pPr>
        <w:pStyle w:val="ListParagraph"/>
        <w:numPr>
          <w:ilvl w:val="0"/>
          <w:numId w:val="2"/>
        </w:numPr>
        <w:spacing w:after="70" w:line="276"/>
      </w:pPr>
      <w:r>
        <w:t xml:space="preserve">It draws on your </w:t>
      </w:r>
      <w:r>
        <w:rPr>
          <w:b/>
          <w:bCs/>
        </w:rPr>
        <w:t xml:space="preserve">standard</w:t>
      </w:r>
      <w:r>
        <w:t xml:space="preserve"> devices and accessories, so a BOM reflects approved hardware and current agreed prices.</w:t>
      </w:r>
    </w:p>
    <w:p>
      <w:pPr>
        <w:pStyle w:val="ListParagraph"/>
        <w:numPr>
          <w:ilvl w:val="0"/>
          <w:numId w:val="2"/>
        </w:numPr>
        <w:spacing w:after="70" w:line="276"/>
      </w:pPr>
      <w:r>
        <w:t xml:space="preserve">Costs are calculated for you: each line is </w:t>
      </w:r>
      <w:r>
        <w:rPr>
          <w:b/>
          <w:bCs/>
        </w:rPr>
        <w:t xml:space="preserve">unit cost × quantity</w:t>
      </w:r>
      <w:r>
        <w:t xml:space="preserve">, and the whole BOM is totalled at the bottom.</w:t>
      </w:r>
    </w:p>
    <w:p>
      <w:pPr>
        <w:pStyle w:val="ListParagraph"/>
        <w:numPr>
          <w:ilvl w:val="0"/>
          <w:numId w:val="2"/>
        </w:numPr>
        <w:spacing w:after="70" w:line="276"/>
      </w:pPr>
      <w:r>
        <w:t xml:space="preserve">It keeps device and accessory costs together, so the true cost of a standard build — switch plus its optics, power supplies and modules — is visible at a glance.</w:t>
      </w:r>
    </w:p>
    <w:p>
      <w:pPr>
        <w:pStyle w:val="ListParagraph"/>
        <w:numPr>
          <w:ilvl w:val="0"/>
          <w:numId w:val="2"/>
        </w:numPr>
        <w:spacing w:after="70" w:line="276"/>
      </w:pPr>
      <w:r>
        <w:t xml:space="preserve">Delivery and invoice </w:t>
      </w:r>
      <w:r>
        <w:rPr>
          <w:b/>
          <w:bCs/>
        </w:rPr>
        <w:t xml:space="preserve">addresses</w:t>
      </w:r>
      <w:r>
        <w:t xml:space="preserve"> can be attached from your Sites, ready for quotation.</w:t>
      </w:r>
    </w:p>
    <w:p>
      <w:pPr>
        <w:pStyle w:val="Heading2"/>
      </w:pPr>
      <w:r>
        <w:t xml:space="preserve">Building one</w:t>
      </w:r>
    </w:p>
    <w:p>
      <w:pPr>
        <w:pStyle w:val="ListParagraph"/>
        <w:numPr>
          <w:ilvl w:val="0"/>
          <w:numId w:val="3"/>
        </w:numPr>
        <w:spacing w:after="90" w:line="276"/>
      </w:pPr>
      <w:r>
        <w:t xml:space="preserve">Go to </w:t>
      </w:r>
      <w:r>
        <w:rPr>
          <w:b/>
          <w:bCs/>
        </w:rPr>
        <w:t xml:space="preserve">Bills of materials</w:t>
      </w:r>
      <w:r>
        <w:t xml:space="preserve"> and create a new BOM, giving it a title and who it's by.</w:t>
      </w:r>
    </w:p>
    <w:p>
      <w:pPr>
        <w:pStyle w:val="ListParagraph"/>
        <w:numPr>
          <w:ilvl w:val="0"/>
          <w:numId w:val="3"/>
        </w:numPr>
        <w:spacing w:after="90" w:line="276"/>
      </w:pPr>
      <w:r>
        <w:t xml:space="preserve">Use </w:t>
      </w:r>
      <w:r>
        <w:rPr>
          <w:b/>
          <w:bCs/>
        </w:rPr>
        <w:t xml:space="preserve">Add device</w:t>
      </w:r>
      <w:r>
        <w:t xml:space="preserve"> to pick a device (and optionally tick accessories for it at the same time).</w:t>
      </w:r>
    </w:p>
    <w:p>
      <w:pPr>
        <w:pStyle w:val="ListParagraph"/>
        <w:numPr>
          <w:ilvl w:val="0"/>
          <w:numId w:val="3"/>
        </w:numPr>
        <w:spacing w:after="90" w:line="276"/>
      </w:pPr>
      <w:r>
        <w:t xml:space="preserve">Use </w:t>
      </w:r>
      <w:r>
        <w:rPr>
          <w:b/>
          <w:bCs/>
        </w:rPr>
        <w:t xml:space="preserve">Add accessory</w:t>
      </w:r>
      <w:r>
        <w:t xml:space="preserve"> to add accessories on their own: choose a device type, then a specific model, then tick the accessories linked to that model. No device is added — only the accessories.</w:t>
      </w:r>
    </w:p>
    <w:p>
      <w:pPr>
        <w:pStyle w:val="ListParagraph"/>
        <w:numPr>
          <w:ilvl w:val="0"/>
          <w:numId w:val="3"/>
        </w:numPr>
        <w:spacing w:after="90" w:line="276"/>
      </w:pPr>
      <w:r>
        <w:t xml:space="preserve">Set quantities. Each line shows its unit cost and line total, and the grand total updates live.</w:t>
      </w:r>
    </w:p>
    <w:p>
      <w:pPr>
        <w:pStyle w:val="ListParagraph"/>
        <w:numPr>
          <w:ilvl w:val="0"/>
          <w:numId w:val="3"/>
        </w:numPr>
        <w:spacing w:after="90" w:line="276"/>
      </w:pPr>
      <w:r>
        <w:t xml:space="preserve">Optionally set the delivery address, and an invoice address (with a tickbox for “invoice same as delivery”).</w:t>
      </w:r>
    </w:p>
    <w:p>
      <w:pPr>
        <w:pStyle w:val="Heading2"/>
      </w:pPr>
      <w:r>
        <w:t xml:space="preserve">Two Excel exports</w:t>
      </w:r>
    </w:p>
    <w:p>
      <w:pPr>
        <w:spacing w:after="140" w:line="288"/>
      </w:pPr>
      <w:r>
        <w:t xml:space="preserve">From the </w:t>
      </w:r>
      <w:r>
        <w:rPr>
          <w:b/>
          <w:bCs/>
        </w:rPr>
        <w:t xml:space="preserve">Export</w:t>
      </w:r>
      <w:r>
        <w:t xml:space="preserve"> button you can produce either of two spreadsheets, depending on who it's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Export</w:t>
            </w:r>
          </w:p>
        </w:tc>
        <w:tc>
          <w:tcPr>
            <w:tcW w:type="dxa" w:w="436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Columns</w:t>
            </w:r>
          </w:p>
        </w:tc>
        <w:tc>
          <w:tcPr>
            <w:tcW w:type="dxa" w:w="2500"/>
            <w:tcBorders>
              <w:top w:val="single" w:color="B7C5D4" w:sz="1"/>
              <w:left w:val="single" w:color="B7C5D4" w:sz="1"/>
              <w:bottom w:val="single" w:color="B7C5D4" w:sz="1"/>
              <w:right w:val="single" w:color="B7C5D4" w:sz="1"/>
            </w:tcBorders>
            <w:shd w:fill="1F4E79" w:val="clear"/>
            <w:tcMar>
              <w:top w:type="dxa" w:w="70"/>
              <w:left w:type="dxa" w:w="120"/>
              <w:bottom w:type="dxa" w:w="70"/>
              <w:right w:type="dxa" w:w="120"/>
            </w:tcMar>
            <w:vAlign w:val="center"/>
          </w:tcPr>
          <w:p>
            <w:r>
              <w:rPr>
                <w:b/>
                <w:bCs/>
                <w:color w:val="FFFFFF"/>
                <w:sz w:val="20"/>
                <w:szCs w:val="20"/>
              </w:rPr>
              <w:t xml:space="preserve">Best for</w:t>
            </w:r>
          </w:p>
        </w:tc>
      </w:tr>
      <w:tr>
        <w:tc>
          <w:tcPr>
            <w:tcW w:type="dxa" w:w="25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b/>
                <w:bCs/>
              </w:rPr>
              <w:t xml:space="preserve">BoM for Quotation</w:t>
            </w:r>
          </w:p>
        </w:tc>
        <w:tc>
          <w:tcPr>
            <w:tcW w:type="dxa" w:w="436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Qty, Device Item, Description, Delivery address, Invoice Address</w:t>
            </w:r>
          </w:p>
        </w:tc>
        <w:tc>
          <w:tcPr>
            <w:tcW w:type="dxa" w:w="2500"/>
            <w:tcBorders>
              <w:top w:val="single" w:color="B7C5D4" w:sz="1"/>
              <w:left w:val="single" w:color="B7C5D4" w:sz="1"/>
              <w:bottom w:val="single" w:color="B7C5D4" w:sz="1"/>
              <w:right w:val="single" w:color="B7C5D4" w:sz="1"/>
            </w:tcBorders>
            <w:shd w:fill="FFFFFF" w:val="clear"/>
            <w:tcMar>
              <w:top w:type="dxa" w:w="60"/>
              <w:left w:type="dxa" w:w="120"/>
              <w:bottom w:type="dxa" w:w="60"/>
              <w:right w:type="dxa" w:w="120"/>
            </w:tcMar>
            <w:vAlign w:val="center"/>
          </w:tcPr>
          <w:p>
            <w:pPr>
              <w:spacing w:line="264"/>
            </w:pPr>
            <w:r>
              <w:rPr>
                <w:sz w:val="20"/>
                <w:szCs w:val="20"/>
              </w:rPr>
              <w:t xml:space="preserve">Sending to a supplier — focuses on what's needed and where it goes, without internal costs.</w:t>
            </w:r>
          </w:p>
        </w:tc>
      </w:tr>
      <w:tr>
        <w:tc>
          <w:tcPr>
            <w:tcW w:type="dxa" w:w="25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b/>
                <w:bCs/>
              </w:rPr>
              <w:t xml:space="preserve">BoM for Price Estimates</w:t>
            </w:r>
          </w:p>
        </w:tc>
        <w:tc>
          <w:tcPr>
            <w:tcW w:type="dxa" w:w="436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Qty, Device Item, Description, Unit Cost, Total Cost, plus a grand total row</w:t>
            </w:r>
          </w:p>
        </w:tc>
        <w:tc>
          <w:tcPr>
            <w:tcW w:type="dxa" w:w="2500"/>
            <w:tcBorders>
              <w:top w:val="single" w:color="B7C5D4" w:sz="1"/>
              <w:left w:val="single" w:color="B7C5D4" w:sz="1"/>
              <w:bottom w:val="single" w:color="B7C5D4" w:sz="1"/>
              <w:right w:val="single" w:color="B7C5D4" w:sz="1"/>
            </w:tcBorders>
            <w:shd w:fill="F1F6FB" w:val="clear"/>
            <w:tcMar>
              <w:top w:type="dxa" w:w="60"/>
              <w:left w:type="dxa" w:w="120"/>
              <w:bottom w:type="dxa" w:w="60"/>
              <w:right w:type="dxa" w:w="120"/>
            </w:tcMar>
            <w:vAlign w:val="center"/>
          </w:tcPr>
          <w:p>
            <w:pPr>
              <w:spacing w:line="264"/>
            </w:pPr>
            <w:r>
              <w:rPr>
                <w:sz w:val="20"/>
                <w:szCs w:val="20"/>
              </w:rPr>
              <w:t xml:space="preserve">Internal costing and budgeting — shows the money.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8"/>
              <w:bottom w:val="single" w:color="2E7D32" w:sz="2"/>
              <w:right w:val="single" w:color="2E7D32" w:sz="2"/>
            </w:tcBorders>
            <w:shd w:fill="EAF4EC" w:val="clear"/>
            <w:tcMar>
              <w:top w:type="dxa" w:w="120"/>
              <w:left w:type="dxa" w:w="160"/>
              <w:bottom w:type="dxa" w:w="120"/>
              <w:right w:type="dxa" w:w="160"/>
            </w:tcMar>
          </w:tcPr>
          <w:p>
            <w:pPr>
              <w:spacing w:after="60"/>
            </w:pPr>
            <w:r>
              <w:rPr>
                <w:b/>
                <w:bCs/>
                <w:color w:val="2E7D32"/>
                <w:sz w:val="20"/>
                <w:szCs w:val="20"/>
              </w:rPr>
              <w:t xml:space="preserve">TIP</w:t>
            </w:r>
          </w:p>
          <w:p>
            <w:pPr>
              <w:spacing w:after="50" w:line="276"/>
            </w:pPr>
            <w:r>
              <w:rPr>
                <w:b/>
                <w:bCs/>
              </w:rPr>
              <w:t xml:space="preserve">Currency follows your settings. </w:t>
            </w:r>
            <w:r>
              <w:t xml:space="preserve">Prices everywhere — cards, the Unit Costs screen, BOM lines and the exports — use whichever currency is active (for example EUR € or GBP £). Switching currency in Settings converts existing prices using an exchange rate you can fetch or enter.</w:t>
            </w:r>
          </w:p>
        </w:tc>
      </w:tr>
    </w:tbl>
    <w:p>
      <w:pPr>
        <w:pStyle w:val="Heading1"/>
      </w:pPr>
      <w:r>
        <w:t xml:space="preserve">7. Settings &amp; housekeeping</w:t>
      </w:r>
    </w:p>
    <w:p>
      <w:pPr>
        <w:pStyle w:val="ListParagraph"/>
        <w:numPr>
          <w:ilvl w:val="0"/>
          <w:numId w:val="2"/>
        </w:numPr>
        <w:spacing w:after="70" w:line="276"/>
      </w:pPr>
      <w:r>
        <w:rPr>
          <w:b/>
          <w:bCs/>
        </w:rPr>
        <w:t xml:space="preserve">Storage</w:t>
      </w:r>
      <w:r>
        <w:t xml:space="preserve"> — choose where data lives (this browser, SharePoint, or a shared server). In shared modes everyone sees the same catalogue.</w:t>
      </w:r>
    </w:p>
    <w:p>
      <w:pPr>
        <w:pStyle w:val="ListParagraph"/>
        <w:numPr>
          <w:ilvl w:val="0"/>
          <w:numId w:val="2"/>
        </w:numPr>
        <w:spacing w:after="70" w:line="276"/>
      </w:pPr>
      <w:r>
        <w:rPr>
          <w:b/>
          <w:bCs/>
        </w:rPr>
        <w:t xml:space="preserve">Currency</w:t>
      </w:r>
      <w:r>
        <w:t xml:space="preserve"> — switch between Euro and British Pound; switching converts existing prices.</w:t>
      </w:r>
    </w:p>
    <w:p>
      <w:pPr>
        <w:pStyle w:val="ListParagraph"/>
        <w:numPr>
          <w:ilvl w:val="0"/>
          <w:numId w:val="2"/>
        </w:numPr>
        <w:spacing w:after="70" w:line="276"/>
      </w:pPr>
      <w:r>
        <w:rPr>
          <w:b/>
          <w:bCs/>
        </w:rPr>
        <w:t xml:space="preserve">Administrator</w:t>
      </w:r>
      <w:r>
        <w:t xml:space="preserve"> — set a password to protect sensitive actions: deleting change-log entries, and editing the titles, logo and section headings.</w:t>
      </w:r>
    </w:p>
    <w:p>
      <w:pPr>
        <w:pStyle w:val="ListParagraph"/>
        <w:numPr>
          <w:ilvl w:val="0"/>
          <w:numId w:val="2"/>
        </w:numPr>
        <w:spacing w:after="70" w:line="276"/>
      </w:pPr>
      <w:r>
        <w:rPr>
          <w:b/>
          <w:bCs/>
        </w:rPr>
        <w:t xml:space="preserve">Branding &amp; headings</w:t>
      </w:r>
      <w:r>
        <w:t xml:space="preserve"> — the title, subtitle, logo and each section's heading can be edited (admin-protected).</w:t>
      </w:r>
    </w:p>
    <w:p>
      <w:pPr>
        <w:pStyle w:val="ListParagraph"/>
        <w:numPr>
          <w:ilvl w:val="0"/>
          <w:numId w:val="2"/>
        </w:numPr>
        <w:spacing w:after="70" w:line="276"/>
      </w:pPr>
      <w:r>
        <w:rPr>
          <w:b/>
          <w:bCs/>
        </w:rPr>
        <w:t xml:space="preserve">Export / Import JSON</w:t>
      </w:r>
      <w:r>
        <w:t xml:space="preserve"> — a complete, portable backup of the whole catalogue. Worth doing before any big change.</w:t>
      </w:r>
    </w:p>
    <w:p>
      <w:pPr>
        <w:spacing w:before="80"/>
      </w:pPr>
      <w:r>
        <w:rPr>
          <w:i/>
          <w:iCs/>
        </w:rPr>
        <w:t xml:space="preserve">The change log records every add, edit and delete automatically, so there is always a history of what happened.</w:t>
      </w:r>
    </w:p>
    <w:p>
      <w:pPr>
        <w:pBdr>
          <w:top w:val="single" w:color="B26A00" w:sz="8" w:space="6"/>
        </w:pBdr>
        <w:spacing w:after="80" w:before="240"/>
      </w:pPr>
      <w:r>
        <w:rPr>
          <w:sz w:val="21"/>
          <w:szCs w:val="21"/>
        </w:rPr>
        <w:t xml:space="preserve"/>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B4"/>
        <w:sz w:val="16"/>
        <w:szCs w:val="16"/>
      </w:rPr>
      <w:t xml:space="preserve">Page </w:t>
    </w:r>
    <w:r>
      <w:rPr>
        <w:color w:val="9AA7B4"/>
        <w:sz w:val="16"/>
        <w:szCs w:val="16"/>
      </w:rPr>
      <w:fldChar w:fldCharType="begin"/>
      <w:instrText xml:space="preserve">PAGE</w:instrText>
      <w:fldChar w:fldCharType="separate"/>
      <w:fldChar w:fldCharType="end"/>
    </w:r>
    <w:r>
      <w:rPr>
        <w:color w:val="9AA7B4"/>
        <w:sz w:val="16"/>
        <w:szCs w:val="16"/>
      </w:rPr>
      <w:t xml:space="preserve"> of </w:t>
    </w:r>
    <w:r>
      <w:rPr>
        <w:color w:val="9AA7B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7B4"/>
        <w:sz w:val="16"/>
        <w:szCs w:val="16"/>
      </w:rPr>
      <w:t xml:space="preserve">Network Device Standards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9F5" w:sz="6" w:space="4"/>
      </w:pBdr>
      <w:spacing w:after="14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70" w:before="150"/>
      <w:outlineLvl w:val="2"/>
    </w:pPr>
    <w:rPr>
      <w:rFonts w:ascii="Calibri" w:cs="Calibri" w:eastAsia="Calibri" w:hAnsi="Calibri"/>
      <w:b/>
      <w:bCs/>
      <w:color w:val="4460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Device Standards — User Guide</dc:title>
  <dc:creator>Network Device Standards</dc:creator>
  <cp:lastModifiedBy>Un-named</cp:lastModifiedBy>
  <cp:revision>1</cp:revision>
  <dcterms:created xsi:type="dcterms:W3CDTF">2026-06-28T07:37:36.631Z</dcterms:created>
  <dcterms:modified xsi:type="dcterms:W3CDTF">2026-06-28T07:37:36.631Z</dcterms:modified>
</cp:coreProperties>
</file>

<file path=docProps/custom.xml><?xml version="1.0" encoding="utf-8"?>
<Properties xmlns="http://schemas.openxmlformats.org/officeDocument/2006/custom-properties" xmlns:vt="http://schemas.openxmlformats.org/officeDocument/2006/docPropsVTypes"/>
</file>