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Active Listening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Affinity Estimating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Agile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Agile Manifesto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Agile Modeling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Agile Space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Agile Theme (see Theme)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Agile Tooling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Analysis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Artifact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Backlog (see either Product Backlog or Iteration Backlog)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Brainstorming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Burn-Down Chart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Burn Rate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Burn-Up Chart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Capability (see Epic)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Cause and Effect Diagram (see Root Cause Diagram)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Ceremony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Change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Charter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Chicken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Coach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Collaboration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Collective Code Ownership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Colocation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Command and Control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Compliance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Cone of Silence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Cone of Uncertainty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Conflict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Conflict Resolution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Continuous Integration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Coordination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Cumulative Flow Diagram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Cycle Time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Daily Stand-up Meeting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Decide As Late As Possible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DEEP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Disaggregation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Done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DRY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Earned Value Management (EVM)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Emergent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Emotional Intelligence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Empowerment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Engineering Task (see Task) Epic Story (Capability)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Escaped Defects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Extreme Persona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eXtreme Programming (XP)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Feature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Fibonacci Sequence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Fishbone Diagram (see Root Cause Diagram)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Five Whys Technique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Focus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Force Field Analysis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Functionality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Grooming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Ground Rules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Hardening Iteration (known in Scrum as "Hardening Sprint")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High-Bandwidth Communication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Ideal Time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Incremental Delivery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Information Radiator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Information Refrigerator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Innovation Games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Interactions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Internal Rate of Return (lRR)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INVEST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Ishikawa Diagram (see Root Cause Diagram) Iteration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Iteration Backlog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Iteration Retrospective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Kaizen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Kanban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Kanban Board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Last Responsible Moment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Lean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Metaphor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Minimal Marketable Feature (MMF)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Negotiable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Negotiation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Net Present Value (NPV)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Osmotic Communication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Parking Lot Chart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Persona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Pig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Plan-Do-Check-Act Cycle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Planning Game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Planning Poker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PMBOK Guide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PMI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PMI-ACP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Present Value (PV)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Process Tailoring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Product Road Map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Programmer (XP)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Progressive Elaboration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Project Management Professional (PMP®)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Qualitative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Quantitative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Relative Sizing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Release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Return on Investment (ROI)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Risk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Risk Burn Down Chart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Root Cause Analysis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Root Cause Diagram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Scrum of Scrums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ScrumMaster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Self-Organization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Servant Leadership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Silo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Smells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Spike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Sprint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Stakeholder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Stakeholder Management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Standup Meeting (see Daily Standup)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Standardized Test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Story (see User Story)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Story Card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Story Map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Story Point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Sustainability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Swarming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Technical Debt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Test Driven Development (Test First Development)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Tester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Timeboxing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Tracker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Traditional Management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Validation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Value Stream Mapping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Value-based Prioritization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Verification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Virtual Team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Visibility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War Room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Wideband Delphi Estimating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WIP Limits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Wireframe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Work-In-Progress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XP (see eXtreme Programming)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