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Dictionary for the Banking dataset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bank client data: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(numeric)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: type of job (categorical: "admin.","blue-collar","entrepreneur","housemaid","management","retired","self-employed","services","student","technician","unemployed","unknown")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: marital status (categorical: "divorced","married","single","unknown"; note: "divorced" means divorced or widowed)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(categorical: "basic.4y","basic.6y","basic.9y","high.school","illiterate","professional.course","university.degree","unknown")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has credit in default? (categorical: "no","yes","unknown")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housing: has housing loan? (categorical: "no","yes","unknown")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loan: has personal loan? (categorical: "no","yes","unknown")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related with the last contact of the current campaign: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contact communication type (categorical: "cellular","telephone")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month: last contact month of year (categorical: "jan", "feb", "mar", …, "nov", "dec")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dayofweek: last contact day of the week (categorical: "mon","tue","wed","thu","fri")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attributes: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campaign: number of contacts performed during this campaign and for this client (numeric, includes last contact)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pdays: number of days that passed by after the client was last contacted from a previous campaign (numeric; 999 means client was not previously contacted)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previous: number of contacts performed before this campaign and for this client (numeric)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poutcome: outcome of the previous marketing campaign (categorical: "failure","nonexistent","success")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social and economic context attributes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emp.var.rate: employment variation rate - quarterly indicator (numeric)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cons.price.idx: consumer price index - monthly indicator (numeric)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cons.conf.idx: consumer confidence index - monthly indicator (numeric)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euribor3m: euribor 3 month rate - daily indicator (numeric)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nr.employed: number of employees - quarterly indicator (numeric)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Output variable (desired target):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- has the client subscribed a term deposit? (binary: "yes","no")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Missing Attribute Values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several missing values in some categorical attributes, all coded with the "unknown" label. These missing values can be treated as a possible class label or using deletion or imputation techniques.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