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Changing FXC  Pro settings over NMEA2000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configuration via NMEA 2000 requires the use of the NMEA Command Group Function 126208 (1ED00 hex) PGN.</w:t>
      </w:r>
    </w:p>
    <w:p>
      <w:pPr>
        <w:pStyle w:val="Normal"/>
        <w:rPr/>
      </w:pPr>
      <w:r>
        <w:rPr/>
        <w:t>These commands reference field number from this document:</w:t>
      </w:r>
    </w:p>
    <w:p>
      <w:pPr>
        <w:pStyle w:val="Normal"/>
        <w:rPr/>
      </w:pPr>
      <w:hyperlink r:id="rId2">
        <w:r>
          <w:rPr>
            <w:rStyle w:val="Hyperlink"/>
          </w:rPr>
          <w:t>https://xantrex.com/wp-content/uploads/2021/12/976-0422-01-01_Rev-ANMEA2000-PGN-List-for-FXCC_ENG.pdf</w:t>
        </w:r>
      </w:hyperlink>
    </w:p>
    <w:p>
      <w:pPr>
        <w:pStyle w:val="Normal"/>
        <w:rPr/>
      </w:pPr>
      <w:r>
        <w:rPr/>
      </w:r>
    </w:p>
    <w:p>
      <w:pPr>
        <w:pStyle w:val="Heading2"/>
        <w:rPr>
          <w:b/>
          <w:bCs/>
          <w:color w:val="auto"/>
        </w:rPr>
      </w:pPr>
      <w:r>
        <w:rPr>
          <w:b/>
          <w:bCs/>
          <w:color w:val="auto"/>
        </w:rPr>
        <w:t>PGN 65281 ( FXCC Configuration Status )</w:t>
      </w:r>
    </w:p>
    <w:p>
      <w:pPr>
        <w:pStyle w:val="Normal"/>
        <w:rPr/>
      </w:pPr>
      <w:r>
        <w:rPr>
          <w:b/>
          <w:bCs/>
          <w:sz w:val="28"/>
          <w:szCs w:val="28"/>
        </w:rPr>
        <w:t>Field 4</w:t>
      </w:r>
      <w:r>
        <w:rPr/>
        <w:t xml:space="preserve"> – </w:t>
      </w:r>
      <w:r>
        <w:rPr>
          <w:b/>
          <w:bCs/>
        </w:rPr>
        <w:t>Buzzer Enable</w:t>
      </w:r>
    </w:p>
    <w:p>
      <w:pPr>
        <w:pStyle w:val="Normal"/>
        <w:rPr/>
      </w:pPr>
      <w:r>
        <w:rPr/>
        <w:t>CAN ID ( hex ): 19ED{FXC CAN Address}{Source Address}</w:t>
        <w:br/>
        <w:t>For ex. If the command source address is 0xF8, and FXC CAN node address is 0x00 then the CAN ID is 19ED00F8</w:t>
      </w:r>
    </w:p>
    <w:p>
      <w:pPr>
        <w:pStyle w:val="Normal"/>
        <w:rPr/>
      </w:pPr>
      <w:r>
        <w:rPr/>
        <w:t>Data ( hex ): 01 01 FF  00 08 03 01 A8 00 03 04 04 0X</w:t>
        <w:br/>
        <w:t>Valid values for X (decimal, convert to hex to use in data ): {0: 'Off', 1: 'On', 3: 'No Change'}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  <w:sz w:val="28"/>
          <w:szCs w:val="28"/>
        </w:rPr>
        <w:t>Field 5</w:t>
      </w:r>
      <w:r>
        <w:rPr/>
        <w:t xml:space="preserve"> – </w:t>
      </w:r>
      <w:r>
        <w:rPr>
          <w:b/>
          <w:bCs/>
        </w:rPr>
        <w:t>Inverter Ignition Control</w:t>
      </w:r>
    </w:p>
    <w:p>
      <w:pPr>
        <w:pStyle w:val="Normal"/>
        <w:rPr/>
      </w:pPr>
      <w:r>
        <w:rPr/>
        <w:t>CAN ID ( hex ): 19ED{FXC CAN Address}{Source Address}</w:t>
        <w:br/>
        <w:t>For ex. If the command source address is 0xF8, and FXC CAN Node Address is 0x00 then the CAN ID is 19ED00F8</w:t>
      </w:r>
    </w:p>
    <w:p>
      <w:pPr>
        <w:pStyle w:val="Normal"/>
        <w:rPr/>
      </w:pPr>
      <w:r>
        <w:rPr/>
        <w:t>Data ( hex ): 01 01 FF  00 08 03 01 A8 00 03 04 05 0X</w:t>
        <w:br/>
        <w:t>Valid values for X (decimal, convert to hex to use in data ): {0: 'Off', 1: 'Lock Out', 2: 'Auto Off'}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  <w:sz w:val="28"/>
          <w:szCs w:val="28"/>
        </w:rPr>
        <w:t>Field 6</w:t>
      </w:r>
      <w:r>
        <w:rPr>
          <w:b/>
          <w:bCs/>
        </w:rPr>
        <w:t xml:space="preserve"> – Charger Ignition</w:t>
      </w:r>
    </w:p>
    <w:p>
      <w:pPr>
        <w:pStyle w:val="Normal"/>
        <w:rPr/>
      </w:pPr>
      <w:r>
        <w:rPr/>
        <w:t>CAN ID ( hex ): 19ED{FXC CAN Address}{Source Address}</w:t>
        <w:br/>
        <w:t>For ex. If the command source address is 0xF8, and FXC CAN Node Address is 0x00 then the CAN ID is 19ED00F8</w:t>
      </w:r>
    </w:p>
    <w:p>
      <w:pPr>
        <w:pStyle w:val="Normal"/>
        <w:rPr/>
      </w:pPr>
      <w:r>
        <w:rPr/>
        <w:t>Data ( hex ): 01 01 FF  00 08 03 01 A8 00 03 04 06 0X</w:t>
        <w:br/>
        <w:t>Valid values for X (decimal, convert to hex to use in data ) : {0: 'Off', 1: 'Auto On', 3: 'Data Not Available'}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  <w:sz w:val="28"/>
          <w:szCs w:val="28"/>
        </w:rPr>
        <w:t>Field 8</w:t>
      </w:r>
      <w:r>
        <w:rPr>
          <w:b/>
          <w:bCs/>
        </w:rPr>
        <w:t xml:space="preserve"> – Hibernate Delay</w:t>
      </w:r>
    </w:p>
    <w:p>
      <w:pPr>
        <w:pStyle w:val="Normal"/>
        <w:rPr/>
      </w:pPr>
      <w:r>
        <w:rPr/>
        <w:t>CAN ID ( hex ): 19ED{FXC CAN Address}{Source Address}</w:t>
        <w:br/>
        <w:t>For ex. If the command source address is 0xF8, and FXC CAN Node Address is 0x00 then the CAN ID is 19ED00F8</w:t>
      </w:r>
    </w:p>
    <w:p>
      <w:pPr>
        <w:pStyle w:val="Normal"/>
        <w:rPr/>
      </w:pPr>
      <w:r>
        <w:rPr/>
        <w:t>Data ( hex ): 01 01 FF  00 08 03 01 A8 00 03 04 08 XX</w:t>
        <w:br/>
        <w:t xml:space="preserve">Valid values for XX (decimal, convert to hex to use in data ):  0 – 1500 ( unit is minutes ) ( 0 value means turn the setting OFF </w:t>
      </w:r>
    </w:p>
    <w:p>
      <w:pPr>
        <w:pStyle w:val="Normal"/>
        <w:rPr/>
      </w:pPr>
      <w:r>
        <w:rPr/>
      </w:r>
    </w:p>
    <w:p>
      <w:pPr>
        <w:pStyle w:val="Heading2"/>
        <w:rPr>
          <w:b/>
          <w:bCs/>
          <w:color w:val="auto"/>
        </w:rPr>
      </w:pPr>
      <w:r>
        <w:rPr>
          <w:b/>
          <w:bCs/>
          <w:color w:val="auto"/>
        </w:rPr>
        <w:t>PGN 65280 ( Device Control Status )</w:t>
      </w:r>
    </w:p>
    <w:p>
      <w:pPr>
        <w:pStyle w:val="Normal"/>
        <w:rPr>
          <w:b/>
          <w:bCs/>
        </w:rPr>
      </w:pPr>
      <w:r>
        <w:rPr>
          <w:b/>
          <w:bCs/>
          <w:sz w:val="28"/>
          <w:szCs w:val="28"/>
        </w:rPr>
        <w:t>Field 4</w:t>
      </w:r>
      <w:r>
        <w:rPr>
          <w:b/>
          <w:bCs/>
        </w:rPr>
        <w:t xml:space="preserve"> – Reset Command</w:t>
      </w:r>
    </w:p>
    <w:p>
      <w:pPr>
        <w:pStyle w:val="Normal"/>
        <w:rPr/>
      </w:pPr>
      <w:r>
        <w:rPr/>
        <w:t>CAN ID ( hex ): 19ED{FXC CAN Address}{Source Address}</w:t>
        <w:br/>
        <w:t>For ex. If the command source address is 0xF8, and FXC CAN Node Address is 0x00 then the CAN ID is 19ED00F8</w:t>
      </w:r>
    </w:p>
    <w:p>
      <w:pPr>
        <w:pStyle w:val="Normal"/>
        <w:rPr/>
      </w:pPr>
      <w:r>
        <w:rPr/>
        <w:t>Data ( hex ): 01 0</w:t>
      </w:r>
      <w:r>
        <w:rPr/>
        <w:t>0</w:t>
      </w:r>
      <w:r>
        <w:rPr/>
        <w:t xml:space="preserve"> FF  00 08 03 01 A8 00 03 04 04 0X</w:t>
        <w:br/>
        <w:t>Valid values for X (decimal, convert to hex to use in data ): {0: 'Reboot',  4: 'Reset To Factory', 5: 'Reboot To Factory', 6: 'No Change'},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  <w:sz w:val="28"/>
          <w:szCs w:val="28"/>
        </w:rPr>
        <w:t>Field 5</w:t>
      </w:r>
      <w:r>
        <w:rPr>
          <w:b/>
          <w:bCs/>
        </w:rPr>
        <w:t xml:space="preserve"> – Clear Fault</w:t>
      </w:r>
    </w:p>
    <w:p>
      <w:pPr>
        <w:pStyle w:val="Normal"/>
        <w:rPr/>
      </w:pPr>
      <w:r>
        <w:rPr/>
        <w:t>CAN ID ( hex ): 19ED{FXC CAN Address}{Source Address}</w:t>
        <w:br/>
        <w:t>For ex. If the command source address is 0xF8, and FXC CAN Node Address is 0x00 then the CAN ID is 19ED00F8</w:t>
      </w:r>
    </w:p>
    <w:p>
      <w:pPr>
        <w:pStyle w:val="Normal"/>
        <w:rPr/>
      </w:pPr>
      <w:r>
        <w:rPr/>
        <w:t>Data ( hex ): 01 0</w:t>
      </w:r>
      <w:r>
        <w:rPr/>
        <w:t>0</w:t>
      </w:r>
      <w:r>
        <w:rPr/>
        <w:t xml:space="preserve"> FF  00 08 03 01 A8 00 03 04 05 0X</w:t>
        <w:br/>
        <w:t>Valid values for X (decimal, convert to hex to use in data ): {0: 'Off', 1: 'On', 3: 'No Change'}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  <w:sz w:val="28"/>
          <w:szCs w:val="28"/>
        </w:rPr>
        <w:t>Field 6</w:t>
      </w:r>
      <w:r>
        <w:rPr>
          <w:b/>
          <w:bCs/>
        </w:rPr>
        <w:t xml:space="preserve"> – Transfer Mode</w:t>
      </w:r>
    </w:p>
    <w:p>
      <w:pPr>
        <w:pStyle w:val="Normal"/>
        <w:rPr/>
      </w:pPr>
      <w:r>
        <w:rPr/>
        <w:t>CAN ID ( hex ): 19ED{FXC CAN Address}{Source Address}</w:t>
        <w:br/>
        <w:t>For ex. If the command source address is 0xF8, and FXC CAN Node Address is 0x00 then the CAN ID is 19ED00F8</w:t>
      </w:r>
    </w:p>
    <w:p>
      <w:pPr>
        <w:pStyle w:val="Normal"/>
        <w:rPr/>
      </w:pPr>
      <w:r>
        <w:rPr/>
        <w:t>Data ( hex ): 01 0</w:t>
      </w:r>
      <w:r>
        <w:rPr/>
        <w:t>0</w:t>
      </w:r>
      <w:r>
        <w:rPr/>
        <w:t xml:space="preserve"> FF  00 08 03 01 A8 00 03 04 06 0X</w:t>
        <w:br/>
        <w:t>Valid values for X (decimal, convert to hex to use in data ): {0: 'APL', 1: 'PS', 3: 'Data Not Available'}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Breaking down the Buzzer command:</w:t>
      </w:r>
    </w:p>
    <w:p>
      <w:pPr>
        <w:pStyle w:val="Normal"/>
        <w:rPr/>
      </w:pPr>
      <w:r>
        <w:rPr/>
        <w:t xml:space="preserve"> </w:t>
      </w:r>
      <w:r>
        <w:rPr/>
        <w:t>01 01 FF  00 08 03 01 A8 00 03 04 04 0X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  <w:t xml:space="preserve"> </w:t>
      </w:r>
      <w:r>
        <w:rPr/>
        <w:t>01 - Command Group Function (write)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  <w:t>01 FF 00 - PGN 65281 (0x00FF01)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  <w:t>08 - Priority Setting 8 = No change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  <w:t>03 - Number of command pairs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  <w:t>01 A8 00 - Field number and value of the manufacturer ID – 168 (0x00a8)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  <w:t>03 04 - Field 3 = Industry Group  - 04 = Marine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  <w:t>04 0X - Field  4 and value for the buzzer</w:t>
      </w:r>
    </w:p>
    <w:p>
      <w:pPr>
        <w:pStyle w:val="BodyText"/>
        <w:spacing w:lineRule="auto" w:line="278" w:before="0" w:after="159"/>
        <w:ind w:hanging="0" w:left="0" w:right="0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Actual CAN frame: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These are transmitted as Fast Packet in NMEA parlance.  They are sent back to back with the first byte being a sequence number; second byte of the first packet is the length of the whole packet.  So using the example above:</w:t>
      </w:r>
    </w:p>
    <w:p>
      <w:pPr>
        <w:pStyle w:val="Normal"/>
        <w:rPr/>
      </w:pPr>
      <w:r>
        <w:rPr/>
        <w:t>01 01 FF  00 08 03 01 A8 00 03 04 04 0X</w:t>
      </w:r>
    </w:p>
    <w:p>
      <w:pPr>
        <w:pStyle w:val="Normal"/>
        <w:rPr/>
      </w:pPr>
      <w:r>
        <w:rPr/>
        <w:t>Will transmit as two back-to-back packets:</w:t>
      </w:r>
    </w:p>
    <w:p>
      <w:pPr>
        <w:pStyle w:val="Normal"/>
        <w:rPr/>
      </w:pPr>
      <w:r>
        <w:rPr/>
        <w:t xml:space="preserve">40 0D 01 01 FF 00 08 03 </w:t>
      </w:r>
    </w:p>
    <w:p>
      <w:pPr>
        <w:pStyle w:val="Normal"/>
        <w:rPr/>
      </w:pPr>
      <w:r>
        <w:rPr/>
        <w:t>41 01 A8 00 03 04 04 0X</w:t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0f68"/>
    <w:pPr>
      <w:keepNext w:val="true"/>
      <w:keepLines/>
      <w:spacing w:before="360" w:after="80"/>
      <w:outlineLvl w:val="0"/>
    </w:pPr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0f68"/>
    <w:pPr>
      <w:keepNext w:val="true"/>
      <w:keepLines/>
      <w:spacing w:before="160" w:after="80"/>
      <w:outlineLvl w:val="1"/>
    </w:pPr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f68"/>
    <w:pPr>
      <w:keepNext w:val="true"/>
      <w:keepLines/>
      <w:spacing w:before="160" w:after="80"/>
      <w:outlineLvl w:val="2"/>
    </w:pPr>
    <w:rPr>
      <w:rFonts w:eastAsia="等线 Light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f68"/>
    <w:pPr>
      <w:keepNext w:val="true"/>
      <w:keepLines/>
      <w:spacing w:before="80" w:after="40"/>
      <w:outlineLvl w:val="3"/>
    </w:pPr>
    <w:rPr>
      <w:rFonts w:eastAsia="等线 Light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f68"/>
    <w:pPr>
      <w:keepNext w:val="true"/>
      <w:keepLines/>
      <w:spacing w:before="80" w:after="40"/>
      <w:outlineLvl w:val="4"/>
    </w:pPr>
    <w:rPr>
      <w:rFonts w:eastAsia="等线 Light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f68"/>
    <w:pPr>
      <w:keepNext w:val="true"/>
      <w:keepLines/>
      <w:spacing w:before="40" w:after="0"/>
      <w:outlineLvl w:val="5"/>
    </w:pPr>
    <w:rPr>
      <w:rFonts w:eastAsia="等线 Light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f68"/>
    <w:pPr>
      <w:keepNext w:val="true"/>
      <w:keepLines/>
      <w:spacing w:before="40" w:after="0"/>
      <w:outlineLvl w:val="6"/>
    </w:pPr>
    <w:rPr>
      <w:rFonts w:eastAsia="等线 Light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f68"/>
    <w:pPr>
      <w:keepNext w:val="true"/>
      <w:keepLines/>
      <w:spacing w:before="0" w:after="0"/>
      <w:outlineLvl w:val="7"/>
    </w:pPr>
    <w:rPr>
      <w:rFonts w:eastAsia="等线 Light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f68"/>
    <w:pPr>
      <w:keepNext w:val="true"/>
      <w:keepLines/>
      <w:spacing w:before="0" w:after="0"/>
      <w:outlineLvl w:val="8"/>
    </w:pPr>
    <w:rPr>
      <w:rFonts w:eastAsia="等线 Light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50f68"/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50f68"/>
    <w:rPr>
      <w:rFonts w:ascii="Aptos Display" w:hAnsi="Aptos Display" w:eastAsia="等线 Light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f50f68"/>
    <w:rPr>
      <w:rFonts w:eastAsia="等线 Light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50f68"/>
    <w:rPr>
      <w:rFonts w:eastAsia="等线 Light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50f68"/>
    <w:rPr>
      <w:rFonts w:eastAsia="等线 Light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50f68"/>
    <w:rPr>
      <w:rFonts w:eastAsia="等线 Light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50f68"/>
    <w:rPr>
      <w:rFonts w:eastAsia="等线 Light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50f68"/>
    <w:rPr>
      <w:rFonts w:eastAsia="等线 Light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50f68"/>
    <w:rPr>
      <w:rFonts w:eastAsia="等线 Light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50f68"/>
    <w:rPr>
      <w:rFonts w:ascii="Aptos Display" w:hAnsi="Aptos Display" w:eastAsia="等线 Light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50f68"/>
    <w:rPr>
      <w:rFonts w:eastAsia="等线 Light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50f6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50f6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50f6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50f6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f50f68"/>
    <w:pPr>
      <w:spacing w:lineRule="auto" w:line="240" w:before="0" w:after="80"/>
      <w:contextualSpacing/>
    </w:pPr>
    <w:rPr>
      <w:rFonts w:ascii="Aptos Display" w:hAnsi="Aptos Display" w:eastAsia="等线 Light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f68"/>
    <w:pPr/>
    <w:rPr>
      <w:rFonts w:eastAsia="等线 Light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f6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50f6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50f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xantrex.com/wp-content/uploads/2021/12/976-0422-01-01_Rev-ANMEA2000-PGN-List-for-FXCC_ENG.pdf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Application>LibreOffice/25.2.7.2$Windows_X86_64 LibreOffice_project/5cbfd1ab6520636bb5f7b99185aa69bd7456825d</Application>
  <AppVersion>15.0000</AppVersion>
  <Pages>3</Pages>
  <Words>731</Words>
  <Characters>2856</Characters>
  <CharactersWithSpaces>3575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2026-01-29T20:29:00Z</dcterms:created>
  <dc:creator>Zafeer Abbasi</dc:creator>
  <dc:description/>
  <dc:language>en-CA</dc:language>
  <cp:lastModifiedBy/>
  <dcterms:modified xsi:type="dcterms:W3CDTF">2026-02-02T11:58:52Z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