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66D04" w14:textId="19D0D2DF" w:rsidR="000D772A" w:rsidRPr="00423781" w:rsidRDefault="000D772A" w:rsidP="000D772A">
      <w:pPr>
        <w:snapToGrid w:val="0"/>
        <w:jc w:val="center"/>
        <w:rPr>
          <w:rFonts w:cstheme="majorBidi"/>
          <w:b/>
          <w:bCs/>
          <w:kern w:val="52"/>
          <w:sz w:val="32"/>
          <w:szCs w:val="32"/>
        </w:rPr>
      </w:pPr>
      <w:r w:rsidRPr="00423781">
        <w:rPr>
          <w:rFonts w:cstheme="majorBidi" w:hint="eastAsia"/>
          <w:b/>
          <w:bCs/>
          <w:kern w:val="52"/>
          <w:sz w:val="32"/>
          <w:szCs w:val="32"/>
        </w:rPr>
        <w:t>透過結構方程模型評估</w:t>
      </w:r>
      <w:r w:rsidR="00B121F0" w:rsidRPr="00423781">
        <w:rPr>
          <w:rFonts w:cstheme="majorBidi" w:hint="eastAsia"/>
          <w:b/>
          <w:bCs/>
          <w:kern w:val="52"/>
          <w:sz w:val="32"/>
          <w:szCs w:val="32"/>
        </w:rPr>
        <w:t>小學生</w:t>
      </w:r>
      <w:r w:rsidRPr="00423781">
        <w:rPr>
          <w:rFonts w:cstheme="majorBidi" w:hint="eastAsia"/>
          <w:b/>
          <w:bCs/>
          <w:kern w:val="52"/>
          <w:sz w:val="32"/>
          <w:szCs w:val="32"/>
        </w:rPr>
        <w:t>對於教學中生成式</w:t>
      </w:r>
      <w:r w:rsidRPr="00423781">
        <w:rPr>
          <w:rFonts w:cstheme="majorBidi" w:hint="eastAsia"/>
          <w:b/>
          <w:bCs/>
          <w:kern w:val="52"/>
          <w:sz w:val="32"/>
          <w:szCs w:val="32"/>
        </w:rPr>
        <w:t>AI</w:t>
      </w:r>
      <w:r w:rsidRPr="00423781">
        <w:rPr>
          <w:rFonts w:cstheme="majorBidi" w:hint="eastAsia"/>
          <w:b/>
          <w:bCs/>
          <w:kern w:val="52"/>
          <w:sz w:val="32"/>
          <w:szCs w:val="32"/>
        </w:rPr>
        <w:t>應用的態度</w:t>
      </w:r>
    </w:p>
    <w:p w14:paraId="4EC13ABF" w14:textId="77777777" w:rsidR="000D772A" w:rsidRPr="00423781" w:rsidRDefault="000D772A" w:rsidP="000D772A">
      <w:pPr>
        <w:tabs>
          <w:tab w:val="left" w:pos="4909"/>
        </w:tabs>
        <w:snapToGrid w:val="0"/>
        <w:jc w:val="center"/>
        <w:rPr>
          <w:rFonts w:cstheme="majorBidi"/>
          <w:b/>
          <w:bCs/>
          <w:kern w:val="52"/>
          <w:sz w:val="32"/>
          <w:szCs w:val="32"/>
        </w:rPr>
      </w:pPr>
      <w:r w:rsidRPr="00423781">
        <w:rPr>
          <w:rFonts w:cstheme="majorBidi"/>
          <w:b/>
          <w:bCs/>
          <w:kern w:val="52"/>
          <w:sz w:val="32"/>
          <w:szCs w:val="32"/>
        </w:rPr>
        <w:t>Assessing educators' attitudes towards the use of generative AI in teaching through structural equation modeling</w:t>
      </w:r>
    </w:p>
    <w:p w14:paraId="65F79ACF" w14:textId="77777777" w:rsidR="000D772A" w:rsidRPr="00241185" w:rsidRDefault="000D772A" w:rsidP="000D772A">
      <w:pPr>
        <w:pStyle w:val="a7"/>
      </w:pPr>
    </w:p>
    <w:p w14:paraId="66FAE6D7" w14:textId="77777777" w:rsidR="000D772A" w:rsidRPr="00DB1EE1" w:rsidRDefault="000D772A" w:rsidP="00423781">
      <w:pPr>
        <w:pStyle w:val="2"/>
      </w:pPr>
      <w:r w:rsidRPr="00DB1EE1">
        <w:rPr>
          <w:rFonts w:hint="eastAsia"/>
        </w:rPr>
        <w:t>概要</w:t>
      </w:r>
    </w:p>
    <w:p w14:paraId="4276B8AC" w14:textId="77777777" w:rsidR="000D772A" w:rsidRPr="005E1BBA" w:rsidRDefault="000D772A" w:rsidP="000D772A">
      <w:pPr>
        <w:snapToGrid w:val="0"/>
        <w:rPr>
          <w:color w:val="000000" w:themeColor="text1"/>
        </w:rPr>
      </w:pPr>
      <w:r w:rsidRPr="005E1BBA">
        <w:rPr>
          <w:rFonts w:hint="eastAsia"/>
          <w:color w:val="000000" w:themeColor="text1"/>
        </w:rPr>
        <w:t>隨著</w:t>
      </w:r>
      <w:r w:rsidRPr="005E1BBA">
        <w:rPr>
          <w:rFonts w:hint="eastAsia"/>
          <w:color w:val="000000" w:themeColor="text1"/>
        </w:rPr>
        <w:t>AI</w:t>
      </w:r>
      <w:r w:rsidRPr="005E1BBA">
        <w:rPr>
          <w:rFonts w:hint="eastAsia"/>
          <w:color w:val="000000" w:themeColor="text1"/>
        </w:rPr>
        <w:t>迅速滲透到各行業，將</w:t>
      </w:r>
      <w:r w:rsidRPr="005E1BBA">
        <w:rPr>
          <w:rFonts w:hint="eastAsia"/>
          <w:color w:val="000000" w:themeColor="text1"/>
        </w:rPr>
        <w:t>AI</w:t>
      </w:r>
      <w:r w:rsidRPr="005E1BBA">
        <w:rPr>
          <w:rFonts w:hint="eastAsia"/>
          <w:color w:val="000000" w:themeColor="text1"/>
        </w:rPr>
        <w:t>功能整合進現代學習管理系統已成趨勢。這為優化和完善教育方法提供了良機，通過建立持續的反饋循環實現教育實踐的改進。在教育領域，</w:t>
      </w:r>
      <w:r w:rsidRPr="005E1BBA">
        <w:rPr>
          <w:rFonts w:hint="eastAsia"/>
          <w:color w:val="000000" w:themeColor="text1"/>
        </w:rPr>
        <w:t>GenAI</w:t>
      </w:r>
      <w:r w:rsidRPr="005E1BBA">
        <w:rPr>
          <w:rFonts w:hint="eastAsia"/>
          <w:color w:val="000000" w:themeColor="text1"/>
        </w:rPr>
        <w:t>的強大語言生成和交互能力為教育者和學生提供個性化學習支持和即時反饋。然而，這些工具的成功實施取決於教育者的接受程度和使用體驗，這受到他們對</w:t>
      </w:r>
      <w:r w:rsidRPr="005E1BBA">
        <w:rPr>
          <w:rFonts w:hint="eastAsia"/>
          <w:color w:val="000000" w:themeColor="text1"/>
        </w:rPr>
        <w:t>GenAI</w:t>
      </w:r>
      <w:r w:rsidRPr="005E1BBA">
        <w:rPr>
          <w:rFonts w:hint="eastAsia"/>
          <w:color w:val="000000" w:themeColor="text1"/>
        </w:rPr>
        <w:t>的態度和</w:t>
      </w:r>
      <w:r w:rsidRPr="005E1BBA">
        <w:rPr>
          <w:rFonts w:hint="eastAsia"/>
          <w:color w:val="000000" w:themeColor="text1"/>
        </w:rPr>
        <w:t>AI</w:t>
      </w:r>
      <w:r w:rsidRPr="005E1BBA">
        <w:rPr>
          <w:rFonts w:hint="eastAsia"/>
          <w:color w:val="000000" w:themeColor="text1"/>
        </w:rPr>
        <w:t>素養的影響。教育環境在引入新技術時，通常會在樂觀支持與懷疑之間擺盪，主因是新技術在現實應用中的不確定性。</w:t>
      </w:r>
    </w:p>
    <w:p w14:paraId="5F976DE8" w14:textId="77777777" w:rsidR="000D772A" w:rsidRPr="005E1BBA" w:rsidRDefault="000D772A" w:rsidP="000D772A">
      <w:pPr>
        <w:snapToGrid w:val="0"/>
        <w:rPr>
          <w:color w:val="000000" w:themeColor="text1"/>
        </w:rPr>
      </w:pPr>
    </w:p>
    <w:p w14:paraId="00F8F40D" w14:textId="534527CE" w:rsidR="006E1F3F" w:rsidRPr="006E1F3F" w:rsidRDefault="000D772A" w:rsidP="000D772A">
      <w:pPr>
        <w:snapToGrid w:val="0"/>
        <w:rPr>
          <w:color w:val="FF0000"/>
        </w:rPr>
      </w:pPr>
      <w:r w:rsidRPr="006E1F3F">
        <w:rPr>
          <w:rFonts w:hint="eastAsia"/>
          <w:color w:val="FF0000"/>
        </w:rPr>
        <w:t>本研究旨在探討</w:t>
      </w:r>
      <w:r w:rsidRPr="006E1F3F">
        <w:rPr>
          <w:rFonts w:hint="eastAsia"/>
          <w:color w:val="FF0000"/>
        </w:rPr>
        <w:t>GenAI</w:t>
      </w:r>
      <w:r w:rsidRPr="006E1F3F">
        <w:rPr>
          <w:rFonts w:hint="eastAsia"/>
          <w:color w:val="FF0000"/>
        </w:rPr>
        <w:t>工具在教育領域的應用，特別關注</w:t>
      </w:r>
      <w:r w:rsidR="006E1F3F" w:rsidRPr="006E1F3F">
        <w:rPr>
          <w:rFonts w:hint="eastAsia"/>
          <w:color w:val="FF0000"/>
        </w:rPr>
        <w:t>小學生對於生成式</w:t>
      </w:r>
      <w:r w:rsidR="006E1F3F" w:rsidRPr="006E1F3F">
        <w:rPr>
          <w:rFonts w:hint="eastAsia"/>
          <w:color w:val="FF0000"/>
        </w:rPr>
        <w:t xml:space="preserve"> AI </w:t>
      </w:r>
      <w:r w:rsidR="006E1F3F" w:rsidRPr="006E1F3F">
        <w:rPr>
          <w:rFonts w:hint="eastAsia"/>
          <w:color w:val="FF0000"/>
        </w:rPr>
        <w:t>工具的接受度、使用體驗和態度，並</w:t>
      </w:r>
      <w:r w:rsidRPr="006E1F3F">
        <w:rPr>
          <w:rFonts w:hint="eastAsia"/>
          <w:color w:val="FF0000"/>
        </w:rPr>
        <w:t>利用結構方程模型</w:t>
      </w:r>
      <w:r w:rsidRPr="006E1F3F">
        <w:rPr>
          <w:rFonts w:hint="eastAsia"/>
          <w:color w:val="FF0000"/>
        </w:rPr>
        <w:t>(SEM)</w:t>
      </w:r>
      <w:r w:rsidRPr="006E1F3F">
        <w:rPr>
          <w:rFonts w:hint="eastAsia"/>
          <w:color w:val="FF0000"/>
        </w:rPr>
        <w:t>進行數據分析</w:t>
      </w:r>
      <w:r w:rsidRPr="005E1BBA">
        <w:rPr>
          <w:rFonts w:hint="eastAsia"/>
          <w:color w:val="000000" w:themeColor="text1"/>
        </w:rPr>
        <w:t>。文獻回顧總結</w:t>
      </w:r>
      <w:r w:rsidRPr="005E1BBA">
        <w:rPr>
          <w:rFonts w:hint="eastAsia"/>
          <w:color w:val="000000" w:themeColor="text1"/>
        </w:rPr>
        <w:t>AI</w:t>
      </w:r>
      <w:r w:rsidRPr="005E1BBA">
        <w:rPr>
          <w:rFonts w:hint="eastAsia"/>
          <w:color w:val="000000" w:themeColor="text1"/>
        </w:rPr>
        <w:t>在教育中的應用和潛在益處</w:t>
      </w:r>
      <w:r>
        <w:rPr>
          <w:rFonts w:hint="eastAsia"/>
          <w:color w:val="000000" w:themeColor="text1"/>
        </w:rPr>
        <w:t>及</w:t>
      </w:r>
      <w:r w:rsidRPr="005E1BBA">
        <w:rPr>
          <w:rFonts w:hint="eastAsia"/>
          <w:color w:val="000000" w:themeColor="text1"/>
        </w:rPr>
        <w:t>AI</w:t>
      </w:r>
      <w:r w:rsidRPr="005E1BBA">
        <w:rPr>
          <w:rFonts w:hint="eastAsia"/>
          <w:color w:val="000000" w:themeColor="text1"/>
        </w:rPr>
        <w:t>應用面臨倫理問題、教師培訓不足和技術基礎設施</w:t>
      </w:r>
      <w:r>
        <w:rPr>
          <w:rFonts w:hint="eastAsia"/>
          <w:color w:val="000000" w:themeColor="text1"/>
        </w:rPr>
        <w:t>等</w:t>
      </w:r>
      <w:r w:rsidRPr="005E1BBA">
        <w:rPr>
          <w:rFonts w:hint="eastAsia"/>
          <w:color w:val="000000" w:themeColor="text1"/>
        </w:rPr>
        <w:t>挑戰。</w:t>
      </w:r>
      <w:r>
        <w:rPr>
          <w:rFonts w:hint="eastAsia"/>
          <w:color w:val="000000" w:themeColor="text1"/>
        </w:rPr>
        <w:t>並</w:t>
      </w:r>
      <w:r w:rsidRPr="005E1BBA">
        <w:rPr>
          <w:rFonts w:hint="eastAsia"/>
          <w:color w:val="000000" w:themeColor="text1"/>
        </w:rPr>
        <w:t>建議教育機構和政策制定者在推進技術應用時，考慮教育者的態度和</w:t>
      </w:r>
      <w:r w:rsidRPr="005E1BBA">
        <w:rPr>
          <w:rFonts w:hint="eastAsia"/>
          <w:color w:val="000000" w:themeColor="text1"/>
        </w:rPr>
        <w:t>AI</w:t>
      </w:r>
      <w:r w:rsidRPr="005E1BBA">
        <w:rPr>
          <w:rFonts w:hint="eastAsia"/>
          <w:color w:val="000000" w:themeColor="text1"/>
        </w:rPr>
        <w:t>素養對其使用效果的影響。</w:t>
      </w:r>
      <w:r w:rsidR="006E1F3F" w:rsidRPr="006E1F3F">
        <w:rPr>
          <w:rFonts w:hint="eastAsia"/>
          <w:color w:val="FF0000"/>
        </w:rPr>
        <w:t>研究結果顯示，小學生對生成式</w:t>
      </w:r>
      <w:r w:rsidR="006E1F3F" w:rsidRPr="006E1F3F">
        <w:rPr>
          <w:rFonts w:hint="eastAsia"/>
          <w:color w:val="FF0000"/>
        </w:rPr>
        <w:t xml:space="preserve"> AI </w:t>
      </w:r>
      <w:r w:rsidR="006E1F3F" w:rsidRPr="006E1F3F">
        <w:rPr>
          <w:rFonts w:hint="eastAsia"/>
          <w:color w:val="FF0000"/>
        </w:rPr>
        <w:t>的態度顯著影響其使用頻率和學習效果。本研究為未來教學設計和教育政策提供了重要參考。</w:t>
      </w:r>
    </w:p>
    <w:p w14:paraId="36CBE208" w14:textId="77777777" w:rsidR="006E1F3F" w:rsidRDefault="006E1F3F" w:rsidP="000D772A">
      <w:pPr>
        <w:snapToGrid w:val="0"/>
        <w:rPr>
          <w:color w:val="000000" w:themeColor="text1"/>
        </w:rPr>
      </w:pPr>
    </w:p>
    <w:p w14:paraId="3C48CE3D" w14:textId="77777777" w:rsidR="000D772A" w:rsidRDefault="000D772A" w:rsidP="000D772A">
      <w:pPr>
        <w:snapToGrid w:val="0"/>
        <w:rPr>
          <w:b/>
          <w:bCs/>
        </w:rPr>
      </w:pPr>
    </w:p>
    <w:p w14:paraId="501CE109" w14:textId="77777777" w:rsidR="000D772A" w:rsidRPr="00DB1EE1" w:rsidRDefault="000D772A" w:rsidP="000D772A">
      <w:pPr>
        <w:snapToGrid w:val="0"/>
      </w:pPr>
      <w:r w:rsidRPr="00DB1EE1">
        <w:rPr>
          <w:b/>
          <w:bCs/>
        </w:rPr>
        <w:t>Keywords</w:t>
      </w:r>
      <w:r w:rsidRPr="00DB1EE1">
        <w:rPr>
          <w:rFonts w:hint="eastAsia"/>
        </w:rPr>
        <w:t>：</w:t>
      </w:r>
      <w:r w:rsidRPr="00DB1EE1">
        <w:rPr>
          <w:rFonts w:hint="eastAsia"/>
        </w:rPr>
        <w:t>A</w:t>
      </w:r>
      <w:r w:rsidRPr="00DB1EE1">
        <w:t>I Literacy</w:t>
      </w:r>
      <w:r w:rsidRPr="00DB1EE1">
        <w:rPr>
          <w:rFonts w:hint="eastAsia"/>
        </w:rPr>
        <w:t>、</w:t>
      </w:r>
      <w:r w:rsidRPr="00DB1EE1">
        <w:t>Generative Artificial Intelligence</w:t>
      </w:r>
      <w:r w:rsidRPr="00DB1EE1">
        <w:rPr>
          <w:rFonts w:hint="eastAsia"/>
        </w:rPr>
        <w:t>、</w:t>
      </w:r>
      <w:r w:rsidRPr="00DB1EE1">
        <w:t>Teaching Innovation</w:t>
      </w:r>
      <w:r w:rsidRPr="00DB1EE1">
        <w:rPr>
          <w:rFonts w:hint="eastAsia"/>
        </w:rPr>
        <w:t>、</w:t>
      </w:r>
      <w:r w:rsidRPr="00DB1EE1">
        <w:t>Teaching Methods</w:t>
      </w:r>
    </w:p>
    <w:p w14:paraId="758F13B8" w14:textId="41167169" w:rsidR="006474BC" w:rsidRDefault="00103878"/>
    <w:p w14:paraId="0C500BA5" w14:textId="77777777" w:rsidR="00B22650" w:rsidRDefault="00B22650" w:rsidP="00423781">
      <w:pPr>
        <w:pStyle w:val="2"/>
      </w:pPr>
      <w:r w:rsidRPr="00DB1EE1">
        <w:rPr>
          <w:rFonts w:hint="eastAsia"/>
        </w:rPr>
        <w:t>緒論</w:t>
      </w:r>
    </w:p>
    <w:p w14:paraId="10035460" w14:textId="2A070707" w:rsidR="006E1F3F" w:rsidRDefault="00B22650" w:rsidP="00280381">
      <w:pPr>
        <w:ind w:firstLine="480"/>
      </w:pPr>
      <w:r>
        <w:rPr>
          <w:rFonts w:hint="eastAsia"/>
        </w:rPr>
        <w:t>數位工具在教育環境中的應用呈現顯著增長，這一趨勢主要受到兩方面因素的推動：數位工具的可用性不斷提高，與學生群體對使用這類工具的期望日益增加（</w:t>
      </w:r>
      <w:r>
        <w:rPr>
          <w:rFonts w:hint="eastAsia"/>
        </w:rPr>
        <w:t>Dunn &amp; Kennedy, 2019</w:t>
      </w:r>
      <w:r>
        <w:rPr>
          <w:rFonts w:hint="eastAsia"/>
        </w:rPr>
        <w:t>）。</w:t>
      </w:r>
      <w:r>
        <w:rPr>
          <w:rFonts w:hint="eastAsia"/>
        </w:rPr>
        <w:t>2023</w:t>
      </w:r>
      <w:r>
        <w:rPr>
          <w:rFonts w:hint="eastAsia"/>
        </w:rPr>
        <w:t>年</w:t>
      </w:r>
      <w:r>
        <w:rPr>
          <w:rFonts w:hint="eastAsia"/>
        </w:rPr>
        <w:t>1</w:t>
      </w:r>
      <w:r>
        <w:rPr>
          <w:rFonts w:hint="eastAsia"/>
        </w:rPr>
        <w:t>月初，紐約教育部宣布禁止在學區的網絡和設備中使用</w:t>
      </w:r>
      <w:r>
        <w:rPr>
          <w:rFonts w:hint="eastAsia"/>
        </w:rPr>
        <w:t>ChatGPT</w:t>
      </w:r>
      <w:r>
        <w:rPr>
          <w:rFonts w:hint="eastAsia"/>
        </w:rPr>
        <w:t>，因為擔心濫用和安全問題</w:t>
      </w:r>
      <w:r>
        <w:rPr>
          <w:rFonts w:hint="eastAsia"/>
        </w:rPr>
        <w:t>(NBC News, 2023)</w:t>
      </w:r>
      <w:r>
        <w:rPr>
          <w:rFonts w:hint="eastAsia"/>
        </w:rPr>
        <w:t>；然而在當年</w:t>
      </w:r>
      <w:r>
        <w:rPr>
          <w:rFonts w:hint="eastAsia"/>
        </w:rPr>
        <w:t>5</w:t>
      </w:r>
      <w:r>
        <w:rPr>
          <w:rFonts w:hint="eastAsia"/>
        </w:rPr>
        <w:t>月，該部門取消了禁令，並同時宣布計劃探索在課堂中使用這項技術的潛在可能性</w:t>
      </w:r>
      <w:r>
        <w:rPr>
          <w:rFonts w:hint="eastAsia"/>
        </w:rPr>
        <w:t>(</w:t>
      </w:r>
      <w:r w:rsidRPr="00280381">
        <w:rPr>
          <w:rFonts w:hint="eastAsia"/>
          <w:color w:val="0070C0"/>
        </w:rPr>
        <w:t>EdWeek. 2023; NBC News. 2023</w:t>
      </w:r>
      <w:r>
        <w:rPr>
          <w:rFonts w:hint="eastAsia"/>
        </w:rPr>
        <w:t>)</w:t>
      </w:r>
      <w:r>
        <w:rPr>
          <w:rFonts w:hint="eastAsia"/>
        </w:rPr>
        <w:t>。這一事件反映了教育界對新興技術的態度正在經歷從謹慎到積極探索的轉變，也凸顯了教育工作者在面對快速發展的技術時，需要在創新應用和審慎使用之間尋求平衡。隨著數位化時代到來，人工智慧</w:t>
      </w:r>
      <w:r>
        <w:rPr>
          <w:rFonts w:hint="eastAsia"/>
        </w:rPr>
        <w:t>(AI)</w:t>
      </w:r>
      <w:r>
        <w:rPr>
          <w:rFonts w:hint="eastAsia"/>
        </w:rPr>
        <w:t>在各個領域中的應用迅速擴展，特別是在教育行業。教育技術的發展提供了前所未有的機會來改革和優化教學方法和學習體驗。</w:t>
      </w:r>
      <w:r>
        <w:rPr>
          <w:rFonts w:hint="eastAsia"/>
        </w:rPr>
        <w:t>GenAI</w:t>
      </w:r>
      <w:r>
        <w:rPr>
          <w:rFonts w:hint="eastAsia"/>
        </w:rPr>
        <w:t>作為其中一個重要的技術突破，展示了其在教育環境中巨大的潛力。如</w:t>
      </w:r>
      <w:r>
        <w:rPr>
          <w:rFonts w:hint="eastAsia"/>
        </w:rPr>
        <w:t>ChatGPT</w:t>
      </w:r>
      <w:r>
        <w:rPr>
          <w:rFonts w:hint="eastAsia"/>
        </w:rPr>
        <w:t>能夠生成自然語言文本，模擬人類對話，並提供即時反饋和個性化學習支持等，這些功能使其在教育中的應用備受關注。</w:t>
      </w:r>
      <w:r w:rsidR="006E1F3F" w:rsidRPr="006E1F3F">
        <w:rPr>
          <w:rFonts w:hint="eastAsia"/>
        </w:rPr>
        <w:t>隨著數位化時代的到來，生成式</w:t>
      </w:r>
      <w:r w:rsidR="006E1F3F" w:rsidRPr="006E1F3F">
        <w:rPr>
          <w:rFonts w:hint="eastAsia"/>
        </w:rPr>
        <w:t xml:space="preserve"> AI </w:t>
      </w:r>
      <w:r w:rsidR="006E1F3F" w:rsidRPr="006E1F3F">
        <w:rPr>
          <w:rFonts w:hint="eastAsia"/>
        </w:rPr>
        <w:t>工具如</w:t>
      </w:r>
      <w:r w:rsidR="006E1F3F" w:rsidRPr="006E1F3F">
        <w:rPr>
          <w:rFonts w:hint="eastAsia"/>
        </w:rPr>
        <w:t xml:space="preserve"> ChatGPT </w:t>
      </w:r>
      <w:r w:rsidR="006E1F3F" w:rsidRPr="006E1F3F">
        <w:rPr>
          <w:rFonts w:hint="eastAsia"/>
        </w:rPr>
        <w:t>和</w:t>
      </w:r>
      <w:r w:rsidR="006E1F3F" w:rsidRPr="006E1F3F">
        <w:rPr>
          <w:rFonts w:hint="eastAsia"/>
        </w:rPr>
        <w:t xml:space="preserve"> DALL-E </w:t>
      </w:r>
      <w:r w:rsidR="006E1F3F" w:rsidRPr="006E1F3F">
        <w:rPr>
          <w:rFonts w:hint="eastAsia"/>
        </w:rPr>
        <w:t>在教育中的應用愈發普及。這些工具不僅能夠生成自然語言文本，還能創造圖像和視頻，為小學生提供了豐富的學習資源和個性化支持。然而，對於小學生而言，這些新技術的引入需要仔細考量其接受度和使用體驗。</w:t>
      </w:r>
    </w:p>
    <w:p w14:paraId="399EC093" w14:textId="77777777" w:rsidR="006E1F3F" w:rsidRDefault="006E1F3F" w:rsidP="00B22650"/>
    <w:p w14:paraId="64E278D8" w14:textId="565FA401" w:rsidR="00B22650" w:rsidRDefault="00B22650" w:rsidP="00B22650">
      <w:pPr>
        <w:ind w:firstLine="480"/>
      </w:pPr>
      <w:r>
        <w:rPr>
          <w:rFonts w:hint="eastAsia"/>
        </w:rPr>
        <w:t>AI</w:t>
      </w:r>
      <w:r>
        <w:rPr>
          <w:rFonts w:hint="eastAsia"/>
        </w:rPr>
        <w:t>在教育中的應用逐漸普及，從智能課程設計、個性化學習到自動評估系統，當今學習者擁有無與倫比的資源和策略，可以根據個人需求定制教育旅程</w:t>
      </w:r>
      <w:r>
        <w:rPr>
          <w:rFonts w:hint="eastAsia"/>
        </w:rPr>
        <w:t>(Davies &amp; West, 2014)</w:t>
      </w:r>
      <w:r>
        <w:rPr>
          <w:rFonts w:hint="eastAsia"/>
        </w:rPr>
        <w:t>。</w:t>
      </w:r>
      <w:r w:rsidRPr="00DB1EE1">
        <w:lastRenderedPageBreak/>
        <w:t>AI</w:t>
      </w:r>
      <w:r w:rsidRPr="00DB1EE1">
        <w:t>技術教育的出現</w:t>
      </w:r>
      <w:r w:rsidRPr="00DB1EE1">
        <w:rPr>
          <w:rFonts w:hint="eastAsia"/>
        </w:rPr>
        <w:t>，</w:t>
      </w:r>
      <w:r w:rsidRPr="00DB1EE1">
        <w:t>意味著每個學習者都應該具備</w:t>
      </w:r>
      <w:r w:rsidRPr="00DB1EE1">
        <w:t>AI literacy</w:t>
      </w:r>
      <w:r w:rsidRPr="00DB1EE1">
        <w:t>的基本能力，以便更好地融入數位社會，從而在工作生活中獲得平等和尊重。</w:t>
      </w:r>
      <w:r w:rsidRPr="00DB1EE1">
        <w:t>AI</w:t>
      </w:r>
      <w:r w:rsidRPr="00DB1EE1">
        <w:t>技術已成為教育教學改革的重要驅動力，影響</w:t>
      </w:r>
      <w:r w:rsidRPr="00DB1EE1">
        <w:rPr>
          <w:rFonts w:hint="eastAsia"/>
        </w:rPr>
        <w:t>了</w:t>
      </w:r>
      <w:r w:rsidRPr="00DB1EE1">
        <w:t>教師的可持續專業發展。</w:t>
      </w:r>
      <w:r>
        <w:rPr>
          <w:rFonts w:hint="eastAsia"/>
        </w:rPr>
        <w:t>然而，</w:t>
      </w:r>
      <w:r>
        <w:rPr>
          <w:rFonts w:hint="eastAsia"/>
        </w:rPr>
        <w:t>AI</w:t>
      </w:r>
      <w:r>
        <w:rPr>
          <w:rFonts w:hint="eastAsia"/>
        </w:rPr>
        <w:t>技術依賴於多方面的因素，包括技術成熟度、使用者接受度以及使用者本身</w:t>
      </w:r>
      <w:r>
        <w:rPr>
          <w:rFonts w:hint="eastAsia"/>
        </w:rPr>
        <w:t>AI</w:t>
      </w:r>
      <w:r>
        <w:rPr>
          <w:rFonts w:hint="eastAsia"/>
        </w:rPr>
        <w:t>素養。技術本身也增加了可能分散學生注意力的因素，阻礙了學生的參與和他們有效學習的能力</w:t>
      </w:r>
      <w:r>
        <w:rPr>
          <w:rFonts w:hint="eastAsia"/>
        </w:rPr>
        <w:t>(Alhumaid, 2019)</w:t>
      </w:r>
      <w:r>
        <w:rPr>
          <w:rFonts w:hint="eastAsia"/>
        </w:rPr>
        <w:t>。在探討人類與</w:t>
      </w:r>
      <w:r>
        <w:rPr>
          <w:rFonts w:hint="eastAsia"/>
        </w:rPr>
        <w:t>AI</w:t>
      </w:r>
      <w:r>
        <w:rPr>
          <w:rFonts w:hint="eastAsia"/>
        </w:rPr>
        <w:t>合作時，自主性是一個反覆出現的主題。</w:t>
      </w:r>
      <w:r>
        <w:rPr>
          <w:rFonts w:hint="eastAsia"/>
        </w:rPr>
        <w:t>AI</w:t>
      </w:r>
      <w:r>
        <w:rPr>
          <w:rFonts w:hint="eastAsia"/>
        </w:rPr>
        <w:t>是否承擔更多的自主性，而人類則扮演監督角色？還是應該由人類保留主要控制權，並在必要時推翻</w:t>
      </w:r>
      <w:r>
        <w:rPr>
          <w:rFonts w:hint="eastAsia"/>
        </w:rPr>
        <w:t>AI</w:t>
      </w:r>
      <w:r>
        <w:rPr>
          <w:rFonts w:hint="eastAsia"/>
        </w:rPr>
        <w:t>的決策？或者，人類和</w:t>
      </w:r>
      <w:r>
        <w:rPr>
          <w:rFonts w:hint="eastAsia"/>
        </w:rPr>
        <w:t>AI</w:t>
      </w:r>
      <w:r>
        <w:rPr>
          <w:rFonts w:hint="eastAsia"/>
        </w:rPr>
        <w:t>應該以混合自主性的方式合作，共同參與決策和執行（</w:t>
      </w:r>
      <w:r>
        <w:rPr>
          <w:rFonts w:hint="eastAsia"/>
        </w:rPr>
        <w:t>Sundar, 2020</w:t>
      </w:r>
      <w:r>
        <w:rPr>
          <w:rFonts w:hint="eastAsia"/>
        </w:rPr>
        <w:t>）？本研究在縱觀文獻後與</w:t>
      </w:r>
      <w:r>
        <w:rPr>
          <w:rFonts w:hint="eastAsia"/>
        </w:rPr>
        <w:t>Fanni, et al.(2023)</w:t>
      </w:r>
      <w:r>
        <w:rPr>
          <w:rFonts w:hint="eastAsia"/>
        </w:rPr>
        <w:t>的觀點一致，提倡「積極的人類自主性」，應該明確區分「常規任務」和「複雜的創意問題解決任務」。人類在上下文理解、倫理判斷和責任感方面具有優勢，應該主導需要創造力、同理心、倫理和複雜決策的工作。</w:t>
      </w:r>
      <w:r>
        <w:rPr>
          <w:rFonts w:hint="eastAsia"/>
        </w:rPr>
        <w:t>AI</w:t>
      </w:r>
      <w:r>
        <w:rPr>
          <w:rFonts w:hint="eastAsia"/>
        </w:rPr>
        <w:t>做出的決策應該是透明且可解釋的，並且可以由人類合作者輕鬆調整。理想情況下，人類應該從</w:t>
      </w:r>
      <w:r>
        <w:rPr>
          <w:rFonts w:hint="eastAsia"/>
        </w:rPr>
        <w:t>AI</w:t>
      </w:r>
      <w:r>
        <w:rPr>
          <w:rFonts w:hint="eastAsia"/>
        </w:rPr>
        <w:t>的見解中學習，而</w:t>
      </w:r>
      <w:r>
        <w:rPr>
          <w:rFonts w:hint="eastAsia"/>
        </w:rPr>
        <w:t>AI</w:t>
      </w:r>
      <w:r>
        <w:rPr>
          <w:rFonts w:hint="eastAsia"/>
        </w:rPr>
        <w:t>則應根據人類的反饋進行改進。</w:t>
      </w:r>
      <w:r>
        <w:rPr>
          <w:rFonts w:hint="eastAsia"/>
        </w:rPr>
        <w:t>AI</w:t>
      </w:r>
      <w:r>
        <w:rPr>
          <w:rFonts w:hint="eastAsia"/>
        </w:rPr>
        <w:t>政策應包括允許用戶迅速挑戰或糾正</w:t>
      </w:r>
      <w:r>
        <w:rPr>
          <w:rFonts w:hint="eastAsia"/>
        </w:rPr>
        <w:t>AI</w:t>
      </w:r>
      <w:r>
        <w:rPr>
          <w:rFonts w:hint="eastAsia"/>
        </w:rPr>
        <w:t>驅動決策的條款，旨在賦能個人自主權，並在數位時代增強基本人權。</w:t>
      </w:r>
      <w:r w:rsidR="006E1F3F" w:rsidRPr="006E1F3F">
        <w:rPr>
          <w:rFonts w:hint="eastAsia"/>
          <w:color w:val="FF0000"/>
        </w:rPr>
        <w:t>本研究旨在探討小學生對生成式</w:t>
      </w:r>
      <w:r w:rsidR="006E1F3F" w:rsidRPr="006E1F3F">
        <w:rPr>
          <w:rFonts w:hint="eastAsia"/>
          <w:color w:val="FF0000"/>
        </w:rPr>
        <w:t xml:space="preserve"> AI </w:t>
      </w:r>
      <w:r w:rsidR="006E1F3F" w:rsidRPr="006E1F3F">
        <w:rPr>
          <w:rFonts w:hint="eastAsia"/>
          <w:color w:val="FF0000"/>
        </w:rPr>
        <w:t>工具的態度，並分析這些態度如何影響他們的學習效果和使用行為</w:t>
      </w:r>
      <w:r>
        <w:rPr>
          <w:rFonts w:hint="eastAsia"/>
        </w:rPr>
        <w:t>，以下為本研究提出問題：</w:t>
      </w:r>
    </w:p>
    <w:p w14:paraId="3A1DF4E9" w14:textId="77777777" w:rsidR="006E1F3F" w:rsidRPr="006E1F3F" w:rsidRDefault="00B22650" w:rsidP="00B22650">
      <w:pPr>
        <w:ind w:leftChars="100" w:left="240"/>
        <w:rPr>
          <w:color w:val="FF0000"/>
        </w:rPr>
      </w:pPr>
      <w:r>
        <w:rPr>
          <w:rFonts w:hint="eastAsia"/>
        </w:rPr>
        <w:t xml:space="preserve">1. </w:t>
      </w:r>
      <w:r w:rsidR="006E1F3F" w:rsidRPr="006E1F3F">
        <w:rPr>
          <w:rFonts w:hint="eastAsia"/>
          <w:color w:val="FF0000"/>
        </w:rPr>
        <w:t>小學生對</w:t>
      </w:r>
      <w:r w:rsidR="006E1F3F" w:rsidRPr="006E1F3F">
        <w:rPr>
          <w:rFonts w:hint="eastAsia"/>
          <w:color w:val="FF0000"/>
        </w:rPr>
        <w:t>GenAI</w:t>
      </w:r>
      <w:r w:rsidR="006E1F3F" w:rsidRPr="006E1F3F">
        <w:rPr>
          <w:rFonts w:hint="eastAsia"/>
          <w:color w:val="FF0000"/>
        </w:rPr>
        <w:t>工具的初始態度如何影響其接受程度和使用體驗？</w:t>
      </w:r>
    </w:p>
    <w:p w14:paraId="5B6BF4A7" w14:textId="77777777" w:rsidR="006E1F3F" w:rsidRPr="006E1F3F" w:rsidRDefault="00B22650" w:rsidP="00B22650">
      <w:pPr>
        <w:ind w:leftChars="100" w:left="240"/>
        <w:rPr>
          <w:color w:val="FF0000"/>
        </w:rPr>
      </w:pPr>
      <w:r>
        <w:rPr>
          <w:rFonts w:hint="eastAsia"/>
        </w:rPr>
        <w:t xml:space="preserve">2. </w:t>
      </w:r>
      <w:r w:rsidR="006E1F3F" w:rsidRPr="006E1F3F">
        <w:rPr>
          <w:rFonts w:hint="eastAsia"/>
          <w:color w:val="FF0000"/>
        </w:rPr>
        <w:t>學生的</w:t>
      </w:r>
      <w:r w:rsidR="006E1F3F" w:rsidRPr="006E1F3F">
        <w:rPr>
          <w:rFonts w:hint="eastAsia"/>
          <w:color w:val="FF0000"/>
        </w:rPr>
        <w:t>AI</w:t>
      </w:r>
      <w:r w:rsidR="006E1F3F" w:rsidRPr="006E1F3F">
        <w:rPr>
          <w:rFonts w:hint="eastAsia"/>
          <w:color w:val="FF0000"/>
        </w:rPr>
        <w:t>素養在多大程度上影響他們對</w:t>
      </w:r>
      <w:r w:rsidR="006E1F3F" w:rsidRPr="006E1F3F">
        <w:rPr>
          <w:rFonts w:hint="eastAsia"/>
          <w:color w:val="FF0000"/>
        </w:rPr>
        <w:t>GenAI</w:t>
      </w:r>
      <w:r w:rsidR="006E1F3F" w:rsidRPr="006E1F3F">
        <w:rPr>
          <w:rFonts w:hint="eastAsia"/>
          <w:color w:val="FF0000"/>
        </w:rPr>
        <w:t>工具的評價？</w:t>
      </w:r>
    </w:p>
    <w:p w14:paraId="76EB86D6" w14:textId="176AE33E" w:rsidR="00B22650" w:rsidRPr="00D83A0B" w:rsidRDefault="00B22650" w:rsidP="006E1F3F">
      <w:pPr>
        <w:ind w:leftChars="100" w:left="240"/>
      </w:pPr>
      <w:r>
        <w:rPr>
          <w:rFonts w:hint="eastAsia"/>
        </w:rPr>
        <w:t xml:space="preserve">3. </w:t>
      </w:r>
      <w:r w:rsidR="006E1F3F" w:rsidRPr="006E1F3F">
        <w:rPr>
          <w:rFonts w:hint="eastAsia"/>
        </w:rPr>
        <w:t>使用</w:t>
      </w:r>
      <w:r w:rsidR="006E1F3F" w:rsidRPr="006E1F3F">
        <w:rPr>
          <w:rFonts w:hint="eastAsia"/>
        </w:rPr>
        <w:t>GenAI</w:t>
      </w:r>
      <w:r w:rsidR="006E1F3F" w:rsidRPr="006E1F3F">
        <w:rPr>
          <w:rFonts w:hint="eastAsia"/>
        </w:rPr>
        <w:t>工具的頻率和使用情況是否對其學習效果有調節作用？</w:t>
      </w:r>
    </w:p>
    <w:p w14:paraId="44A0BBC0" w14:textId="77777777" w:rsidR="00B22650" w:rsidRPr="00DC73CE" w:rsidRDefault="00B22650" w:rsidP="00423781">
      <w:pPr>
        <w:pStyle w:val="2"/>
      </w:pPr>
      <w:r w:rsidRPr="00DC73CE">
        <w:rPr>
          <w:rFonts w:hint="eastAsia"/>
        </w:rPr>
        <w:t>文獻探討</w:t>
      </w:r>
      <w:r w:rsidRPr="00DC73CE">
        <w:rPr>
          <w:rFonts w:hint="eastAsia"/>
        </w:rPr>
        <w:t xml:space="preserve"> </w:t>
      </w:r>
    </w:p>
    <w:p w14:paraId="6525E922" w14:textId="7FB708F1" w:rsidR="00B22650" w:rsidRDefault="00B22650" w:rsidP="00B22650">
      <w:pPr>
        <w:pStyle w:val="3"/>
      </w:pPr>
      <w:r w:rsidRPr="00B22650">
        <w:rPr>
          <w:rFonts w:hint="eastAsia"/>
        </w:rPr>
        <w:t>人工智慧在教育中的影響和應用</w:t>
      </w:r>
    </w:p>
    <w:p w14:paraId="34C8DB92" w14:textId="45F2F788" w:rsidR="00B22650" w:rsidRDefault="00B22650" w:rsidP="00B22650">
      <w:r>
        <w:rPr>
          <w:rFonts w:hint="eastAsia"/>
        </w:rPr>
        <w:t>人工智慧</w:t>
      </w:r>
      <w:r>
        <w:rPr>
          <w:rFonts w:hint="eastAsia"/>
        </w:rPr>
        <w:t>(AI)</w:t>
      </w:r>
      <w:r>
        <w:rPr>
          <w:rFonts w:hint="eastAsia"/>
        </w:rPr>
        <w:t>在適應性基礎已被廣泛採用</w:t>
      </w:r>
      <w:r>
        <w:rPr>
          <w:rFonts w:hint="eastAsia"/>
        </w:rPr>
        <w:t>(Bommasani, et al</w:t>
      </w:r>
      <w:r w:rsidR="00DA51DC">
        <w:t>.</w:t>
      </w:r>
      <w:r>
        <w:rPr>
          <w:rFonts w:hint="eastAsia"/>
        </w:rPr>
        <w:t>, 2021)</w:t>
      </w:r>
      <w:r>
        <w:rPr>
          <w:rFonts w:hint="eastAsia"/>
        </w:rPr>
        <w:t>。對於將</w:t>
      </w:r>
      <w:r>
        <w:rPr>
          <w:rFonts w:hint="eastAsia"/>
        </w:rPr>
        <w:t>AI</w:t>
      </w:r>
      <w:r>
        <w:rPr>
          <w:rFonts w:hint="eastAsia"/>
        </w:rPr>
        <w:t>應用於日常生活中的研究，</w:t>
      </w:r>
      <w:r>
        <w:rPr>
          <w:rFonts w:hint="eastAsia"/>
        </w:rPr>
        <w:t>Scott, et al. (2023)</w:t>
      </w:r>
      <w:r>
        <w:rPr>
          <w:rFonts w:hint="eastAsia"/>
        </w:rPr>
        <w:t>探討了人們是否認為</w:t>
      </w:r>
      <w:r>
        <w:rPr>
          <w:rFonts w:hint="eastAsia"/>
        </w:rPr>
        <w:t>AI</w:t>
      </w:r>
      <w:r>
        <w:rPr>
          <w:rFonts w:hint="eastAsia"/>
        </w:rPr>
        <w:t>具有意識，指出人們對</w:t>
      </w:r>
      <w:r>
        <w:rPr>
          <w:rFonts w:hint="eastAsia"/>
        </w:rPr>
        <w:t xml:space="preserve"> AI </w:t>
      </w:r>
      <w:r>
        <w:rPr>
          <w:rFonts w:hint="eastAsia"/>
        </w:rPr>
        <w:t>是否具有意識存在不同的看法。猜測</w:t>
      </w:r>
      <w:r>
        <w:rPr>
          <w:rFonts w:hint="eastAsia"/>
        </w:rPr>
        <w:t>AI</w:t>
      </w:r>
      <w:r>
        <w:rPr>
          <w:rFonts w:hint="eastAsia"/>
        </w:rPr>
        <w:t>可能具有某種形式、認為</w:t>
      </w:r>
      <w:r>
        <w:rPr>
          <w:rFonts w:hint="eastAsia"/>
        </w:rPr>
        <w:t>AI</w:t>
      </w:r>
      <w:r>
        <w:rPr>
          <w:rFonts w:hint="eastAsia"/>
        </w:rPr>
        <w:t>可以通過互動不斷適應與進化，並具備一定的自主性和獨立性、展現出靈活應變的能力等。</w:t>
      </w:r>
      <w:r w:rsidR="003D1180" w:rsidRPr="003D1180">
        <w:t>Kim</w:t>
      </w:r>
      <w:r>
        <w:rPr>
          <w:rFonts w:hint="eastAsia"/>
        </w:rPr>
        <w:t>, et al. (2023)</w:t>
      </w:r>
      <w:r>
        <w:rPr>
          <w:rFonts w:hint="eastAsia"/>
        </w:rPr>
        <w:t>將日常生活中的十種不同</w:t>
      </w:r>
      <w:r>
        <w:rPr>
          <w:rFonts w:hint="eastAsia"/>
        </w:rPr>
        <w:t xml:space="preserve"> AI </w:t>
      </w:r>
      <w:r>
        <w:rPr>
          <w:rFonts w:hint="eastAsia"/>
        </w:rPr>
        <w:t>角色進行分類，歸納出</w:t>
      </w:r>
      <w:r>
        <w:rPr>
          <w:rFonts w:hint="eastAsia"/>
        </w:rPr>
        <w:t>Tools AI(</w:t>
      </w:r>
      <w:r>
        <w:rPr>
          <w:rFonts w:hint="eastAsia"/>
        </w:rPr>
        <w:t>人類參與度和</w:t>
      </w:r>
      <w:r>
        <w:rPr>
          <w:rFonts w:hint="eastAsia"/>
        </w:rPr>
        <w:t xml:space="preserve"> AI </w:t>
      </w:r>
      <w:r>
        <w:rPr>
          <w:rFonts w:hint="eastAsia"/>
        </w:rPr>
        <w:t>自主性都低</w:t>
      </w:r>
      <w:r>
        <w:rPr>
          <w:rFonts w:hint="eastAsia"/>
        </w:rPr>
        <w:t>)</w:t>
      </w:r>
      <w:r>
        <w:rPr>
          <w:rFonts w:hint="eastAsia"/>
        </w:rPr>
        <w:t>、</w:t>
      </w:r>
      <w:r>
        <w:rPr>
          <w:rFonts w:hint="eastAsia"/>
        </w:rPr>
        <w:t>Servants AI(</w:t>
      </w:r>
      <w:r>
        <w:rPr>
          <w:rFonts w:hint="eastAsia"/>
        </w:rPr>
        <w:t>人類參與度高而</w:t>
      </w:r>
      <w:r>
        <w:rPr>
          <w:rFonts w:hint="eastAsia"/>
        </w:rPr>
        <w:t xml:space="preserve"> AI </w:t>
      </w:r>
      <w:r>
        <w:rPr>
          <w:rFonts w:hint="eastAsia"/>
        </w:rPr>
        <w:t>自主性低</w:t>
      </w:r>
      <w:r>
        <w:rPr>
          <w:rFonts w:hint="eastAsia"/>
        </w:rPr>
        <w:t>)</w:t>
      </w:r>
      <w:r>
        <w:rPr>
          <w:rFonts w:hint="eastAsia"/>
        </w:rPr>
        <w:t>、</w:t>
      </w:r>
      <w:r>
        <w:rPr>
          <w:rFonts w:hint="eastAsia"/>
        </w:rPr>
        <w:t>Assistants AI(</w:t>
      </w:r>
      <w:r>
        <w:rPr>
          <w:rFonts w:hint="eastAsia"/>
        </w:rPr>
        <w:t>人類參與度低而</w:t>
      </w:r>
      <w:r>
        <w:rPr>
          <w:rFonts w:hint="eastAsia"/>
        </w:rPr>
        <w:t xml:space="preserve"> AI </w:t>
      </w:r>
      <w:r>
        <w:rPr>
          <w:rFonts w:hint="eastAsia"/>
        </w:rPr>
        <w:t>自主性高</w:t>
      </w:r>
      <w:r>
        <w:rPr>
          <w:rFonts w:hint="eastAsia"/>
        </w:rPr>
        <w:t>)</w:t>
      </w:r>
      <w:r>
        <w:rPr>
          <w:rFonts w:hint="eastAsia"/>
        </w:rPr>
        <w:t>與</w:t>
      </w:r>
      <w:r>
        <w:rPr>
          <w:rFonts w:hint="eastAsia"/>
        </w:rPr>
        <w:t>Mediators AI(</w:t>
      </w:r>
      <w:r>
        <w:rPr>
          <w:rFonts w:hint="eastAsia"/>
        </w:rPr>
        <w:t>兩個維度都高</w:t>
      </w:r>
      <w:r>
        <w:rPr>
          <w:rFonts w:hint="eastAsia"/>
        </w:rPr>
        <w:t xml:space="preserve">) </w:t>
      </w:r>
      <w:r>
        <w:rPr>
          <w:rFonts w:hint="eastAsia"/>
        </w:rPr>
        <w:t>之角色。</w:t>
      </w:r>
    </w:p>
    <w:p w14:paraId="189C3BCB" w14:textId="77777777" w:rsidR="00B22650" w:rsidRDefault="00B22650" w:rsidP="00B22650"/>
    <w:p w14:paraId="3CAEA6B9" w14:textId="560982FD" w:rsidR="00B22650" w:rsidRDefault="00B22650" w:rsidP="00B22650">
      <w:r>
        <w:rPr>
          <w:rFonts w:hint="eastAsia"/>
        </w:rPr>
        <w:t>勞動力市場中也因</w:t>
      </w:r>
      <w:r>
        <w:rPr>
          <w:rFonts w:hint="eastAsia"/>
        </w:rPr>
        <w:t>AI</w:t>
      </w:r>
      <w:r>
        <w:rPr>
          <w:rFonts w:hint="eastAsia"/>
        </w:rPr>
        <w:t>技術崛起而注入了前所未有的變革動力，部分職業面臨被</w:t>
      </w:r>
      <w:r>
        <w:rPr>
          <w:rFonts w:hint="eastAsia"/>
        </w:rPr>
        <w:t>AI</w:t>
      </w:r>
      <w:r>
        <w:rPr>
          <w:rFonts w:hint="eastAsia"/>
        </w:rPr>
        <w:t>取代的威脅。</w:t>
      </w:r>
      <w:r>
        <w:rPr>
          <w:rFonts w:hint="eastAsia"/>
        </w:rPr>
        <w:t>Eloundou, et al.(2023)</w:t>
      </w:r>
      <w:r>
        <w:rPr>
          <w:rFonts w:hint="eastAsia"/>
        </w:rPr>
        <w:t>指出美國約</w:t>
      </w:r>
      <w:r>
        <w:rPr>
          <w:rFonts w:hint="eastAsia"/>
        </w:rPr>
        <w:t>80%</w:t>
      </w:r>
      <w:r>
        <w:rPr>
          <w:rFonts w:hint="eastAsia"/>
        </w:rPr>
        <w:t>的勞動力中至少</w:t>
      </w:r>
      <w:r>
        <w:rPr>
          <w:rFonts w:hint="eastAsia"/>
        </w:rPr>
        <w:t>10%</w:t>
      </w:r>
      <w:r>
        <w:rPr>
          <w:rFonts w:hint="eastAsia"/>
        </w:rPr>
        <w:t>工作受到</w:t>
      </w:r>
      <w:r>
        <w:rPr>
          <w:rFonts w:hint="eastAsia"/>
        </w:rPr>
        <w:t>AI</w:t>
      </w:r>
      <w:r>
        <w:rPr>
          <w:rFonts w:hint="eastAsia"/>
        </w:rPr>
        <w:t>的影響，而約</w:t>
      </w:r>
      <w:r>
        <w:rPr>
          <w:rFonts w:hint="eastAsia"/>
        </w:rPr>
        <w:t>19%</w:t>
      </w:r>
      <w:r>
        <w:rPr>
          <w:rFonts w:hint="eastAsia"/>
        </w:rPr>
        <w:t>的工人有至少</w:t>
      </w:r>
      <w:r>
        <w:rPr>
          <w:rFonts w:hint="eastAsia"/>
        </w:rPr>
        <w:t xml:space="preserve"> 50% </w:t>
      </w:r>
      <w:r>
        <w:rPr>
          <w:rFonts w:hint="eastAsia"/>
        </w:rPr>
        <w:t>的工作受到影響。</w:t>
      </w:r>
      <w:r>
        <w:rPr>
          <w:rFonts w:hint="eastAsia"/>
        </w:rPr>
        <w:t>Felten, et al.(2023)</w:t>
      </w:r>
      <w:r>
        <w:rPr>
          <w:rFonts w:hint="eastAsia"/>
        </w:rPr>
        <w:t>語言建模技術對電話推銷員、英外語及歷史教師等語言相關職業產生了重大影響。無疑</w:t>
      </w:r>
      <w:r>
        <w:rPr>
          <w:rFonts w:hint="eastAsia"/>
        </w:rPr>
        <w:t>AI</w:t>
      </w:r>
      <w:r>
        <w:rPr>
          <w:rFonts w:hint="eastAsia"/>
        </w:rPr>
        <w:t>的發展對就業前景帶來衝擊。但也同時提高了工作效率，減少了重複性任務等，便於人們在工作能更加專注於更具創意和戰略性的工作。此外</w:t>
      </w:r>
      <w:r>
        <w:rPr>
          <w:rFonts w:hint="eastAsia"/>
        </w:rPr>
        <w:t>AI</w:t>
      </w:r>
      <w:r>
        <w:rPr>
          <w:rFonts w:hint="eastAsia"/>
        </w:rPr>
        <w:t>技術也對藝術領域產生了顯著影響。</w:t>
      </w:r>
      <w:r>
        <w:rPr>
          <w:rFonts w:hint="eastAsia"/>
        </w:rPr>
        <w:t>Pearson</w:t>
      </w:r>
      <w:r w:rsidR="001F1418">
        <w:t xml:space="preserve"> </w:t>
      </w:r>
      <w:r>
        <w:rPr>
          <w:rFonts w:hint="eastAsia"/>
        </w:rPr>
        <w:t>(2023)</w:t>
      </w:r>
      <w:r>
        <w:rPr>
          <w:rFonts w:hint="eastAsia"/>
        </w:rPr>
        <w:t>探討現代創意</w:t>
      </w:r>
      <w:r>
        <w:rPr>
          <w:rFonts w:hint="eastAsia"/>
        </w:rPr>
        <w:t>AI</w:t>
      </w:r>
      <w:r>
        <w:rPr>
          <w:rFonts w:hint="eastAsia"/>
        </w:rPr>
        <w:t>技術作為藝術家和創作者潛在靈感來源的角色，強調</w:t>
      </w:r>
      <w:r>
        <w:rPr>
          <w:rFonts w:hint="eastAsia"/>
        </w:rPr>
        <w:t>AI</w:t>
      </w:r>
      <w:r>
        <w:rPr>
          <w:rFonts w:hint="eastAsia"/>
        </w:rPr>
        <w:t>在圖像創作、音樂作曲、動畫和視頻製作方面的能力。</w:t>
      </w:r>
      <w:r>
        <w:rPr>
          <w:rFonts w:hint="eastAsia"/>
        </w:rPr>
        <w:t>Ning, et al</w:t>
      </w:r>
      <w:r w:rsidR="005E2325">
        <w:t>.</w:t>
      </w:r>
      <w:r>
        <w:rPr>
          <w:rFonts w:hint="eastAsia"/>
        </w:rPr>
        <w:t>, (2023)</w:t>
      </w:r>
      <w:r>
        <w:rPr>
          <w:rFonts w:hint="eastAsia"/>
        </w:rPr>
        <w:t>探討</w:t>
      </w:r>
      <w:r>
        <w:rPr>
          <w:rFonts w:hint="eastAsia"/>
        </w:rPr>
        <w:t>AI</w:t>
      </w:r>
      <w:r>
        <w:rPr>
          <w:rFonts w:hint="eastAsia"/>
        </w:rPr>
        <w:t>技術驅動的創意支持工具（</w:t>
      </w:r>
      <w:r>
        <w:rPr>
          <w:rFonts w:hint="eastAsia"/>
        </w:rPr>
        <w:t>AI-CSTs</w:t>
      </w:r>
      <w:r>
        <w:rPr>
          <w:rFonts w:hint="eastAsia"/>
        </w:rPr>
        <w:t>）之設計空間，闡明</w:t>
      </w:r>
      <w:r>
        <w:rPr>
          <w:rFonts w:hint="eastAsia"/>
        </w:rPr>
        <w:t>AI</w:t>
      </w:r>
      <w:r>
        <w:rPr>
          <w:rFonts w:hint="eastAsia"/>
        </w:rPr>
        <w:t>工具對工作流程的深遠影響，也強調了</w:t>
      </w:r>
      <w:r>
        <w:rPr>
          <w:rFonts w:hint="eastAsia"/>
        </w:rPr>
        <w:t xml:space="preserve"> AI-CSTs </w:t>
      </w:r>
      <w:r>
        <w:rPr>
          <w:rFonts w:hint="eastAsia"/>
        </w:rPr>
        <w:t>作為共同創作者的潛力，進一步增強了人類創造力，該研究另外提供了應對</w:t>
      </w:r>
      <w:r>
        <w:rPr>
          <w:rFonts w:hint="eastAsia"/>
        </w:rPr>
        <w:t>AI</w:t>
      </w:r>
      <w:r>
        <w:rPr>
          <w:rFonts w:hint="eastAsia"/>
        </w:rPr>
        <w:t>錯誤的策略，強調了</w:t>
      </w:r>
      <w:r>
        <w:rPr>
          <w:rFonts w:hint="eastAsia"/>
        </w:rPr>
        <w:t xml:space="preserve"> AI-CSTs </w:t>
      </w:r>
      <w:r>
        <w:rPr>
          <w:rFonts w:hint="eastAsia"/>
        </w:rPr>
        <w:t>設計和技</w:t>
      </w:r>
      <w:r>
        <w:rPr>
          <w:rFonts w:hint="eastAsia"/>
        </w:rPr>
        <w:lastRenderedPageBreak/>
        <w:t>術需求的關鍵性突顯了自身在提升協作創意和優化各領域創意工作流程中的變革性角色。儘管</w:t>
      </w:r>
      <w:r>
        <w:rPr>
          <w:rFonts w:hint="eastAsia"/>
        </w:rPr>
        <w:t xml:space="preserve"> AI </w:t>
      </w:r>
      <w:r>
        <w:rPr>
          <w:rFonts w:hint="eastAsia"/>
        </w:rPr>
        <w:t>的崛起對某些職業構成了挑戰，但它同時也為眾多領域帶來了革命性的增值效果，促進了職場的轉型與發展。</w:t>
      </w:r>
    </w:p>
    <w:p w14:paraId="133EE818" w14:textId="77777777" w:rsidR="00B22650" w:rsidRDefault="00B22650" w:rsidP="00B22650"/>
    <w:p w14:paraId="6F5A8EDF" w14:textId="7440786E" w:rsidR="00B22650" w:rsidRDefault="00B22650" w:rsidP="00B22650">
      <w:r>
        <w:rPr>
          <w:rFonts w:hint="eastAsia"/>
        </w:rPr>
        <w:t>當今數位化時代迅速發展，</w:t>
      </w:r>
      <w:r>
        <w:rPr>
          <w:rFonts w:hint="eastAsia"/>
        </w:rPr>
        <w:t>AI</w:t>
      </w:r>
      <w:r>
        <w:rPr>
          <w:rFonts w:hint="eastAsia"/>
        </w:rPr>
        <w:t>影響高等教育學習目標的態度、滿意度和能力方面所起的作用，成為一個日益受到關注和重視的話題。</w:t>
      </w:r>
      <w:r>
        <w:rPr>
          <w:rFonts w:hint="eastAsia"/>
        </w:rPr>
        <w:t>AI</w:t>
      </w:r>
      <w:r>
        <w:rPr>
          <w:rFonts w:hint="eastAsia"/>
        </w:rPr>
        <w:t>在高等教育中的應用引發了對教育模式和教學方法變革的深刻思考。多項研究對高等教育中</w:t>
      </w:r>
      <w:r>
        <w:rPr>
          <w:rFonts w:hint="eastAsia"/>
        </w:rPr>
        <w:t>AI</w:t>
      </w:r>
      <w:r>
        <w:rPr>
          <w:rFonts w:hint="eastAsia"/>
        </w:rPr>
        <w:t>的各個方面進行了調查，解釋其中對學習者和教育者的影響</w:t>
      </w:r>
      <w:r>
        <w:rPr>
          <w:rFonts w:hint="eastAsia"/>
        </w:rPr>
        <w:t>(Chai et al., 2020; Roy et al., 2022; Suh &amp; Ahn, 2022)</w:t>
      </w:r>
      <w:r>
        <w:rPr>
          <w:rFonts w:hint="eastAsia"/>
        </w:rPr>
        <w:t>。</w:t>
      </w:r>
      <w:r>
        <w:rPr>
          <w:rFonts w:hint="eastAsia"/>
        </w:rPr>
        <w:t>Slimi(2021)</w:t>
      </w:r>
      <w:r>
        <w:rPr>
          <w:rFonts w:hint="eastAsia"/>
        </w:rPr>
        <w:t>調查</w:t>
      </w:r>
      <w:r>
        <w:rPr>
          <w:rFonts w:hint="eastAsia"/>
        </w:rPr>
        <w:t>AI</w:t>
      </w:r>
      <w:r>
        <w:rPr>
          <w:rFonts w:hint="eastAsia"/>
        </w:rPr>
        <w:t>在高等教育的實施，強調對教育品質、學習過程、評估和未來職業的影響。</w:t>
      </w:r>
      <w:r>
        <w:rPr>
          <w:rFonts w:hint="eastAsia"/>
        </w:rPr>
        <w:t>Hajam &amp; Gahir (2024)</w:t>
      </w:r>
      <w:r>
        <w:rPr>
          <w:rFonts w:hint="eastAsia"/>
        </w:rPr>
        <w:t>側重于瞭解大學生對</w:t>
      </w:r>
      <w:r>
        <w:rPr>
          <w:rFonts w:hint="eastAsia"/>
        </w:rPr>
        <w:t>AI</w:t>
      </w:r>
      <w:r>
        <w:rPr>
          <w:rFonts w:hint="eastAsia"/>
        </w:rPr>
        <w:t>的態度，並找出影響這些態度的因素。</w:t>
      </w:r>
      <w:r>
        <w:rPr>
          <w:rFonts w:hint="eastAsia"/>
        </w:rPr>
        <w:t>Chiu, et al. (2023)</w:t>
      </w:r>
      <w:r>
        <w:rPr>
          <w:rFonts w:hint="eastAsia"/>
        </w:rPr>
        <w:t>系統回顧</w:t>
      </w:r>
      <w:r>
        <w:rPr>
          <w:rFonts w:hint="eastAsia"/>
        </w:rPr>
        <w:t>AI</w:t>
      </w:r>
      <w:r>
        <w:rPr>
          <w:rFonts w:hint="eastAsia"/>
        </w:rPr>
        <w:t>在教育中的角色，揭示了</w:t>
      </w:r>
      <w:r>
        <w:rPr>
          <w:rFonts w:hint="eastAsia"/>
        </w:rPr>
        <w:t>AI</w:t>
      </w:r>
      <w:r>
        <w:rPr>
          <w:rFonts w:hint="eastAsia"/>
        </w:rPr>
        <w:t>對學習的潛在益處，包括通過根據個人能力分配任務來提供適應性學習，從而提高學業表現，以及促進人機對話以激勵和吸引學生。</w:t>
      </w:r>
      <w:r>
        <w:rPr>
          <w:rFonts w:hint="eastAsia"/>
        </w:rPr>
        <w:t>Bond et al</w:t>
      </w:r>
      <w:r w:rsidR="005E2325">
        <w:rPr>
          <w:rFonts w:hint="eastAsia"/>
        </w:rPr>
        <w:t>.</w:t>
      </w:r>
      <w:r>
        <w:rPr>
          <w:rFonts w:hint="eastAsia"/>
        </w:rPr>
        <w:t xml:space="preserve"> (2024)</w:t>
      </w:r>
      <w:r>
        <w:rPr>
          <w:rFonts w:hint="eastAsia"/>
        </w:rPr>
        <w:t>在高等教育</w:t>
      </w:r>
      <w:r>
        <w:rPr>
          <w:rFonts w:hint="eastAsia"/>
        </w:rPr>
        <w:t>AI</w:t>
      </w:r>
      <w:r>
        <w:rPr>
          <w:rFonts w:hint="eastAsia"/>
        </w:rPr>
        <w:t>系統評論中指出，儘管</w:t>
      </w:r>
      <w:r>
        <w:rPr>
          <w:rFonts w:hint="eastAsia"/>
        </w:rPr>
        <w:t>AI</w:t>
      </w:r>
      <w:r>
        <w:rPr>
          <w:rFonts w:hint="eastAsia"/>
        </w:rPr>
        <w:t>模型工具和解決方案的快速發展，但關於</w:t>
      </w:r>
      <w:r>
        <w:rPr>
          <w:rFonts w:hint="eastAsia"/>
        </w:rPr>
        <w:t>AI</w:t>
      </w:r>
      <w:r>
        <w:rPr>
          <w:rFonts w:hint="eastAsia"/>
        </w:rPr>
        <w:t>在研究生階段使用的文獻仍然有限。教育環境中使用</w:t>
      </w:r>
      <w:r>
        <w:rPr>
          <w:rFonts w:hint="eastAsia"/>
        </w:rPr>
        <w:t>AI</w:t>
      </w:r>
      <w:r>
        <w:rPr>
          <w:rFonts w:hint="eastAsia"/>
        </w:rPr>
        <w:t>已成為一個緊迫課題，為了優化學生的個人化學習體驗，</w:t>
      </w:r>
      <w:r>
        <w:rPr>
          <w:rFonts w:hint="eastAsia"/>
        </w:rPr>
        <w:t>AI</w:t>
      </w:r>
      <w:r>
        <w:rPr>
          <w:rFonts w:hint="eastAsia"/>
        </w:rPr>
        <w:t>的同步與異步學習模式可以顯著改善學生的態度、動機和學習滿意度，最終提升他們的學習能力。引入</w:t>
      </w:r>
      <w:r>
        <w:rPr>
          <w:rFonts w:hint="eastAsia"/>
        </w:rPr>
        <w:t>AI</w:t>
      </w:r>
      <w:r>
        <w:rPr>
          <w:rFonts w:hint="eastAsia"/>
        </w:rPr>
        <w:t>能夠實現更高效的教學管理和資源分配，確保教育質量與公平性。</w:t>
      </w:r>
      <w:r>
        <w:rPr>
          <w:rFonts w:hint="eastAsia"/>
        </w:rPr>
        <w:t>Polak, et al.(2022)</w:t>
      </w:r>
      <w:r>
        <w:rPr>
          <w:rFonts w:hint="eastAsia"/>
        </w:rPr>
        <w:t>與</w:t>
      </w:r>
      <w:r>
        <w:rPr>
          <w:rFonts w:hint="eastAsia"/>
        </w:rPr>
        <w:t>K-12</w:t>
      </w:r>
      <w:r>
        <w:rPr>
          <w:rFonts w:hint="eastAsia"/>
        </w:rPr>
        <w:t>教師進行了共同設計工作坊，制定符合教師需求的</w:t>
      </w:r>
      <w:r>
        <w:rPr>
          <w:rFonts w:hint="eastAsia"/>
        </w:rPr>
        <w:t>AI</w:t>
      </w:r>
      <w:r>
        <w:rPr>
          <w:rFonts w:hint="eastAsia"/>
        </w:rPr>
        <w:t>課程和工具的設計，並給出研究建議，揭示教師在課堂中整合</w:t>
      </w:r>
      <w:r>
        <w:rPr>
          <w:rFonts w:hint="eastAsia"/>
        </w:rPr>
        <w:t>AI</w:t>
      </w:r>
      <w:r>
        <w:rPr>
          <w:rFonts w:hint="eastAsia"/>
        </w:rPr>
        <w:t>時重視學習成果、學生參與、易用性和合作。</w:t>
      </w:r>
    </w:p>
    <w:p w14:paraId="0027FD06" w14:textId="77777777" w:rsidR="00B22650" w:rsidRDefault="00B22650" w:rsidP="00B22650"/>
    <w:p w14:paraId="594E0479" w14:textId="17AC3CE5" w:rsidR="00B22650" w:rsidRDefault="00B22650" w:rsidP="00B22650">
      <w:r>
        <w:rPr>
          <w:rFonts w:hint="eastAsia"/>
        </w:rPr>
        <w:t>在課堂外，家長將</w:t>
      </w:r>
      <w:r>
        <w:rPr>
          <w:rFonts w:hint="eastAsia"/>
        </w:rPr>
        <w:t>AI</w:t>
      </w:r>
      <w:r>
        <w:rPr>
          <w:rFonts w:hint="eastAsia"/>
        </w:rPr>
        <w:t>技術視為增強親子互動的一種方式，協助孩子選擇和制定偏好內容</w:t>
      </w:r>
      <w:r>
        <w:rPr>
          <w:rFonts w:hint="eastAsia"/>
        </w:rPr>
        <w:t>(Zhang et al., 2021)</w:t>
      </w:r>
      <w:r>
        <w:rPr>
          <w:rFonts w:hint="eastAsia"/>
        </w:rPr>
        <w:t>，而孩子本身對</w:t>
      </w:r>
      <w:r>
        <w:rPr>
          <w:rFonts w:hint="eastAsia"/>
        </w:rPr>
        <w:t>AI</w:t>
      </w:r>
      <w:r>
        <w:rPr>
          <w:rFonts w:hint="eastAsia"/>
        </w:rPr>
        <w:t>的看法會因為其自身與</w:t>
      </w:r>
      <w:r>
        <w:rPr>
          <w:rFonts w:hint="eastAsia"/>
        </w:rPr>
        <w:t>AI</w:t>
      </w:r>
      <w:r>
        <w:rPr>
          <w:rFonts w:hint="eastAsia"/>
        </w:rPr>
        <w:t>體驗和互動中的表現而異。年幼孩子通常將</w:t>
      </w:r>
      <w:r>
        <w:rPr>
          <w:rFonts w:hint="eastAsia"/>
        </w:rPr>
        <w:t>AI</w:t>
      </w:r>
      <w:r>
        <w:rPr>
          <w:rFonts w:hint="eastAsia"/>
        </w:rPr>
        <w:t>視為智能玩具，而年齡稍微大些的孩子則會將</w:t>
      </w:r>
      <w:r>
        <w:rPr>
          <w:rFonts w:hint="eastAsia"/>
        </w:rPr>
        <w:t>AI</w:t>
      </w:r>
      <w:r>
        <w:rPr>
          <w:rFonts w:hint="eastAsia"/>
        </w:rPr>
        <w:t>視為相對低智能的類人類實體</w:t>
      </w:r>
      <w:r>
        <w:rPr>
          <w:rFonts w:hint="eastAsia"/>
        </w:rPr>
        <w:t>(Williams, et al</w:t>
      </w:r>
      <w:r w:rsidR="008D507A">
        <w:t>.</w:t>
      </w:r>
      <w:r>
        <w:rPr>
          <w:rFonts w:hint="eastAsia"/>
        </w:rPr>
        <w:t>, 2019)</w:t>
      </w:r>
      <w:r>
        <w:rPr>
          <w:rFonts w:hint="eastAsia"/>
        </w:rPr>
        <w:t>。隨著可持續發展教育（</w:t>
      </w:r>
      <w:r>
        <w:rPr>
          <w:rFonts w:hint="eastAsia"/>
        </w:rPr>
        <w:t>ESD</w:t>
      </w:r>
      <w:r>
        <w:rPr>
          <w:rFonts w:hint="eastAsia"/>
        </w:rPr>
        <w:t>）因應可持續發展目標（</w:t>
      </w:r>
      <w:r>
        <w:rPr>
          <w:rFonts w:hint="eastAsia"/>
        </w:rPr>
        <w:t>SDGs</w:t>
      </w:r>
      <w:r>
        <w:rPr>
          <w:rFonts w:hint="eastAsia"/>
        </w:rPr>
        <w:t>）等全球倡議而日益普及，我們正經歷教育里程的一個轉捩點。全球性改革目的是為所有人提供更優質、公平的教育機會，並預期將在</w:t>
      </w:r>
      <w:r>
        <w:rPr>
          <w:rFonts w:hint="eastAsia"/>
        </w:rPr>
        <w:t>2030</w:t>
      </w:r>
      <w:r>
        <w:rPr>
          <w:rFonts w:hint="eastAsia"/>
        </w:rPr>
        <w:t>年實現</w:t>
      </w:r>
      <w:r>
        <w:rPr>
          <w:rFonts w:hint="eastAsia"/>
        </w:rPr>
        <w:t>(Boeren, 2019)</w:t>
      </w:r>
      <w:r>
        <w:rPr>
          <w:rFonts w:hint="eastAsia"/>
        </w:rPr>
        <w:t>。這是對教育機構的挑戰，也是對現有教育模式和方法的深刻醒思。教育機構必須在管理、研究和教學等所有領域整合可持續發展的價值觀</w:t>
      </w:r>
      <w:r>
        <w:rPr>
          <w:rFonts w:hint="eastAsia"/>
        </w:rPr>
        <w:t>(Tejedor</w:t>
      </w:r>
      <w:r w:rsidR="00090F02">
        <w:t>,</w:t>
      </w:r>
      <w:r>
        <w:rPr>
          <w:rFonts w:hint="eastAsia"/>
        </w:rPr>
        <w:t xml:space="preserve"> et al., 2019)</w:t>
      </w:r>
      <w:r>
        <w:rPr>
          <w:rFonts w:hint="eastAsia"/>
        </w:rPr>
        <w:t>。而</w:t>
      </w:r>
      <w:r>
        <w:rPr>
          <w:rFonts w:hint="eastAsia"/>
        </w:rPr>
        <w:t>GenAI</w:t>
      </w:r>
      <w:r>
        <w:rPr>
          <w:rFonts w:hint="eastAsia"/>
        </w:rPr>
        <w:t>的教學與推論能力是指向其創造個性化學習體驗潛力的關鍵因素</w:t>
      </w:r>
      <w:r>
        <w:rPr>
          <w:rFonts w:hint="eastAsia"/>
        </w:rPr>
        <w:t>(Kasneci, et al</w:t>
      </w:r>
      <w:r w:rsidR="00052FB4">
        <w:t>.</w:t>
      </w:r>
      <w:r>
        <w:rPr>
          <w:rFonts w:hint="eastAsia"/>
        </w:rPr>
        <w:t>, 2023)</w:t>
      </w:r>
      <w:r>
        <w:rPr>
          <w:rFonts w:hint="eastAsia"/>
        </w:rPr>
        <w:t>，生成和提供編程問題的解釋，使學習者獲得個性化反饋。目前研究也開始探討大型語言模型</w:t>
      </w:r>
      <w:r>
        <w:rPr>
          <w:rFonts w:hint="eastAsia"/>
        </w:rPr>
        <w:t>(LLM)</w:t>
      </w:r>
      <w:r>
        <w:rPr>
          <w:rFonts w:hint="eastAsia"/>
        </w:rPr>
        <w:t>在教育中的應用，從自動生成問題到創建個性化學習材料等多種教學應用（</w:t>
      </w:r>
      <w:r>
        <w:rPr>
          <w:rFonts w:hint="eastAsia"/>
        </w:rPr>
        <w:t>Jauhiainen &amp; Guerra, 2013</w:t>
      </w:r>
      <w:r>
        <w:rPr>
          <w:rFonts w:hint="eastAsia"/>
        </w:rPr>
        <w:t>），檢視教育資源利用是否公平且高效，最終達成創建虛擬教師以實現完全個性化學習體驗之目的</w:t>
      </w:r>
      <w:r>
        <w:rPr>
          <w:rFonts w:hint="eastAsia"/>
        </w:rPr>
        <w:t>(Pataranutaporn, et al</w:t>
      </w:r>
      <w:r w:rsidR="00A128A9">
        <w:t>.</w:t>
      </w:r>
      <w:r>
        <w:rPr>
          <w:rFonts w:hint="eastAsia"/>
        </w:rPr>
        <w:t>, 2021)</w:t>
      </w:r>
      <w:r>
        <w:rPr>
          <w:rFonts w:hint="eastAsia"/>
        </w:rPr>
        <w:t>。</w:t>
      </w:r>
      <w:r>
        <w:rPr>
          <w:rFonts w:hint="eastAsia"/>
        </w:rPr>
        <w:t>Kunicina, et al. (2018)</w:t>
      </w:r>
      <w:r>
        <w:rPr>
          <w:rFonts w:hint="eastAsia"/>
        </w:rPr>
        <w:t>指出，通過技術與產品的創新，才能實現教育中的可持續發展。而通過</w:t>
      </w:r>
      <w:r>
        <w:rPr>
          <w:rFonts w:hint="eastAsia"/>
        </w:rPr>
        <w:t>AI</w:t>
      </w:r>
      <w:r>
        <w:rPr>
          <w:rFonts w:hint="eastAsia"/>
        </w:rPr>
        <w:t>技術，我們可以創建更加靈活和回應性的教育系統，不僅能適應不同學習者需求，也能夠促進全球教育資源的公平分配，達成聯合國的可持續發展目標。</w:t>
      </w:r>
    </w:p>
    <w:p w14:paraId="41D8374C" w14:textId="1ECE487C" w:rsidR="00B22650" w:rsidRDefault="00B22650"/>
    <w:p w14:paraId="6ABF89C5" w14:textId="47DC588D" w:rsidR="00B22650" w:rsidRDefault="00B22650" w:rsidP="00B22650">
      <w:pPr>
        <w:pStyle w:val="3"/>
      </w:pPr>
      <w:r w:rsidRPr="00B22650">
        <w:rPr>
          <w:rFonts w:hint="eastAsia"/>
        </w:rPr>
        <w:t>AI</w:t>
      </w:r>
      <w:r w:rsidRPr="00B22650">
        <w:rPr>
          <w:rFonts w:hint="eastAsia"/>
        </w:rPr>
        <w:t>素養</w:t>
      </w:r>
    </w:p>
    <w:p w14:paraId="5C5397DD" w14:textId="304FE9EE" w:rsidR="00B22650" w:rsidRDefault="00B22650" w:rsidP="00B22650">
      <w:r w:rsidRPr="00B22650">
        <w:rPr>
          <w:rFonts w:hint="eastAsia"/>
        </w:rPr>
        <w:t>Literacy</w:t>
      </w:r>
      <w:r w:rsidRPr="00B22650">
        <w:rPr>
          <w:rFonts w:hint="eastAsia"/>
        </w:rPr>
        <w:t>普遍被認為是一種包括閱讀、說話和寫作的能力</w:t>
      </w:r>
      <w:r w:rsidRPr="00B22650">
        <w:rPr>
          <w:rFonts w:hint="eastAsia"/>
        </w:rPr>
        <w:t>(McBride, 2015)</w:t>
      </w:r>
      <w:r w:rsidRPr="00B22650">
        <w:rPr>
          <w:rFonts w:hint="eastAsia"/>
        </w:rPr>
        <w:t>。目前</w:t>
      </w:r>
      <w:r w:rsidRPr="00B22650">
        <w:rPr>
          <w:rFonts w:hint="eastAsia"/>
        </w:rPr>
        <w:t>Literacy</w:t>
      </w:r>
      <w:r w:rsidRPr="00B22650">
        <w:rPr>
          <w:rFonts w:hint="eastAsia"/>
        </w:rPr>
        <w:t>已被已被擴展至電腦、資訊、數位和</w:t>
      </w:r>
      <w:r w:rsidRPr="00B22650">
        <w:rPr>
          <w:rFonts w:hint="eastAsia"/>
        </w:rPr>
        <w:t>AI</w:t>
      </w:r>
      <w:r w:rsidRPr="00B22650">
        <w:rPr>
          <w:rFonts w:hint="eastAsia"/>
        </w:rPr>
        <w:t>等嶄新的領域</w:t>
      </w:r>
      <w:r w:rsidRPr="00B22650">
        <w:rPr>
          <w:rFonts w:hint="eastAsia"/>
        </w:rPr>
        <w:t>(Zhao, et al</w:t>
      </w:r>
      <w:r w:rsidR="00E73BE9">
        <w:rPr>
          <w:rFonts w:hint="eastAsia"/>
        </w:rPr>
        <w:t>.</w:t>
      </w:r>
      <w:r w:rsidRPr="00B22650">
        <w:rPr>
          <w:rFonts w:hint="eastAsia"/>
        </w:rPr>
        <w:t>, 2022)</w:t>
      </w:r>
      <w:r w:rsidRPr="00B22650">
        <w:rPr>
          <w:rFonts w:hint="eastAsia"/>
        </w:rPr>
        <w:t>。以資訊素養為例：主</w:t>
      </w:r>
      <w:r w:rsidRPr="00B22650">
        <w:rPr>
          <w:rFonts w:hint="eastAsia"/>
        </w:rPr>
        <w:lastRenderedPageBreak/>
        <w:t>要包括資訊管理技能和適當應用資訊的能力</w:t>
      </w:r>
      <w:r w:rsidRPr="00B22650">
        <w:rPr>
          <w:rFonts w:hint="eastAsia"/>
        </w:rPr>
        <w:t>(Fraillon, et al</w:t>
      </w:r>
      <w:r w:rsidR="00E73BE9">
        <w:rPr>
          <w:rFonts w:hint="eastAsia"/>
        </w:rPr>
        <w:t>.</w:t>
      </w:r>
      <w:r w:rsidRPr="00B22650">
        <w:rPr>
          <w:rFonts w:hint="eastAsia"/>
        </w:rPr>
        <w:t>, 2013)</w:t>
      </w:r>
      <w:r w:rsidRPr="00B22650">
        <w:rPr>
          <w:rFonts w:hint="eastAsia"/>
        </w:rPr>
        <w:t>，使各行業能有效尋找、使用、創造和評估資訊，進而實現個人目標。隨著</w:t>
      </w:r>
      <w:r w:rsidRPr="00B22650">
        <w:rPr>
          <w:rFonts w:hint="eastAsia"/>
        </w:rPr>
        <w:t>AI</w:t>
      </w:r>
      <w:r w:rsidRPr="00B22650">
        <w:rPr>
          <w:rFonts w:hint="eastAsia"/>
        </w:rPr>
        <w:t>技術的出現，在各學科和行業中發揮關鍵作用</w:t>
      </w:r>
      <w:r w:rsidRPr="00B22650">
        <w:rPr>
          <w:rFonts w:hint="eastAsia"/>
        </w:rPr>
        <w:t>(Ng, et al</w:t>
      </w:r>
      <w:r w:rsidR="00E73BE9">
        <w:rPr>
          <w:rFonts w:hint="eastAsia"/>
        </w:rPr>
        <w:t>.</w:t>
      </w:r>
      <w:r w:rsidRPr="00B22650">
        <w:rPr>
          <w:rFonts w:hint="eastAsia"/>
        </w:rPr>
        <w:t>, 2021; Sharifi, et al</w:t>
      </w:r>
      <w:r w:rsidR="00E73BE9">
        <w:rPr>
          <w:rFonts w:hint="eastAsia"/>
        </w:rPr>
        <w:t>.</w:t>
      </w:r>
      <w:r w:rsidRPr="00B22650">
        <w:rPr>
          <w:rFonts w:hint="eastAsia"/>
        </w:rPr>
        <w:t>, 2021)</w:t>
      </w:r>
      <w:r w:rsidRPr="00B22650">
        <w:rPr>
          <w:rFonts w:hint="eastAsia"/>
        </w:rPr>
        <w:t>。例如從媒體平臺上收到的個人化推薦、存在於手機、汽車、居家、工作場所管理日程安排的語音虛擬助手。</w:t>
      </w:r>
      <w:r w:rsidRPr="00B22650">
        <w:rPr>
          <w:rFonts w:hint="eastAsia"/>
        </w:rPr>
        <w:t>AI</w:t>
      </w:r>
      <w:r w:rsidRPr="00B22650">
        <w:rPr>
          <w:rFonts w:hint="eastAsia"/>
        </w:rPr>
        <w:t>正在塑造行業、推動創新，並改變我們與世界互動的方式，隨著</w:t>
      </w:r>
      <w:r w:rsidRPr="00B22650">
        <w:rPr>
          <w:rFonts w:hint="eastAsia"/>
        </w:rPr>
        <w:t>AI</w:t>
      </w:r>
      <w:r w:rsidRPr="00B22650">
        <w:rPr>
          <w:rFonts w:hint="eastAsia"/>
        </w:rPr>
        <w:t>持續滲透到我們生活，</w:t>
      </w:r>
      <w:r w:rsidRPr="00B22650">
        <w:rPr>
          <w:rFonts w:hint="eastAsia"/>
        </w:rPr>
        <w:t>AI literacy</w:t>
      </w:r>
      <w:r w:rsidRPr="00B22650">
        <w:rPr>
          <w:rFonts w:hint="eastAsia"/>
        </w:rPr>
        <w:t>的認知素養也漸漸形成。</w:t>
      </w:r>
      <w:r w:rsidRPr="00B22650">
        <w:rPr>
          <w:rFonts w:hint="eastAsia"/>
        </w:rPr>
        <w:t>Williams, et al.(2023)</w:t>
      </w:r>
      <w:r w:rsidRPr="00B22650">
        <w:rPr>
          <w:rFonts w:hint="eastAsia"/>
        </w:rPr>
        <w:t>指出</w:t>
      </w:r>
      <w:r w:rsidRPr="00B22650">
        <w:rPr>
          <w:rFonts w:hint="eastAsia"/>
        </w:rPr>
        <w:t>AI</w:t>
      </w:r>
      <w:r w:rsidRPr="00B22650">
        <w:rPr>
          <w:rFonts w:hint="eastAsia"/>
        </w:rPr>
        <w:t>素養最初被定義為瞭解嵌入在不同產品和服務中的基本技術和概念的能力。但</w:t>
      </w:r>
      <w:r w:rsidRPr="00B22650">
        <w:rPr>
          <w:rFonts w:hint="eastAsia"/>
        </w:rPr>
        <w:t>AI</w:t>
      </w:r>
      <w:r w:rsidRPr="00B22650">
        <w:rPr>
          <w:rFonts w:hint="eastAsia"/>
        </w:rPr>
        <w:t>不單只屬於計算機科學和數據分析的領域，其卓越理解能力已經成為了一個重要的社會影響者。</w:t>
      </w:r>
      <w:r w:rsidRPr="00B22650">
        <w:rPr>
          <w:rFonts w:hint="eastAsia"/>
        </w:rPr>
        <w:t>Burgsteiner, et al.(2016)</w:t>
      </w:r>
      <w:r w:rsidRPr="00B22650">
        <w:rPr>
          <w:rFonts w:hint="eastAsia"/>
        </w:rPr>
        <w:t>將</w:t>
      </w:r>
      <w:r w:rsidRPr="00B22650">
        <w:rPr>
          <w:rFonts w:hint="eastAsia"/>
        </w:rPr>
        <w:t>AI Literacy</w:t>
      </w:r>
      <w:r w:rsidRPr="00B22650">
        <w:rPr>
          <w:rFonts w:hint="eastAsia"/>
        </w:rPr>
        <w:t>定義為理解不同產品和服務背後的基本技術和概念的能力。</w:t>
      </w:r>
      <w:r w:rsidRPr="00B22650">
        <w:rPr>
          <w:rFonts w:hint="eastAsia"/>
        </w:rPr>
        <w:t>Long &amp; Magerko(2020)</w:t>
      </w:r>
      <w:r w:rsidRPr="00B22650">
        <w:rPr>
          <w:rFonts w:hint="eastAsia"/>
        </w:rPr>
        <w:t>提到</w:t>
      </w:r>
      <w:r w:rsidR="00E73BE9" w:rsidRPr="00E73BE9">
        <w:t>Touretzky</w:t>
      </w:r>
      <w:r w:rsidR="00E73BE9">
        <w:t>, et al.</w:t>
      </w:r>
      <w:r w:rsidRPr="00B22650">
        <w:rPr>
          <w:rFonts w:hint="eastAsia"/>
        </w:rPr>
        <w:t>(2019)</w:t>
      </w:r>
      <w:r w:rsidRPr="00B22650">
        <w:rPr>
          <w:rFonts w:hint="eastAsia"/>
        </w:rPr>
        <w:t>研究中的</w:t>
      </w:r>
      <w:r w:rsidRPr="00B22650">
        <w:rPr>
          <w:rFonts w:hint="eastAsia"/>
        </w:rPr>
        <w:t>five big ideas in AI(</w:t>
      </w:r>
      <w:r w:rsidRPr="00B22650">
        <w:rPr>
          <w:rFonts w:hint="eastAsia"/>
        </w:rPr>
        <w:t>見</w:t>
      </w:r>
      <w:r>
        <w:fldChar w:fldCharType="begin"/>
      </w:r>
      <w:r>
        <w:instrText xml:space="preserve"> </w:instrText>
      </w:r>
      <w:r>
        <w:rPr>
          <w:rFonts w:hint="eastAsia"/>
        </w:rPr>
        <w:instrText>REF _Ref171710091 \h</w:instrText>
      </w:r>
      <w:r>
        <w:instrText xml:space="preserve"> </w:instrText>
      </w:r>
      <w:r>
        <w:fldChar w:fldCharType="separate"/>
      </w:r>
      <w:r w:rsidR="00103878">
        <w:t xml:space="preserve">Fig </w:t>
      </w:r>
      <w:r w:rsidR="00103878">
        <w:rPr>
          <w:noProof/>
        </w:rPr>
        <w:t>1</w:t>
      </w:r>
      <w:r>
        <w:fldChar w:fldCharType="end"/>
      </w:r>
      <w:r w:rsidRPr="00B22650">
        <w:rPr>
          <w:rFonts w:hint="eastAsia"/>
        </w:rPr>
        <w:t>)</w:t>
      </w:r>
      <w:r w:rsidRPr="00B22650">
        <w:rPr>
          <w:rFonts w:hint="eastAsia"/>
        </w:rPr>
        <w:t>，為未來如何培養</w:t>
      </w:r>
      <w:r w:rsidRPr="00B22650">
        <w:rPr>
          <w:rFonts w:hint="eastAsia"/>
        </w:rPr>
        <w:t>AI literacy</w:t>
      </w:r>
      <w:r w:rsidRPr="00B22650">
        <w:rPr>
          <w:rFonts w:hint="eastAsia"/>
        </w:rPr>
        <w:t>提供了堅實的基礎。</w:t>
      </w:r>
      <w:r w:rsidRPr="00B22650">
        <w:rPr>
          <w:rFonts w:hint="eastAsia"/>
        </w:rPr>
        <w:t>Long, et al</w:t>
      </w:r>
      <w:r w:rsidR="00E73BE9">
        <w:t>.</w:t>
      </w:r>
      <w:r w:rsidRPr="00B22650">
        <w:rPr>
          <w:rFonts w:hint="eastAsia"/>
        </w:rPr>
        <w:t>(2019)</w:t>
      </w:r>
      <w:r w:rsidRPr="00B22650">
        <w:rPr>
          <w:rFonts w:hint="eastAsia"/>
        </w:rPr>
        <w:t>指出</w:t>
      </w:r>
      <w:r w:rsidRPr="00B22650">
        <w:rPr>
          <w:rFonts w:hint="eastAsia"/>
        </w:rPr>
        <w:t>AI literacy</w:t>
      </w:r>
      <w:r w:rsidRPr="00B22650">
        <w:rPr>
          <w:rFonts w:hint="eastAsia"/>
        </w:rPr>
        <w:t>是「</w:t>
      </w:r>
      <w:r w:rsidRPr="00B22650">
        <w:rPr>
          <w:rFonts w:hint="eastAsia"/>
        </w:rPr>
        <w:t>Technology</w:t>
      </w:r>
      <w:r w:rsidRPr="00B22650">
        <w:rPr>
          <w:rFonts w:hint="eastAsia"/>
        </w:rPr>
        <w:t>」和「</w:t>
      </w:r>
      <w:r w:rsidRPr="00B22650">
        <w:rPr>
          <w:rFonts w:hint="eastAsia"/>
        </w:rPr>
        <w:t>literacy</w:t>
      </w:r>
      <w:r w:rsidRPr="00B22650">
        <w:rPr>
          <w:rFonts w:hint="eastAsia"/>
        </w:rPr>
        <w:t>」的結合，用於定義跨學科的技能集。</w:t>
      </w:r>
      <w:r w:rsidRPr="00B22650">
        <w:rPr>
          <w:rFonts w:hint="eastAsia"/>
        </w:rPr>
        <w:t>AI literacy</w:t>
      </w:r>
      <w:r w:rsidRPr="00B22650">
        <w:rPr>
          <w:rFonts w:hint="eastAsia"/>
        </w:rPr>
        <w:t>並不是要把每個人都變成</w:t>
      </w:r>
      <w:r w:rsidRPr="00B22650">
        <w:rPr>
          <w:rFonts w:hint="eastAsia"/>
        </w:rPr>
        <w:t>AI</w:t>
      </w:r>
      <w:r w:rsidRPr="00B22650">
        <w:rPr>
          <w:rFonts w:hint="eastAsia"/>
        </w:rPr>
        <w:t>專家。相反地，它是關於為個人提供知識和技能，以負責任和有效地理解、使用</w:t>
      </w:r>
      <w:r w:rsidRPr="00B22650">
        <w:rPr>
          <w:rFonts w:hint="eastAsia"/>
        </w:rPr>
        <w:t>AI</w:t>
      </w:r>
      <w:r w:rsidRPr="00B22650">
        <w:rPr>
          <w:rFonts w:hint="eastAsia"/>
        </w:rPr>
        <w:t>並與之互動，使人們能夠就</w:t>
      </w:r>
      <w:r w:rsidRPr="00B22650">
        <w:rPr>
          <w:rFonts w:hint="eastAsia"/>
        </w:rPr>
        <w:t>AI</w:t>
      </w:r>
      <w:r w:rsidRPr="00B22650">
        <w:rPr>
          <w:rFonts w:hint="eastAsia"/>
        </w:rPr>
        <w:t>技術做出明智的決定，瞭解其含義，並駕馭它們提出的道德考慮，是一個多方面的概念，不僅僅是對</w:t>
      </w:r>
      <w:r w:rsidRPr="00B22650">
        <w:rPr>
          <w:rFonts w:hint="eastAsia"/>
        </w:rPr>
        <w:t>AI</w:t>
      </w:r>
      <w:r w:rsidRPr="00B22650">
        <w:rPr>
          <w:rFonts w:hint="eastAsia"/>
        </w:rPr>
        <w:t>技術的理解。</w:t>
      </w:r>
      <w:r>
        <w:rPr>
          <w:rFonts w:hint="eastAsia"/>
        </w:rPr>
        <w:t>根據</w:t>
      </w:r>
      <w:r>
        <w:rPr>
          <w:rFonts w:hint="eastAsia"/>
        </w:rPr>
        <w:t>Bloom</w:t>
      </w:r>
      <w:r>
        <w:rPr>
          <w:rFonts w:hint="eastAsia"/>
        </w:rPr>
        <w:t>的結論，它包括四個維度</w:t>
      </w:r>
      <w:r>
        <w:rPr>
          <w:rFonts w:hint="eastAsia"/>
        </w:rPr>
        <w:t>(</w:t>
      </w:r>
      <w:r>
        <w:rPr>
          <w:rFonts w:hint="eastAsia"/>
        </w:rPr>
        <w:t>見</w:t>
      </w:r>
      <w:r w:rsidR="005342DE">
        <w:fldChar w:fldCharType="begin"/>
      </w:r>
      <w:r w:rsidR="005342DE">
        <w:instrText xml:space="preserve"> </w:instrText>
      </w:r>
      <w:r w:rsidR="005342DE">
        <w:rPr>
          <w:rFonts w:hint="eastAsia"/>
        </w:rPr>
        <w:instrText>REF _Ref171710138 \h</w:instrText>
      </w:r>
      <w:r w:rsidR="005342DE">
        <w:instrText xml:space="preserve"> </w:instrText>
      </w:r>
      <w:r w:rsidR="005342DE">
        <w:fldChar w:fldCharType="separate"/>
      </w:r>
      <w:r w:rsidR="00103878">
        <w:t xml:space="preserve">table </w:t>
      </w:r>
      <w:r w:rsidR="00103878">
        <w:rPr>
          <w:noProof/>
        </w:rPr>
        <w:t>1</w:t>
      </w:r>
      <w:r w:rsidR="005342DE">
        <w:fldChar w:fldCharType="end"/>
      </w:r>
      <w:r>
        <w:rPr>
          <w:rFonts w:hint="eastAsia"/>
        </w:rPr>
        <w:t>)</w:t>
      </w:r>
      <w:r>
        <w:rPr>
          <w:rFonts w:hint="eastAsia"/>
        </w:rPr>
        <w:t>：瞭解和理解</w:t>
      </w:r>
      <w:r>
        <w:rPr>
          <w:rFonts w:hint="eastAsia"/>
        </w:rPr>
        <w:t>AI</w:t>
      </w:r>
      <w:r>
        <w:rPr>
          <w:rFonts w:hint="eastAsia"/>
        </w:rPr>
        <w:t>、應用</w:t>
      </w:r>
      <w:r>
        <w:rPr>
          <w:rFonts w:hint="eastAsia"/>
        </w:rPr>
        <w:t>AI</w:t>
      </w:r>
      <w:r>
        <w:rPr>
          <w:rFonts w:hint="eastAsia"/>
        </w:rPr>
        <w:t>、評估</w:t>
      </w:r>
      <w:r>
        <w:rPr>
          <w:rFonts w:hint="eastAsia"/>
        </w:rPr>
        <w:t>AI</w:t>
      </w:r>
      <w:r>
        <w:rPr>
          <w:rFonts w:hint="eastAsia"/>
        </w:rPr>
        <w:t>應用及</w:t>
      </w:r>
      <w:r>
        <w:rPr>
          <w:rFonts w:hint="eastAsia"/>
        </w:rPr>
        <w:t>AI</w:t>
      </w:r>
      <w:r>
        <w:rPr>
          <w:rFonts w:hint="eastAsia"/>
        </w:rPr>
        <w:t>倫理</w:t>
      </w:r>
      <w:r w:rsidR="00E73BE9">
        <w:rPr>
          <w:rFonts w:hint="eastAsia"/>
        </w:rPr>
        <w:t>(</w:t>
      </w:r>
      <w:r>
        <w:rPr>
          <w:rFonts w:hint="eastAsia"/>
        </w:rPr>
        <w:t>Cope, et al</w:t>
      </w:r>
      <w:r w:rsidR="00E6646D">
        <w:t>.</w:t>
      </w:r>
      <w:r>
        <w:rPr>
          <w:rFonts w:hint="eastAsia"/>
        </w:rPr>
        <w:t>, 2021)</w:t>
      </w:r>
      <w:r>
        <w:rPr>
          <w:rFonts w:hint="eastAsia"/>
        </w:rPr>
        <w:t>。</w:t>
      </w:r>
      <w:r>
        <w:rPr>
          <w:rFonts w:hint="eastAsia"/>
        </w:rPr>
        <w:t>Ng, et al.(2021)</w:t>
      </w:r>
      <w:r>
        <w:rPr>
          <w:rFonts w:hint="eastAsia"/>
        </w:rPr>
        <w:t>也為四個維度提供以下見解：</w:t>
      </w:r>
    </w:p>
    <w:p w14:paraId="0DF5D381" w14:textId="77777777" w:rsidR="00B22650" w:rsidRDefault="00B22650" w:rsidP="00B22650">
      <w:r>
        <w:rPr>
          <w:rFonts w:hint="eastAsia"/>
        </w:rPr>
        <w:t>一、</w:t>
      </w:r>
      <w:r>
        <w:rPr>
          <w:rFonts w:hint="eastAsia"/>
        </w:rPr>
        <w:tab/>
      </w:r>
      <w:r>
        <w:rPr>
          <w:rFonts w:hint="eastAsia"/>
        </w:rPr>
        <w:t>理解基本</w:t>
      </w:r>
      <w:r>
        <w:rPr>
          <w:rFonts w:hint="eastAsia"/>
        </w:rPr>
        <w:t>AI</w:t>
      </w:r>
      <w:r>
        <w:rPr>
          <w:rFonts w:hint="eastAsia"/>
        </w:rPr>
        <w:t>概念的水準，以支持基本的</w:t>
      </w:r>
      <w:r>
        <w:rPr>
          <w:rFonts w:hint="eastAsia"/>
        </w:rPr>
        <w:t>AI</w:t>
      </w:r>
      <w:r>
        <w:rPr>
          <w:rFonts w:hint="eastAsia"/>
        </w:rPr>
        <w:t>培訓；</w:t>
      </w:r>
    </w:p>
    <w:p w14:paraId="2ABFA3A7" w14:textId="77777777" w:rsidR="00B22650" w:rsidRDefault="00B22650" w:rsidP="00B22650">
      <w:r>
        <w:rPr>
          <w:rFonts w:hint="eastAsia"/>
        </w:rPr>
        <w:t>二、</w:t>
      </w:r>
      <w:r>
        <w:rPr>
          <w:rFonts w:hint="eastAsia"/>
        </w:rPr>
        <w:tab/>
      </w:r>
      <w:r>
        <w:rPr>
          <w:rFonts w:hint="eastAsia"/>
        </w:rPr>
        <w:t>在實際背景中應用</w:t>
      </w:r>
      <w:r>
        <w:rPr>
          <w:rFonts w:hint="eastAsia"/>
        </w:rPr>
        <w:t>AI</w:t>
      </w:r>
      <w:r>
        <w:rPr>
          <w:rFonts w:hint="eastAsia"/>
        </w:rPr>
        <w:t>概念，以促進廣泛的</w:t>
      </w:r>
      <w:r>
        <w:rPr>
          <w:rFonts w:hint="eastAsia"/>
        </w:rPr>
        <w:t>AI</w:t>
      </w:r>
      <w:r>
        <w:rPr>
          <w:rFonts w:hint="eastAsia"/>
        </w:rPr>
        <w:t>教育；</w:t>
      </w:r>
    </w:p>
    <w:p w14:paraId="14F60275" w14:textId="77777777" w:rsidR="00B22650" w:rsidRDefault="00B22650" w:rsidP="00B22650">
      <w:r>
        <w:rPr>
          <w:rFonts w:hint="eastAsia"/>
        </w:rPr>
        <w:t>三、</w:t>
      </w:r>
      <w:r>
        <w:rPr>
          <w:rFonts w:hint="eastAsia"/>
        </w:rPr>
        <w:tab/>
      </w:r>
      <w:r>
        <w:rPr>
          <w:rFonts w:hint="eastAsia"/>
        </w:rPr>
        <w:t>在這些背景下對</w:t>
      </w:r>
      <w:r>
        <w:rPr>
          <w:rFonts w:hint="eastAsia"/>
        </w:rPr>
        <w:t>AI</w:t>
      </w:r>
      <w:r>
        <w:rPr>
          <w:rFonts w:hint="eastAsia"/>
        </w:rPr>
        <w:t>技術進行評估和參與應是批判性和合理的；</w:t>
      </w:r>
    </w:p>
    <w:p w14:paraId="00666BE0" w14:textId="1700DB76" w:rsidR="00B629C1" w:rsidRPr="00B629C1" w:rsidRDefault="00B22650">
      <w:r>
        <w:rPr>
          <w:rFonts w:hint="eastAsia"/>
        </w:rPr>
        <w:t>四、</w:t>
      </w:r>
      <w:r>
        <w:rPr>
          <w:rFonts w:hint="eastAsia"/>
        </w:rPr>
        <w:tab/>
      </w:r>
      <w:r>
        <w:rPr>
          <w:rFonts w:hint="eastAsia"/>
        </w:rPr>
        <w:t>理解</w:t>
      </w:r>
      <w:r>
        <w:rPr>
          <w:rFonts w:hint="eastAsia"/>
        </w:rPr>
        <w:t>AI</w:t>
      </w:r>
      <w:r>
        <w:rPr>
          <w:rFonts w:hint="eastAsia"/>
        </w:rPr>
        <w:t>應用帶來的無盡倫理影響的能力。</w:t>
      </w:r>
    </w:p>
    <w:p w14:paraId="2C0D2CF3" w14:textId="5E9317F5" w:rsidR="00B22650" w:rsidRDefault="00B629C1" w:rsidP="00B22650">
      <w:pPr>
        <w:keepNext/>
      </w:pPr>
      <w:r>
        <w:rPr>
          <w:noProof/>
        </w:rPr>
        <w:drawing>
          <wp:inline distT="0" distB="0" distL="0" distR="0" wp14:anchorId="4C0AFFA0" wp14:editId="35F54F55">
            <wp:extent cx="6354259" cy="4110797"/>
            <wp:effectExtent l="0" t="0" r="889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0412" cy="4114777"/>
                    </a:xfrm>
                    <a:prstGeom prst="rect">
                      <a:avLst/>
                    </a:prstGeom>
                    <a:noFill/>
                    <a:ln>
                      <a:noFill/>
                    </a:ln>
                  </pic:spPr>
                </pic:pic>
              </a:graphicData>
            </a:graphic>
          </wp:inline>
        </w:drawing>
      </w:r>
    </w:p>
    <w:p w14:paraId="2D349232" w14:textId="520FBC08" w:rsidR="00B22650" w:rsidRDefault="00B22650" w:rsidP="00B22650">
      <w:pPr>
        <w:pStyle w:val="a8"/>
        <w:jc w:val="center"/>
      </w:pPr>
      <w:bookmarkStart w:id="0" w:name="_Ref171710091"/>
      <w:r>
        <w:t xml:space="preserve">Fig </w:t>
      </w:r>
      <w:fldSimple w:instr=" SEQ Fig \* ARABIC ">
        <w:r w:rsidR="00103878">
          <w:rPr>
            <w:noProof/>
          </w:rPr>
          <w:t>1</w:t>
        </w:r>
      </w:fldSimple>
      <w:bookmarkEnd w:id="0"/>
      <w:r>
        <w:rPr>
          <w:rFonts w:hint="eastAsia"/>
        </w:rPr>
        <w:t>：</w:t>
      </w:r>
      <w:r w:rsidRPr="00EA2924">
        <w:t>five big ideas in AI</w:t>
      </w:r>
    </w:p>
    <w:p w14:paraId="3288F26D" w14:textId="4AC8FEFD" w:rsidR="00B22650" w:rsidRDefault="00B22650"/>
    <w:p w14:paraId="4A51EA5B" w14:textId="5AF5A308" w:rsidR="005B0D99" w:rsidRDefault="005B0D99" w:rsidP="005B0D99">
      <w:pPr>
        <w:pStyle w:val="a8"/>
        <w:keepNext/>
      </w:pPr>
      <w:bookmarkStart w:id="1" w:name="_Ref171710138"/>
      <w:r>
        <w:lastRenderedPageBreak/>
        <w:t xml:space="preserve">table </w:t>
      </w:r>
      <w:fldSimple w:instr=" SEQ table \* ARABIC ">
        <w:r w:rsidR="00103878">
          <w:rPr>
            <w:noProof/>
          </w:rPr>
          <w:t>1</w:t>
        </w:r>
      </w:fldSimple>
      <w:bookmarkEnd w:id="1"/>
      <w:r>
        <w:rPr>
          <w:rFonts w:hint="eastAsia"/>
        </w:rPr>
        <w:t>：</w:t>
      </w:r>
      <w:r w:rsidRPr="009B3BCD">
        <w:rPr>
          <w:rFonts w:hint="eastAsia"/>
        </w:rPr>
        <w:t>AI literacy</w:t>
      </w:r>
      <w:r w:rsidRPr="009B3BCD">
        <w:rPr>
          <w:rFonts w:hint="eastAsia"/>
        </w:rPr>
        <w:t>四個維度</w:t>
      </w:r>
    </w:p>
    <w:tbl>
      <w:tblPr>
        <w:tblW w:w="9849" w:type="dxa"/>
        <w:tblCellMar>
          <w:left w:w="28" w:type="dxa"/>
          <w:right w:w="28" w:type="dxa"/>
        </w:tblCellMar>
        <w:tblLook w:val="04A0" w:firstRow="1" w:lastRow="0" w:firstColumn="1" w:lastColumn="0" w:noHBand="0" w:noVBand="1"/>
      </w:tblPr>
      <w:tblGrid>
        <w:gridCol w:w="1110"/>
        <w:gridCol w:w="2410"/>
        <w:gridCol w:w="6329"/>
      </w:tblGrid>
      <w:tr w:rsidR="005B0D99" w:rsidRPr="00536AEB" w14:paraId="45A133E3" w14:textId="77777777" w:rsidTr="005B0D99">
        <w:trPr>
          <w:trHeight w:val="322"/>
        </w:trPr>
        <w:tc>
          <w:tcPr>
            <w:tcW w:w="1110" w:type="dxa"/>
            <w:tcBorders>
              <w:top w:val="single" w:sz="4" w:space="0" w:color="auto"/>
              <w:left w:val="nil"/>
              <w:bottom w:val="single" w:sz="4" w:space="0" w:color="auto"/>
              <w:right w:val="nil"/>
            </w:tcBorders>
            <w:shd w:val="clear" w:color="auto" w:fill="auto"/>
            <w:noWrap/>
            <w:hideMark/>
          </w:tcPr>
          <w:p w14:paraId="43BF7298"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AI literacy</w:t>
            </w:r>
          </w:p>
        </w:tc>
        <w:tc>
          <w:tcPr>
            <w:tcW w:w="2410" w:type="dxa"/>
            <w:tcBorders>
              <w:top w:val="single" w:sz="4" w:space="0" w:color="auto"/>
              <w:left w:val="nil"/>
              <w:bottom w:val="single" w:sz="4" w:space="0" w:color="auto"/>
              <w:right w:val="nil"/>
            </w:tcBorders>
            <w:shd w:val="clear" w:color="auto" w:fill="auto"/>
            <w:noWrap/>
            <w:hideMark/>
          </w:tcPr>
          <w:p w14:paraId="229C0B96"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Definitions</w:t>
            </w:r>
          </w:p>
        </w:tc>
        <w:tc>
          <w:tcPr>
            <w:tcW w:w="6329" w:type="dxa"/>
            <w:tcBorders>
              <w:top w:val="single" w:sz="4" w:space="0" w:color="auto"/>
              <w:left w:val="nil"/>
              <w:bottom w:val="single" w:sz="4" w:space="0" w:color="auto"/>
              <w:right w:val="nil"/>
            </w:tcBorders>
            <w:shd w:val="clear" w:color="auto" w:fill="auto"/>
            <w:noWrap/>
            <w:hideMark/>
          </w:tcPr>
          <w:p w14:paraId="57752F37"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Sample references</w:t>
            </w:r>
          </w:p>
        </w:tc>
      </w:tr>
      <w:tr w:rsidR="005B0D99" w:rsidRPr="00536AEB" w14:paraId="66688DCA" w14:textId="77777777" w:rsidTr="005B0D99">
        <w:trPr>
          <w:trHeight w:val="322"/>
        </w:trPr>
        <w:tc>
          <w:tcPr>
            <w:tcW w:w="1110" w:type="dxa"/>
            <w:tcBorders>
              <w:top w:val="nil"/>
              <w:left w:val="nil"/>
              <w:bottom w:val="single" w:sz="4" w:space="0" w:color="auto"/>
              <w:right w:val="nil"/>
            </w:tcBorders>
            <w:shd w:val="clear" w:color="auto" w:fill="auto"/>
            <w:noWrap/>
            <w:hideMark/>
          </w:tcPr>
          <w:p w14:paraId="54505C50" w14:textId="52EB393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Know &amp; understand A</w:t>
            </w:r>
            <w:r w:rsidR="00971C86">
              <w:rPr>
                <w:rFonts w:cs="Microsoft Sans Serif" w:hint="eastAsia"/>
                <w:color w:val="000000"/>
                <w:kern w:val="0"/>
                <w:szCs w:val="24"/>
              </w:rPr>
              <w:t>I</w:t>
            </w:r>
          </w:p>
        </w:tc>
        <w:tc>
          <w:tcPr>
            <w:tcW w:w="2410" w:type="dxa"/>
            <w:tcBorders>
              <w:top w:val="nil"/>
              <w:left w:val="nil"/>
              <w:bottom w:val="single" w:sz="4" w:space="0" w:color="auto"/>
              <w:right w:val="nil"/>
            </w:tcBorders>
            <w:shd w:val="clear" w:color="auto" w:fill="auto"/>
            <w:noWrap/>
            <w:hideMark/>
          </w:tcPr>
          <w:p w14:paraId="29F24287"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Know the basic functions of AI and how to use AI applications in everyday life ethically</w:t>
            </w:r>
          </w:p>
        </w:tc>
        <w:tc>
          <w:tcPr>
            <w:tcW w:w="6329" w:type="dxa"/>
            <w:tcBorders>
              <w:top w:val="nil"/>
              <w:left w:val="nil"/>
              <w:bottom w:val="single" w:sz="4" w:space="0" w:color="auto"/>
              <w:right w:val="nil"/>
            </w:tcBorders>
            <w:shd w:val="clear" w:color="auto" w:fill="auto"/>
            <w:noWrap/>
            <w:hideMark/>
          </w:tcPr>
          <w:p w14:paraId="4DEF0A3C"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Even though transparency in algorithms and AI in general has been acknowledged to be ethically important, the public lacks understanding of even the basic functions of AI. Efforts to make AI more comprehensible exist.</w:t>
            </w:r>
          </w:p>
        </w:tc>
      </w:tr>
      <w:tr w:rsidR="005B0D99" w:rsidRPr="00536AEB" w14:paraId="09728009" w14:textId="77777777" w:rsidTr="005B0D99">
        <w:trPr>
          <w:trHeight w:val="322"/>
        </w:trPr>
        <w:tc>
          <w:tcPr>
            <w:tcW w:w="1110" w:type="dxa"/>
            <w:tcBorders>
              <w:top w:val="nil"/>
              <w:left w:val="nil"/>
              <w:bottom w:val="single" w:sz="4" w:space="0" w:color="auto"/>
              <w:right w:val="nil"/>
            </w:tcBorders>
            <w:shd w:val="clear" w:color="auto" w:fill="auto"/>
            <w:noWrap/>
            <w:hideMark/>
          </w:tcPr>
          <w:p w14:paraId="54147119"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Apply AI</w:t>
            </w:r>
          </w:p>
        </w:tc>
        <w:tc>
          <w:tcPr>
            <w:tcW w:w="2410" w:type="dxa"/>
            <w:tcBorders>
              <w:top w:val="nil"/>
              <w:left w:val="nil"/>
              <w:bottom w:val="single" w:sz="4" w:space="0" w:color="auto"/>
              <w:right w:val="nil"/>
            </w:tcBorders>
            <w:shd w:val="clear" w:color="auto" w:fill="auto"/>
            <w:noWrap/>
            <w:hideMark/>
          </w:tcPr>
          <w:p w14:paraId="2F43A972"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Applying AI knowledge, concepts and applications in different scenarios</w:t>
            </w:r>
          </w:p>
        </w:tc>
        <w:tc>
          <w:tcPr>
            <w:tcW w:w="6329" w:type="dxa"/>
            <w:tcBorders>
              <w:top w:val="nil"/>
              <w:left w:val="nil"/>
              <w:bottom w:val="single" w:sz="4" w:space="0" w:color="auto"/>
              <w:right w:val="nil"/>
            </w:tcBorders>
            <w:shd w:val="clear" w:color="auto" w:fill="auto"/>
            <w:noWrap/>
            <w:hideMark/>
          </w:tcPr>
          <w:p w14:paraId="51C83A54"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Apply k-means clustering in science contexts… explore the mapping relationship between facial features and data values and apply the concept to brainstorm other objects such as Lego</w:t>
            </w:r>
            <w:r w:rsidRPr="00536AEB">
              <w:rPr>
                <w:rFonts w:cs="Microsoft Sans Serif" w:hint="eastAsia"/>
                <w:color w:val="000000"/>
                <w:kern w:val="0"/>
                <w:szCs w:val="24"/>
              </w:rPr>
              <w:t>.</w:t>
            </w:r>
          </w:p>
        </w:tc>
      </w:tr>
      <w:tr w:rsidR="005B0D99" w:rsidRPr="00536AEB" w14:paraId="1CA943A1" w14:textId="77777777" w:rsidTr="005B0D99">
        <w:trPr>
          <w:trHeight w:val="322"/>
        </w:trPr>
        <w:tc>
          <w:tcPr>
            <w:tcW w:w="1110" w:type="dxa"/>
            <w:tcBorders>
              <w:top w:val="nil"/>
              <w:left w:val="nil"/>
              <w:bottom w:val="single" w:sz="4" w:space="0" w:color="auto"/>
              <w:right w:val="nil"/>
            </w:tcBorders>
            <w:shd w:val="clear" w:color="auto" w:fill="auto"/>
            <w:noWrap/>
            <w:hideMark/>
          </w:tcPr>
          <w:p w14:paraId="08A692BE"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Evaluate &amp; create AI</w:t>
            </w:r>
          </w:p>
        </w:tc>
        <w:tc>
          <w:tcPr>
            <w:tcW w:w="2410" w:type="dxa"/>
            <w:tcBorders>
              <w:top w:val="nil"/>
              <w:left w:val="nil"/>
              <w:bottom w:val="single" w:sz="4" w:space="0" w:color="auto"/>
              <w:right w:val="nil"/>
            </w:tcBorders>
            <w:shd w:val="clear" w:color="auto" w:fill="auto"/>
            <w:noWrap/>
            <w:hideMark/>
          </w:tcPr>
          <w:p w14:paraId="795842B6"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Higher-order thinking skills (e.g., evaluate, appraise, predict, design) with AI applications</w:t>
            </w:r>
          </w:p>
        </w:tc>
        <w:tc>
          <w:tcPr>
            <w:tcW w:w="6329" w:type="dxa"/>
            <w:tcBorders>
              <w:top w:val="nil"/>
              <w:left w:val="nil"/>
              <w:bottom w:val="single" w:sz="4" w:space="0" w:color="auto"/>
              <w:right w:val="nil"/>
            </w:tcBorders>
            <w:shd w:val="clear" w:color="auto" w:fill="auto"/>
            <w:noWrap/>
            <w:hideMark/>
          </w:tcPr>
          <w:p w14:paraId="4A042917"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Design &amp; build experiences: Technology exploration and creation activities supported students in making sense of the underlying AI concepts</w:t>
            </w:r>
            <w:r w:rsidRPr="00536AEB">
              <w:rPr>
                <w:rFonts w:cs="Microsoft Sans Serif" w:hint="eastAsia"/>
                <w:color w:val="000000"/>
                <w:kern w:val="0"/>
                <w:szCs w:val="24"/>
              </w:rPr>
              <w:t>.</w:t>
            </w:r>
          </w:p>
        </w:tc>
      </w:tr>
      <w:tr w:rsidR="005B0D99" w:rsidRPr="00536AEB" w14:paraId="670F8B4A" w14:textId="77777777" w:rsidTr="005B0D99">
        <w:trPr>
          <w:trHeight w:val="322"/>
        </w:trPr>
        <w:tc>
          <w:tcPr>
            <w:tcW w:w="1110" w:type="dxa"/>
            <w:tcBorders>
              <w:top w:val="nil"/>
              <w:left w:val="nil"/>
              <w:bottom w:val="single" w:sz="4" w:space="0" w:color="auto"/>
              <w:right w:val="nil"/>
            </w:tcBorders>
            <w:shd w:val="clear" w:color="auto" w:fill="auto"/>
            <w:noWrap/>
            <w:hideMark/>
          </w:tcPr>
          <w:p w14:paraId="24943D06"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AI ethics</w:t>
            </w:r>
          </w:p>
        </w:tc>
        <w:tc>
          <w:tcPr>
            <w:tcW w:w="2410" w:type="dxa"/>
            <w:tcBorders>
              <w:top w:val="nil"/>
              <w:left w:val="nil"/>
              <w:bottom w:val="single" w:sz="4" w:space="0" w:color="auto"/>
              <w:right w:val="nil"/>
            </w:tcBorders>
            <w:shd w:val="clear" w:color="auto" w:fill="auto"/>
            <w:noWrap/>
            <w:hideMark/>
          </w:tcPr>
          <w:p w14:paraId="65F5D83C"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Human-centered considerations (e.g., Fairness, Accountability, Transparency, Ethics)</w:t>
            </w:r>
          </w:p>
        </w:tc>
        <w:tc>
          <w:tcPr>
            <w:tcW w:w="6329" w:type="dxa"/>
            <w:tcBorders>
              <w:top w:val="nil"/>
              <w:left w:val="nil"/>
              <w:bottom w:val="single" w:sz="4" w:space="0" w:color="auto"/>
              <w:right w:val="nil"/>
            </w:tcBorders>
            <w:shd w:val="clear" w:color="auto" w:fill="auto"/>
            <w:noWrap/>
            <w:hideMark/>
          </w:tcPr>
          <w:p w14:paraId="23755376" w14:textId="77777777" w:rsidR="005B0D99" w:rsidRPr="00536AEB" w:rsidRDefault="005B0D99" w:rsidP="00293029">
            <w:pPr>
              <w:widowControl/>
              <w:snapToGrid w:val="0"/>
              <w:rPr>
                <w:rFonts w:cs="Microsoft Sans Serif"/>
                <w:color w:val="000000"/>
                <w:kern w:val="0"/>
                <w:szCs w:val="24"/>
              </w:rPr>
            </w:pPr>
            <w:r w:rsidRPr="00536AEB">
              <w:rPr>
                <w:rFonts w:cs="Microsoft Sans Serif"/>
                <w:color w:val="000000"/>
                <w:kern w:val="0"/>
                <w:szCs w:val="24"/>
              </w:rPr>
              <w:t>“AI for social good” measures an individual’s perception of the social environment surrounding the behavior, which is related to subjective norms</w:t>
            </w:r>
            <w:r w:rsidRPr="00536AEB">
              <w:rPr>
                <w:rFonts w:cs="Microsoft Sans Serif" w:hint="eastAsia"/>
                <w:color w:val="000000"/>
                <w:kern w:val="0"/>
                <w:szCs w:val="24"/>
              </w:rPr>
              <w:t>.</w:t>
            </w:r>
          </w:p>
        </w:tc>
      </w:tr>
    </w:tbl>
    <w:p w14:paraId="1BEAFD04" w14:textId="20F93269" w:rsidR="00B22650" w:rsidRPr="005B0D99" w:rsidRDefault="00B22650" w:rsidP="005B0D99"/>
    <w:p w14:paraId="42BCEF79" w14:textId="071E0D3F" w:rsidR="00ED799B" w:rsidRDefault="00ED799B" w:rsidP="00ED799B">
      <w:r>
        <w:rPr>
          <w:rFonts w:hint="eastAsia"/>
        </w:rPr>
        <w:t>而在教育方面，</w:t>
      </w:r>
      <w:r>
        <w:rPr>
          <w:rFonts w:hint="eastAsia"/>
        </w:rPr>
        <w:t>AI Literacy</w:t>
      </w:r>
      <w:r>
        <w:rPr>
          <w:rFonts w:hint="eastAsia"/>
        </w:rPr>
        <w:t>指的是通過建立邏輯和演算法，支援教師理解如何運用他們的知識來解決問題、處理非結構化資料及語義問題</w:t>
      </w:r>
      <w:r>
        <w:rPr>
          <w:rFonts w:hint="eastAsia"/>
        </w:rPr>
        <w:t>(Zawacki-Richter, et al</w:t>
      </w:r>
      <w:r w:rsidR="00391C1B">
        <w:t>.</w:t>
      </w:r>
      <w:r>
        <w:rPr>
          <w:rFonts w:hint="eastAsia"/>
        </w:rPr>
        <w:t>, 2019; Vazhayil, et al</w:t>
      </w:r>
      <w:r w:rsidR="00885C16">
        <w:t>.</w:t>
      </w:r>
      <w:r>
        <w:rPr>
          <w:rFonts w:hint="eastAsia"/>
        </w:rPr>
        <w:t>, 2019)</w:t>
      </w:r>
      <w:r>
        <w:rPr>
          <w:rFonts w:hint="eastAsia"/>
        </w:rPr>
        <w:t>，用於類比和擴展人類智慧。這些挑戰與利用電腦來理解或模仿人類智慧有關，而不必依賴任何特定的邏輯順序或演算法</w:t>
      </w:r>
      <w:r>
        <w:rPr>
          <w:rFonts w:hint="eastAsia"/>
        </w:rPr>
        <w:t>(Bjola, 2022; Raisch &amp; Krakowski, 2021)</w:t>
      </w:r>
      <w:r>
        <w:rPr>
          <w:rFonts w:hint="eastAsia"/>
        </w:rPr>
        <w:t>。教育組成部分包括認知、心理運動和情感領域，以及知識、技能和態度的教育劃分</w:t>
      </w:r>
      <w:r>
        <w:rPr>
          <w:rFonts w:hint="eastAsia"/>
        </w:rPr>
        <w:t>(Kong, et al, 2021; Agha, et al, 2022)</w:t>
      </w:r>
      <w:r>
        <w:rPr>
          <w:rFonts w:hint="eastAsia"/>
        </w:rPr>
        <w:t>。在過去，資訊通信技術課程</w:t>
      </w:r>
      <w:r>
        <w:rPr>
          <w:rFonts w:hint="eastAsia"/>
        </w:rPr>
        <w:t>(ICT)</w:t>
      </w:r>
      <w:r>
        <w:rPr>
          <w:rFonts w:hint="eastAsia"/>
        </w:rPr>
        <w:t>主要是為促進教師的教育和專業發展，這些課程通常會納入教師培訓的初期階段，透過前置策略為教師們提供必要的知識和技能培訓，使他們能夠滿足課程評估的要求，像是為學校實際教學工作設計「融入科技」的學習課程，並有效運用</w:t>
      </w:r>
      <w:r>
        <w:rPr>
          <w:rFonts w:hint="eastAsia"/>
        </w:rPr>
        <w:t>AI</w:t>
      </w:r>
      <w:r>
        <w:rPr>
          <w:rFonts w:hint="eastAsia"/>
        </w:rPr>
        <w:t>等新興技術來支持未來的教學職涯發展</w:t>
      </w:r>
      <w:r>
        <w:rPr>
          <w:rFonts w:hint="eastAsia"/>
        </w:rPr>
        <w:t>(Burns, et al</w:t>
      </w:r>
      <w:r w:rsidR="007F0CA7">
        <w:t>.</w:t>
      </w:r>
      <w:r>
        <w:rPr>
          <w:rFonts w:hint="eastAsia"/>
        </w:rPr>
        <w:t>, 2013)</w:t>
      </w:r>
      <w:r>
        <w:rPr>
          <w:rFonts w:hint="eastAsia"/>
        </w:rPr>
        <w:t>。而具備</w:t>
      </w:r>
      <w:r>
        <w:rPr>
          <w:rFonts w:hint="eastAsia"/>
        </w:rPr>
        <w:t>AI</w:t>
      </w:r>
      <w:r>
        <w:rPr>
          <w:rFonts w:hint="eastAsia"/>
        </w:rPr>
        <w:t>思維的教師可以通過電腦使用先進的智慧技術，以新穎的方式向學生或同事傳授新知識和技能</w:t>
      </w:r>
      <w:r w:rsidR="00E75EC5" w:rsidRPr="00E75EC5">
        <w:t>(Hu &amp; Xu, 2021)</w:t>
      </w:r>
      <w:r>
        <w:rPr>
          <w:rFonts w:hint="eastAsia"/>
        </w:rPr>
        <w:t>。</w:t>
      </w:r>
      <w:r>
        <w:rPr>
          <w:rFonts w:hint="eastAsia"/>
        </w:rPr>
        <w:t>Long, et al.(2019)</w:t>
      </w:r>
      <w:r>
        <w:rPr>
          <w:rFonts w:hint="eastAsia"/>
        </w:rPr>
        <w:t>藉由共同創建</w:t>
      </w:r>
      <w:r>
        <w:rPr>
          <w:rFonts w:hint="eastAsia"/>
        </w:rPr>
        <w:t>AI</w:t>
      </w:r>
      <w:r>
        <w:rPr>
          <w:rFonts w:hint="eastAsia"/>
        </w:rPr>
        <w:t>設施拓寬</w:t>
      </w:r>
      <w:r>
        <w:rPr>
          <w:rFonts w:hint="eastAsia"/>
        </w:rPr>
        <w:t>AI Literacy</w:t>
      </w:r>
      <w:r>
        <w:rPr>
          <w:rFonts w:hint="eastAsia"/>
        </w:rPr>
        <w:t>經驗。</w:t>
      </w:r>
      <w:r>
        <w:rPr>
          <w:rFonts w:hint="eastAsia"/>
        </w:rPr>
        <w:t>How, et al.(2019)</w:t>
      </w:r>
      <w:r>
        <w:rPr>
          <w:rFonts w:hint="eastAsia"/>
        </w:rPr>
        <w:t>指出通過計算進行資料分析，使教師能夠運用機器學習，從資料中的隱藏模式中發現新知識。這便是</w:t>
      </w:r>
      <w:r>
        <w:rPr>
          <w:rFonts w:hint="eastAsia"/>
        </w:rPr>
        <w:t>AI Literacy</w:t>
      </w:r>
      <w:r>
        <w:rPr>
          <w:rFonts w:hint="eastAsia"/>
        </w:rPr>
        <w:t>的實際應用。</w:t>
      </w:r>
      <w:r>
        <w:rPr>
          <w:rFonts w:hint="eastAsia"/>
        </w:rPr>
        <w:t>AI</w:t>
      </w:r>
      <w:r>
        <w:rPr>
          <w:rFonts w:hint="eastAsia"/>
        </w:rPr>
        <w:t>的漸進式進步可以根據環境和規則集進行學習和適應，模擬人類智慧。而這也為轉變教育模式提供多種好處</w:t>
      </w:r>
      <w:r>
        <w:rPr>
          <w:rFonts w:hint="eastAsia"/>
        </w:rPr>
        <w:t>(Vestrucci,</w:t>
      </w:r>
      <w:r w:rsidR="00E75EC5">
        <w:rPr>
          <w:rFonts w:hint="eastAsia"/>
        </w:rPr>
        <w:t xml:space="preserve"> </w:t>
      </w:r>
      <w:r w:rsidR="00E75EC5">
        <w:t>et al.,</w:t>
      </w:r>
      <w:r>
        <w:rPr>
          <w:rFonts w:hint="eastAsia"/>
        </w:rPr>
        <w:t xml:space="preserve"> 2021)</w:t>
      </w:r>
      <w:r>
        <w:rPr>
          <w:rFonts w:hint="eastAsia"/>
        </w:rPr>
        <w:t>。在</w:t>
      </w:r>
      <w:r>
        <w:rPr>
          <w:rFonts w:hint="eastAsia"/>
        </w:rPr>
        <w:t>K-12</w:t>
      </w:r>
      <w:r>
        <w:rPr>
          <w:rFonts w:hint="eastAsia"/>
        </w:rPr>
        <w:t>教育中，</w:t>
      </w:r>
      <w:r>
        <w:rPr>
          <w:rFonts w:hint="eastAsia"/>
        </w:rPr>
        <w:t>Druga, et al.(2019)</w:t>
      </w:r>
      <w:r>
        <w:rPr>
          <w:rFonts w:hint="eastAsia"/>
        </w:rPr>
        <w:t>設計了培養</w:t>
      </w:r>
      <w:r>
        <w:rPr>
          <w:rFonts w:hint="eastAsia"/>
        </w:rPr>
        <w:t>AI Literacy</w:t>
      </w:r>
      <w:r>
        <w:rPr>
          <w:rFonts w:hint="eastAsia"/>
        </w:rPr>
        <w:t>的學習課程和活動，強調了教育學習者在不同情境中應用</w:t>
      </w:r>
      <w:r>
        <w:rPr>
          <w:rFonts w:hint="eastAsia"/>
        </w:rPr>
        <w:t>AI</w:t>
      </w:r>
      <w:r>
        <w:rPr>
          <w:rFonts w:hint="eastAsia"/>
        </w:rPr>
        <w:t>概念和應用的重要性。</w:t>
      </w:r>
      <w:r>
        <w:rPr>
          <w:rFonts w:hint="eastAsia"/>
        </w:rPr>
        <w:t>Han, et al.(2018)</w:t>
      </w:r>
      <w:r>
        <w:rPr>
          <w:rFonts w:hint="eastAsia"/>
        </w:rPr>
        <w:t>增強了學生的科學和技術知識，然後將其應用於基於科學研究的學習中，以解決實際問題。</w:t>
      </w:r>
    </w:p>
    <w:p w14:paraId="6D8393A7" w14:textId="77777777" w:rsidR="000A7FC9" w:rsidRDefault="000A7FC9" w:rsidP="00ED799B"/>
    <w:p w14:paraId="44566450" w14:textId="6661D13C" w:rsidR="00ED799B" w:rsidRDefault="00ED799B" w:rsidP="00ED799B">
      <w:r>
        <w:rPr>
          <w:rFonts w:hint="eastAsia"/>
        </w:rPr>
        <w:t>現今許多教師已經接觸到</w:t>
      </w:r>
      <w:r>
        <w:rPr>
          <w:rFonts w:hint="eastAsia"/>
        </w:rPr>
        <w:t>AI</w:t>
      </w:r>
      <w:r>
        <w:rPr>
          <w:rFonts w:hint="eastAsia"/>
        </w:rPr>
        <w:t>功能的技術環境，但並沒有足夠的資源來發展瞭解和理解</w:t>
      </w:r>
      <w:r>
        <w:rPr>
          <w:rFonts w:hint="eastAsia"/>
        </w:rPr>
        <w:t>AI</w:t>
      </w:r>
      <w:r>
        <w:rPr>
          <w:rFonts w:hint="eastAsia"/>
        </w:rPr>
        <w:t>的</w:t>
      </w:r>
      <w:r>
        <w:rPr>
          <w:rFonts w:hint="eastAsia"/>
        </w:rPr>
        <w:t>AI</w:t>
      </w:r>
      <w:r>
        <w:rPr>
          <w:rFonts w:hint="eastAsia"/>
        </w:rPr>
        <w:t>素養，他們並不瞭解如資料結構、計算思維或計算方法等</w:t>
      </w:r>
      <w:r>
        <w:rPr>
          <w:rFonts w:hint="eastAsia"/>
        </w:rPr>
        <w:t>AI</w:t>
      </w:r>
      <w:r>
        <w:rPr>
          <w:rFonts w:hint="eastAsia"/>
        </w:rPr>
        <w:t>的基本概念。主要原因在於多數教師本身就沒有接受過</w:t>
      </w:r>
      <w:r>
        <w:rPr>
          <w:rFonts w:hint="eastAsia"/>
        </w:rPr>
        <w:t>AI</w:t>
      </w:r>
      <w:r>
        <w:rPr>
          <w:rFonts w:hint="eastAsia"/>
        </w:rPr>
        <w:t>教育，他們以前的技術沒能幫助他們更好地瞭解和理解</w:t>
      </w:r>
      <w:r>
        <w:rPr>
          <w:rFonts w:hint="eastAsia"/>
        </w:rPr>
        <w:t>AI</w:t>
      </w:r>
      <w:r>
        <w:rPr>
          <w:rFonts w:hint="eastAsia"/>
        </w:rPr>
        <w:t>。</w:t>
      </w:r>
      <w:r>
        <w:rPr>
          <w:rFonts w:hint="eastAsia"/>
        </w:rPr>
        <w:t>glesias-Pradas, et al.(2021)</w:t>
      </w:r>
      <w:r>
        <w:rPr>
          <w:rFonts w:hint="eastAsia"/>
        </w:rPr>
        <w:t>也指出許多教師培訓平臺缺乏支持協作探究</w:t>
      </w:r>
      <w:r>
        <w:rPr>
          <w:rFonts w:hint="eastAsia"/>
        </w:rPr>
        <w:t>AI</w:t>
      </w:r>
      <w:r>
        <w:rPr>
          <w:rFonts w:hint="eastAsia"/>
        </w:rPr>
        <w:t>的適當課程，缺乏有效分析資料或將</w:t>
      </w:r>
      <w:r>
        <w:rPr>
          <w:rFonts w:hint="eastAsia"/>
        </w:rPr>
        <w:t>AI</w:t>
      </w:r>
      <w:r>
        <w:rPr>
          <w:rFonts w:hint="eastAsia"/>
        </w:rPr>
        <w:t>整合到教學設計中的能力</w:t>
      </w:r>
      <w:r>
        <w:rPr>
          <w:rFonts w:hint="eastAsia"/>
        </w:rPr>
        <w:t>(Yang, et al</w:t>
      </w:r>
      <w:r w:rsidR="00B44B52">
        <w:rPr>
          <w:rFonts w:hint="eastAsia"/>
        </w:rPr>
        <w:t>.</w:t>
      </w:r>
      <w:r>
        <w:rPr>
          <w:rFonts w:hint="eastAsia"/>
        </w:rPr>
        <w:t>, 2021; Wang, et al</w:t>
      </w:r>
      <w:r w:rsidR="00B44B52">
        <w:rPr>
          <w:rFonts w:hint="eastAsia"/>
        </w:rPr>
        <w:t>.</w:t>
      </w:r>
      <w:r>
        <w:rPr>
          <w:rFonts w:hint="eastAsia"/>
        </w:rPr>
        <w:t>, 2021)</w:t>
      </w:r>
      <w:r>
        <w:rPr>
          <w:rFonts w:hint="eastAsia"/>
        </w:rPr>
        <w:t>，同時教</w:t>
      </w:r>
      <w:r>
        <w:rPr>
          <w:rFonts w:hint="eastAsia"/>
        </w:rPr>
        <w:lastRenderedPageBreak/>
        <w:t>師本身對</w:t>
      </w:r>
      <w:r>
        <w:rPr>
          <w:rFonts w:hint="eastAsia"/>
        </w:rPr>
        <w:t>AI</w:t>
      </w:r>
      <w:r>
        <w:rPr>
          <w:rFonts w:hint="eastAsia"/>
        </w:rPr>
        <w:t>潛力的信念也被證明較差</w:t>
      </w:r>
      <w:r>
        <w:rPr>
          <w:rFonts w:hint="eastAsia"/>
        </w:rPr>
        <w:t>(Vazhayil, et al</w:t>
      </w:r>
      <w:r w:rsidR="00B22764">
        <w:rPr>
          <w:rFonts w:hint="eastAsia"/>
        </w:rPr>
        <w:t>.</w:t>
      </w:r>
      <w:r>
        <w:rPr>
          <w:rFonts w:hint="eastAsia"/>
        </w:rPr>
        <w:t>, 2019)</w:t>
      </w:r>
      <w:r>
        <w:rPr>
          <w:rFonts w:hint="eastAsia"/>
        </w:rPr>
        <w:t>，而近年突如其來的</w:t>
      </w:r>
      <w:r>
        <w:rPr>
          <w:rFonts w:hint="eastAsia"/>
        </w:rPr>
        <w:t>AI</w:t>
      </w:r>
      <w:r>
        <w:rPr>
          <w:rFonts w:hint="eastAsia"/>
        </w:rPr>
        <w:t>教育發展也對教育的持續性提出了挑戰。隨著</w:t>
      </w:r>
      <w:r>
        <w:rPr>
          <w:rFonts w:hint="eastAsia"/>
        </w:rPr>
        <w:t>AI</w:t>
      </w:r>
      <w:r>
        <w:rPr>
          <w:rFonts w:hint="eastAsia"/>
        </w:rPr>
        <w:t>融入日常生活的各個方面，如何更好地準備課程，高效地在學校中使用智慧技術已成為一個持久的問題</w:t>
      </w:r>
      <w:r>
        <w:rPr>
          <w:rFonts w:hint="eastAsia"/>
        </w:rPr>
        <w:t>(Gallardo-Montes, et al</w:t>
      </w:r>
      <w:r w:rsidR="00AA3DC1">
        <w:rPr>
          <w:rFonts w:hint="eastAsia"/>
        </w:rPr>
        <w:t>.</w:t>
      </w:r>
      <w:r>
        <w:rPr>
          <w:rFonts w:hint="eastAsia"/>
        </w:rPr>
        <w:t>, 202</w:t>
      </w:r>
      <w:r w:rsidR="00AA3DC1">
        <w:rPr>
          <w:rFonts w:hint="eastAsia"/>
        </w:rPr>
        <w:t>2</w:t>
      </w:r>
      <w:r>
        <w:rPr>
          <w:rFonts w:hint="eastAsia"/>
        </w:rPr>
        <w:t>)</w:t>
      </w:r>
      <w:r>
        <w:rPr>
          <w:rFonts w:hint="eastAsia"/>
        </w:rPr>
        <w:t>。對學生來說，知道</w:t>
      </w:r>
      <w:r>
        <w:rPr>
          <w:rFonts w:hint="eastAsia"/>
        </w:rPr>
        <w:t>AI</w:t>
      </w:r>
      <w:r>
        <w:rPr>
          <w:rFonts w:hint="eastAsia"/>
        </w:rPr>
        <w:t>驅動的服務並深入了解對他們未來的職業生涯將非常重要</w:t>
      </w:r>
      <w:r>
        <w:rPr>
          <w:rFonts w:hint="eastAsia"/>
        </w:rPr>
        <w:t>(Burgsteiner, et al</w:t>
      </w:r>
      <w:r w:rsidR="00C30800">
        <w:rPr>
          <w:rFonts w:hint="eastAsia"/>
        </w:rPr>
        <w:t>.</w:t>
      </w:r>
      <w:r>
        <w:rPr>
          <w:rFonts w:hint="eastAsia"/>
        </w:rPr>
        <w:t>, 201</w:t>
      </w:r>
      <w:r w:rsidR="00E57FD0">
        <w:rPr>
          <w:rFonts w:hint="eastAsia"/>
        </w:rPr>
        <w:t>6</w:t>
      </w:r>
      <w:r>
        <w:rPr>
          <w:rFonts w:hint="eastAsia"/>
        </w:rPr>
        <w:t xml:space="preserve">) </w:t>
      </w:r>
      <w:r>
        <w:rPr>
          <w:rFonts w:hint="eastAsia"/>
        </w:rPr>
        <w:t>。</w:t>
      </w:r>
      <w:r>
        <w:rPr>
          <w:rFonts w:hint="eastAsia"/>
        </w:rPr>
        <w:t>Batanero, et al. (2019)</w:t>
      </w:r>
      <w:r>
        <w:rPr>
          <w:rFonts w:hint="eastAsia"/>
        </w:rPr>
        <w:t>呼籲基於不同的學科和要求中加強</w:t>
      </w:r>
      <w:r>
        <w:rPr>
          <w:rFonts w:hint="eastAsia"/>
        </w:rPr>
        <w:t>AI</w:t>
      </w:r>
      <w:r>
        <w:rPr>
          <w:rFonts w:hint="eastAsia"/>
        </w:rPr>
        <w:t>培訓，從而強調多樣性的教師，以提高其水準。</w:t>
      </w:r>
    </w:p>
    <w:p w14:paraId="415330E5" w14:textId="77777777" w:rsidR="00ED799B" w:rsidRDefault="00ED799B" w:rsidP="00ED799B"/>
    <w:p w14:paraId="2D547FB8" w14:textId="7792AD8C" w:rsidR="00B22650" w:rsidRDefault="00ED799B" w:rsidP="00ED799B">
      <w:r>
        <w:rPr>
          <w:rFonts w:hint="eastAsia"/>
        </w:rPr>
        <w:t>除了在實踐中理解和使用</w:t>
      </w:r>
      <w:r>
        <w:rPr>
          <w:rFonts w:hint="eastAsia"/>
        </w:rPr>
        <w:t>AI</w:t>
      </w:r>
      <w:r>
        <w:rPr>
          <w:rFonts w:hint="eastAsia"/>
        </w:rPr>
        <w:t>概念，</w:t>
      </w:r>
      <w:r>
        <w:rPr>
          <w:rFonts w:hint="eastAsia"/>
        </w:rPr>
        <w:t>AI Literacy</w:t>
      </w:r>
      <w:r>
        <w:rPr>
          <w:rFonts w:hint="eastAsia"/>
        </w:rPr>
        <w:t>還擴展到其他兩種能力：「正確批判性地評估</w:t>
      </w:r>
      <w:r>
        <w:rPr>
          <w:rFonts w:hint="eastAsia"/>
        </w:rPr>
        <w:t>AI</w:t>
      </w:r>
      <w:r>
        <w:rPr>
          <w:rFonts w:hint="eastAsia"/>
        </w:rPr>
        <w:t>技術」與「跟</w:t>
      </w:r>
      <w:r>
        <w:rPr>
          <w:rFonts w:hint="eastAsia"/>
        </w:rPr>
        <w:t>AI</w:t>
      </w:r>
      <w:r>
        <w:rPr>
          <w:rFonts w:hint="eastAsia"/>
        </w:rPr>
        <w:t>進行有效的溝通和合作」</w:t>
      </w:r>
      <w:r>
        <w:rPr>
          <w:rFonts w:hint="eastAsia"/>
        </w:rPr>
        <w:t xml:space="preserve"> (Long, et al</w:t>
      </w:r>
      <w:r w:rsidR="00E47447">
        <w:rPr>
          <w:rFonts w:hint="eastAsia"/>
        </w:rPr>
        <w:t>.</w:t>
      </w:r>
      <w:r>
        <w:rPr>
          <w:rFonts w:hint="eastAsia"/>
        </w:rPr>
        <w:t>, 20</w:t>
      </w:r>
      <w:r w:rsidR="00D36B1B">
        <w:rPr>
          <w:rFonts w:hint="eastAsia"/>
        </w:rPr>
        <w:t>19</w:t>
      </w:r>
      <w:r>
        <w:rPr>
          <w:rFonts w:hint="eastAsia"/>
        </w:rPr>
        <w:t>)</w:t>
      </w:r>
      <w:r>
        <w:rPr>
          <w:rFonts w:hint="eastAsia"/>
        </w:rPr>
        <w:t>。學習這些基本素養的目的，是為了能夠將它們付諸實際運用</w:t>
      </w:r>
      <w:r>
        <w:rPr>
          <w:rFonts w:hint="eastAsia"/>
        </w:rPr>
        <w:t>(Zawacki-Richter, et al</w:t>
      </w:r>
      <w:r w:rsidR="00E47447">
        <w:rPr>
          <w:rFonts w:hint="eastAsia"/>
        </w:rPr>
        <w:t>.</w:t>
      </w:r>
      <w:r>
        <w:rPr>
          <w:rFonts w:hint="eastAsia"/>
        </w:rPr>
        <w:t>, 2019)</w:t>
      </w:r>
      <w:r>
        <w:rPr>
          <w:rFonts w:hint="eastAsia"/>
        </w:rPr>
        <w:t>。一些學者設計了促進</w:t>
      </w:r>
      <w:r>
        <w:rPr>
          <w:rFonts w:hint="eastAsia"/>
        </w:rPr>
        <w:t>AI Literacy</w:t>
      </w:r>
      <w:r>
        <w:rPr>
          <w:rFonts w:hint="eastAsia"/>
        </w:rPr>
        <w:t>的學習課程和活動，關注教師學習</w:t>
      </w:r>
      <w:r>
        <w:rPr>
          <w:rFonts w:hint="eastAsia"/>
        </w:rPr>
        <w:t>AI</w:t>
      </w:r>
      <w:r>
        <w:rPr>
          <w:rFonts w:hint="eastAsia"/>
        </w:rPr>
        <w:t>概念的方式以及理解</w:t>
      </w:r>
      <w:r>
        <w:rPr>
          <w:rFonts w:hint="eastAsia"/>
        </w:rPr>
        <w:t>AI(Cope, et al</w:t>
      </w:r>
      <w:r w:rsidR="00E47447">
        <w:rPr>
          <w:rFonts w:hint="eastAsia"/>
        </w:rPr>
        <w:t>.</w:t>
      </w:r>
      <w:r>
        <w:rPr>
          <w:rFonts w:hint="eastAsia"/>
        </w:rPr>
        <w:t xml:space="preserve">, 2021; </w:t>
      </w:r>
      <w:r w:rsidR="00E47447" w:rsidRPr="00E47447">
        <w:t>Shanthamallu &amp; Spanias</w:t>
      </w:r>
      <w:r>
        <w:rPr>
          <w:rFonts w:hint="eastAsia"/>
        </w:rPr>
        <w:t>, 202</w:t>
      </w:r>
      <w:r w:rsidR="00E47447">
        <w:rPr>
          <w:rFonts w:hint="eastAsia"/>
        </w:rPr>
        <w:t>1</w:t>
      </w:r>
      <w:r>
        <w:rPr>
          <w:rFonts w:hint="eastAsia"/>
        </w:rPr>
        <w:t>)</w:t>
      </w:r>
      <w:r>
        <w:rPr>
          <w:rFonts w:hint="eastAsia"/>
        </w:rPr>
        <w:t>。能夠適當評估</w:t>
      </w:r>
      <w:r>
        <w:rPr>
          <w:rFonts w:hint="eastAsia"/>
        </w:rPr>
        <w:t>AI</w:t>
      </w:r>
      <w:r>
        <w:rPr>
          <w:rFonts w:hint="eastAsia"/>
        </w:rPr>
        <w:t>應用的教師可以以新的方式通知、支援、操縱和分類</w:t>
      </w:r>
      <w:r>
        <w:rPr>
          <w:rFonts w:hint="eastAsia"/>
        </w:rPr>
        <w:t>AI</w:t>
      </w:r>
      <w:r>
        <w:rPr>
          <w:rFonts w:hint="eastAsia"/>
        </w:rPr>
        <w:t>概念</w:t>
      </w:r>
      <w:r>
        <w:rPr>
          <w:rFonts w:hint="eastAsia"/>
        </w:rPr>
        <w:t>(Huang, 2021)</w:t>
      </w:r>
      <w:r>
        <w:rPr>
          <w:rFonts w:hint="eastAsia"/>
        </w:rPr>
        <w:t>，還可以增強教師本身使用</w:t>
      </w:r>
      <w:r>
        <w:rPr>
          <w:rFonts w:hint="eastAsia"/>
        </w:rPr>
        <w:t>AI</w:t>
      </w:r>
      <w:r>
        <w:rPr>
          <w:rFonts w:hint="eastAsia"/>
        </w:rPr>
        <w:t>進行教學的動機和興趣</w:t>
      </w:r>
      <w:r>
        <w:rPr>
          <w:rFonts w:hint="eastAsia"/>
        </w:rPr>
        <w:t>(Rapanta, et al</w:t>
      </w:r>
      <w:r w:rsidR="00851B46">
        <w:rPr>
          <w:rFonts w:hint="eastAsia"/>
        </w:rPr>
        <w:t>.</w:t>
      </w:r>
      <w:r>
        <w:rPr>
          <w:rFonts w:hint="eastAsia"/>
        </w:rPr>
        <w:t>, 2020)</w:t>
      </w:r>
      <w:r>
        <w:rPr>
          <w:rFonts w:hint="eastAsia"/>
        </w:rPr>
        <w:t>。作為教師，對於</w:t>
      </w:r>
      <w:r>
        <w:rPr>
          <w:rFonts w:hint="eastAsia"/>
        </w:rPr>
        <w:t>AI iteracy</w:t>
      </w:r>
      <w:r>
        <w:rPr>
          <w:rFonts w:hint="eastAsia"/>
        </w:rPr>
        <w:t>的基本概念、知識、資訊和態度，都需要抱持有一定的瞭解。雖然每個研究對於</w:t>
      </w:r>
      <w:r>
        <w:rPr>
          <w:rFonts w:hint="eastAsia"/>
        </w:rPr>
        <w:t>AI literacy</w:t>
      </w:r>
      <w:r>
        <w:rPr>
          <w:rFonts w:hint="eastAsia"/>
        </w:rPr>
        <w:t>的定義略有不同，但它們支持每個人</w:t>
      </w:r>
      <w:r>
        <w:rPr>
          <w:rFonts w:hint="eastAsia"/>
        </w:rPr>
        <w:t>(</w:t>
      </w:r>
      <w:r>
        <w:rPr>
          <w:rFonts w:hint="eastAsia"/>
        </w:rPr>
        <w:t>特別是</w:t>
      </w:r>
      <w:r>
        <w:rPr>
          <w:rFonts w:hint="eastAsia"/>
        </w:rPr>
        <w:t>K-12</w:t>
      </w:r>
      <w:r>
        <w:rPr>
          <w:rFonts w:hint="eastAsia"/>
        </w:rPr>
        <w:t>兒童</w:t>
      </w:r>
      <w:r>
        <w:rPr>
          <w:rFonts w:hint="eastAsia"/>
        </w:rPr>
        <w:t>)</w:t>
      </w:r>
      <w:r>
        <w:rPr>
          <w:rFonts w:hint="eastAsia"/>
        </w:rPr>
        <w:t>獲得基本的</w:t>
      </w:r>
      <w:r>
        <w:rPr>
          <w:rFonts w:hint="eastAsia"/>
        </w:rPr>
        <w:t>AI</w:t>
      </w:r>
      <w:r>
        <w:rPr>
          <w:rFonts w:hint="eastAsia"/>
        </w:rPr>
        <w:t>知識和能力，並增強動機和職業興趣</w:t>
      </w:r>
      <w:r>
        <w:rPr>
          <w:rFonts w:hint="eastAsia"/>
        </w:rPr>
        <w:t>(Chai et al., 2020)</w:t>
      </w:r>
      <w:r>
        <w:rPr>
          <w:rFonts w:hint="eastAsia"/>
        </w:rPr>
        <w:t>。</w:t>
      </w:r>
      <w:r>
        <w:rPr>
          <w:rFonts w:hint="eastAsia"/>
        </w:rPr>
        <w:t xml:space="preserve"> </w:t>
      </w:r>
      <w:r>
        <w:rPr>
          <w:rFonts w:hint="eastAsia"/>
        </w:rPr>
        <w:t>如同我們已經看到</w:t>
      </w:r>
      <w:r>
        <w:rPr>
          <w:rFonts w:hint="eastAsia"/>
        </w:rPr>
        <w:t xml:space="preserve"> ChatGPT </w:t>
      </w:r>
      <w:r>
        <w:rPr>
          <w:rFonts w:hint="eastAsia"/>
        </w:rPr>
        <w:t>和</w:t>
      </w:r>
      <w:r>
        <w:rPr>
          <w:rFonts w:hint="eastAsia"/>
        </w:rPr>
        <w:t xml:space="preserve"> Midjourney </w:t>
      </w:r>
      <w:r>
        <w:rPr>
          <w:rFonts w:hint="eastAsia"/>
        </w:rPr>
        <w:t>等工具，在現實中塑造了我們的想法、決策。教師需要明確知道如何在教學中使用</w:t>
      </w:r>
      <w:r>
        <w:rPr>
          <w:rFonts w:hint="eastAsia"/>
        </w:rPr>
        <w:t>AI</w:t>
      </w:r>
      <w:r>
        <w:rPr>
          <w:rFonts w:hint="eastAsia"/>
        </w:rPr>
        <w:t>技術，並考慮倫理問題</w:t>
      </w:r>
      <w:r>
        <w:rPr>
          <w:rFonts w:hint="eastAsia"/>
        </w:rPr>
        <w:t>(Coghlan, et al</w:t>
      </w:r>
      <w:r w:rsidR="00A01150">
        <w:rPr>
          <w:rFonts w:hint="eastAsia"/>
        </w:rPr>
        <w:t>.</w:t>
      </w:r>
      <w:r>
        <w:rPr>
          <w:rFonts w:hint="eastAsia"/>
        </w:rPr>
        <w:t>, 2021; Ng, et al</w:t>
      </w:r>
      <w:r w:rsidR="00A01150">
        <w:rPr>
          <w:rFonts w:hint="eastAsia"/>
        </w:rPr>
        <w:t>.</w:t>
      </w:r>
      <w:r>
        <w:rPr>
          <w:rFonts w:hint="eastAsia"/>
        </w:rPr>
        <w:t>, 2021)</w:t>
      </w:r>
      <w:r>
        <w:rPr>
          <w:rFonts w:hint="eastAsia"/>
        </w:rPr>
        <w:t>。對</w:t>
      </w:r>
      <w:r>
        <w:rPr>
          <w:rFonts w:hint="eastAsia"/>
        </w:rPr>
        <w:t>AI</w:t>
      </w:r>
      <w:r>
        <w:rPr>
          <w:rFonts w:hint="eastAsia"/>
        </w:rPr>
        <w:t>的倫理理解包括認識</w:t>
      </w:r>
      <w:r>
        <w:rPr>
          <w:rFonts w:hint="eastAsia"/>
        </w:rPr>
        <w:t>AI</w:t>
      </w:r>
      <w:r>
        <w:rPr>
          <w:rFonts w:hint="eastAsia"/>
        </w:rPr>
        <w:t>帶來的道德、文化和社會問題，甚至是錯誤資訊和偏見，濫用的可能性以及人工智慧系統中透明度和問責制的必要性。</w:t>
      </w:r>
      <w:r>
        <w:rPr>
          <w:rFonts w:hint="eastAsia"/>
        </w:rPr>
        <w:t>AI</w:t>
      </w:r>
      <w:r>
        <w:rPr>
          <w:rFonts w:hint="eastAsia"/>
        </w:rPr>
        <w:t>不僅僅是一種工具，還是一項具有深遠社會影響的技術。</w:t>
      </w:r>
      <w:r>
        <w:rPr>
          <w:rFonts w:hint="eastAsia"/>
        </w:rPr>
        <w:t>AI Literacy</w:t>
      </w:r>
      <w:r>
        <w:rPr>
          <w:rFonts w:hint="eastAsia"/>
        </w:rPr>
        <w:t>的核心在於培養批判性思維能力，深入理解</w:t>
      </w:r>
      <w:r>
        <w:rPr>
          <w:rFonts w:hint="eastAsia"/>
        </w:rPr>
        <w:t>AI</w:t>
      </w:r>
      <w:r>
        <w:rPr>
          <w:rFonts w:hint="eastAsia"/>
        </w:rPr>
        <w:t>對我們周遭世界的影響，並能夠自信地在</w:t>
      </w:r>
      <w:r>
        <w:rPr>
          <w:rFonts w:hint="eastAsia"/>
        </w:rPr>
        <w:t>AI</w:t>
      </w:r>
      <w:r>
        <w:rPr>
          <w:rFonts w:hint="eastAsia"/>
        </w:rPr>
        <w:t>驅動的環境中做出明智決策。培養</w:t>
      </w:r>
      <w:r>
        <w:rPr>
          <w:rFonts w:hint="eastAsia"/>
        </w:rPr>
        <w:t>AI Literacy</w:t>
      </w:r>
      <w:r>
        <w:rPr>
          <w:rFonts w:hint="eastAsia"/>
        </w:rPr>
        <w:t>意味著要超越單純的技術應用，轉而關注如何在道德和倫理的框架內理解和使用</w:t>
      </w:r>
      <w:r>
        <w:rPr>
          <w:rFonts w:hint="eastAsia"/>
        </w:rPr>
        <w:t>AI</w:t>
      </w:r>
      <w:r>
        <w:rPr>
          <w:rFonts w:hint="eastAsia"/>
        </w:rPr>
        <w:t>，使我們能夠更好地應對</w:t>
      </w:r>
      <w:r>
        <w:rPr>
          <w:rFonts w:hint="eastAsia"/>
        </w:rPr>
        <w:t>AI</w:t>
      </w:r>
      <w:r>
        <w:rPr>
          <w:rFonts w:hint="eastAsia"/>
        </w:rPr>
        <w:t>時代的挑戰，並充分利用其帶來的機遇。</w:t>
      </w:r>
    </w:p>
    <w:p w14:paraId="32AB61BD" w14:textId="73D1653A" w:rsidR="00B22650" w:rsidRDefault="00B22650"/>
    <w:p w14:paraId="43254C8B" w14:textId="0FAF80B8" w:rsidR="00B22650" w:rsidRDefault="00D915B2" w:rsidP="00D915B2">
      <w:pPr>
        <w:pStyle w:val="3"/>
      </w:pPr>
      <w:r w:rsidRPr="00D915B2">
        <w:rPr>
          <w:rFonts w:hint="eastAsia"/>
        </w:rPr>
        <w:t>GenAI</w:t>
      </w:r>
      <w:r w:rsidRPr="00D915B2">
        <w:rPr>
          <w:rFonts w:hint="eastAsia"/>
        </w:rPr>
        <w:t>工具對文化表達和社會價值觀的潛在影響</w:t>
      </w:r>
    </w:p>
    <w:p w14:paraId="09595840" w14:textId="16323CB7" w:rsidR="00D915B2" w:rsidRDefault="00D915B2" w:rsidP="00D915B2">
      <w:r>
        <w:rPr>
          <w:rFonts w:hint="eastAsia"/>
        </w:rPr>
        <w:t>在</w:t>
      </w:r>
      <w:r>
        <w:rPr>
          <w:rFonts w:hint="eastAsia"/>
        </w:rPr>
        <w:t>AI</w:t>
      </w:r>
      <w:r>
        <w:rPr>
          <w:rFonts w:hint="eastAsia"/>
        </w:rPr>
        <w:t>的多種應用中，其中一個特別引人注目的領域是</w:t>
      </w:r>
      <w:r>
        <w:rPr>
          <w:rFonts w:hint="eastAsia"/>
        </w:rPr>
        <w:t>Generative AI(GenAI)</w:t>
      </w:r>
      <w:r>
        <w:rPr>
          <w:rFonts w:hint="eastAsia"/>
        </w:rPr>
        <w:t>，</w:t>
      </w:r>
      <w:r>
        <w:rPr>
          <w:rFonts w:hint="eastAsia"/>
        </w:rPr>
        <w:t>GenAI</w:t>
      </w:r>
      <w:r>
        <w:rPr>
          <w:rFonts w:hint="eastAsia"/>
        </w:rPr>
        <w:t>的急速發展正深刻影響社會經濟的諸多層面。不僅能夠模擬和預測，還能創造新的數據和內容，這使得它在創意產業和數據增強等方面具有獨特的優勢</w:t>
      </w:r>
      <w:r>
        <w:rPr>
          <w:rFonts w:hint="eastAsia"/>
        </w:rPr>
        <w:t>(Wang, et al</w:t>
      </w:r>
      <w:r w:rsidR="00B47F4A">
        <w:rPr>
          <w:rFonts w:hint="eastAsia"/>
        </w:rPr>
        <w:t>.</w:t>
      </w:r>
      <w:r>
        <w:rPr>
          <w:rFonts w:hint="eastAsia"/>
        </w:rPr>
        <w:t>, 2022)</w:t>
      </w:r>
      <w:r>
        <w:rPr>
          <w:rFonts w:hint="eastAsia"/>
        </w:rPr>
        <w:t>。其卓越的內容生成能力，也為教育領域帶來了前所未有的機遇與挑戰。大型語言模型</w:t>
      </w:r>
      <w:r>
        <w:rPr>
          <w:rFonts w:hint="eastAsia"/>
        </w:rPr>
        <w:t>(LLM)</w:t>
      </w:r>
      <w:r>
        <w:rPr>
          <w:rFonts w:hint="eastAsia"/>
        </w:rPr>
        <w:t>與文字轉圖像</w:t>
      </w:r>
      <w:r>
        <w:rPr>
          <w:rFonts w:hint="eastAsia"/>
        </w:rPr>
        <w:t>(TTI)</w:t>
      </w:r>
      <w:r>
        <w:rPr>
          <w:rFonts w:hint="eastAsia"/>
        </w:rPr>
        <w:t>技術快速進步，使</w:t>
      </w:r>
      <w:r>
        <w:rPr>
          <w:rFonts w:hint="eastAsia"/>
        </w:rPr>
        <w:t>AI</w:t>
      </w:r>
      <w:r>
        <w:rPr>
          <w:rFonts w:hint="eastAsia"/>
        </w:rPr>
        <w:t>系統能夠從現有海量數據中學習複雜的模式與結構，根據自然語言輸入（即提示）生成新的多模態輸出，包括文本</w:t>
      </w:r>
      <w:r>
        <w:rPr>
          <w:rFonts w:hint="eastAsia"/>
        </w:rPr>
        <w:t>(Achiam, et al, 2023)</w:t>
      </w:r>
      <w:r>
        <w:rPr>
          <w:rFonts w:hint="eastAsia"/>
        </w:rPr>
        <w:t>、圖像</w:t>
      </w:r>
      <w:r>
        <w:rPr>
          <w:rFonts w:hint="eastAsia"/>
        </w:rPr>
        <w:t>(Saharia, et al</w:t>
      </w:r>
      <w:r w:rsidR="00B65E6E">
        <w:rPr>
          <w:rFonts w:hint="eastAsia"/>
        </w:rPr>
        <w:t>.</w:t>
      </w:r>
      <w:r>
        <w:rPr>
          <w:rFonts w:hint="eastAsia"/>
        </w:rPr>
        <w:t>, 2022)</w:t>
      </w:r>
      <w:r>
        <w:rPr>
          <w:rFonts w:hint="eastAsia"/>
        </w:rPr>
        <w:t>、視頻</w:t>
      </w:r>
      <w:r>
        <w:rPr>
          <w:rFonts w:hint="eastAsia"/>
        </w:rPr>
        <w:t>(Ho, et al</w:t>
      </w:r>
      <w:r w:rsidR="00B65E6E">
        <w:rPr>
          <w:rFonts w:hint="eastAsia"/>
        </w:rPr>
        <w:t>.</w:t>
      </w:r>
      <w:r>
        <w:rPr>
          <w:rFonts w:hint="eastAsia"/>
        </w:rPr>
        <w:t>, 2022)</w:t>
      </w:r>
      <w:r>
        <w:rPr>
          <w:rFonts w:hint="eastAsia"/>
        </w:rPr>
        <w:t>和音頻</w:t>
      </w:r>
      <w:r>
        <w:rPr>
          <w:rFonts w:hint="eastAsia"/>
        </w:rPr>
        <w:t>(Borsos, et al</w:t>
      </w:r>
      <w:r w:rsidR="00B65E6E">
        <w:rPr>
          <w:rFonts w:hint="eastAsia"/>
        </w:rPr>
        <w:t>.</w:t>
      </w:r>
      <w:r>
        <w:rPr>
          <w:rFonts w:hint="eastAsia"/>
        </w:rPr>
        <w:t>, 2023)</w:t>
      </w:r>
      <w:r>
        <w:rPr>
          <w:rFonts w:hint="eastAsia"/>
        </w:rPr>
        <w:t>。從能夠生成逼真圖像的</w:t>
      </w:r>
      <w:r>
        <w:rPr>
          <w:rFonts w:hint="eastAsia"/>
        </w:rPr>
        <w:t>DALL-E 2</w:t>
      </w:r>
      <w:r>
        <w:rPr>
          <w:rFonts w:hint="eastAsia"/>
        </w:rPr>
        <w:t>、</w:t>
      </w:r>
      <w:r>
        <w:rPr>
          <w:rFonts w:hint="eastAsia"/>
        </w:rPr>
        <w:t>Stable Diffusion3</w:t>
      </w:r>
      <w:r>
        <w:rPr>
          <w:rFonts w:hint="eastAsia"/>
        </w:rPr>
        <w:t>到可以進行複雜對話的</w:t>
      </w:r>
      <w:r>
        <w:rPr>
          <w:rFonts w:hint="eastAsia"/>
        </w:rPr>
        <w:t>ChatGPT</w:t>
      </w:r>
      <w:r>
        <w:rPr>
          <w:rFonts w:hint="eastAsia"/>
        </w:rPr>
        <w:t>、</w:t>
      </w:r>
      <w:r>
        <w:rPr>
          <w:rFonts w:hint="eastAsia"/>
        </w:rPr>
        <w:t>claude3</w:t>
      </w:r>
      <w:r>
        <w:rPr>
          <w:rFonts w:hint="eastAsia"/>
        </w:rPr>
        <w:t>，這些工具展現出前所未有的創造力和適應性，推動了</w:t>
      </w:r>
      <w:r>
        <w:rPr>
          <w:rFonts w:hint="eastAsia"/>
        </w:rPr>
        <w:t xml:space="preserve">AI </w:t>
      </w:r>
      <w:r>
        <w:rPr>
          <w:rFonts w:hint="eastAsia"/>
        </w:rPr>
        <w:t>能力的邊界，</w:t>
      </w:r>
      <w:r>
        <w:rPr>
          <w:rFonts w:hint="eastAsia"/>
        </w:rPr>
        <w:t>GenAI</w:t>
      </w:r>
      <w:r>
        <w:rPr>
          <w:rFonts w:hint="eastAsia"/>
        </w:rPr>
        <w:t>工具能夠處理大量數據並學習統計模式，驗和反思，為我們在創意領域的應用提供了不可或缺的視角。</w:t>
      </w:r>
    </w:p>
    <w:p w14:paraId="439B4B45" w14:textId="77777777" w:rsidR="00D915B2" w:rsidRDefault="00D915B2" w:rsidP="00D915B2"/>
    <w:p w14:paraId="11206A74" w14:textId="34D0F2A5" w:rsidR="00D915B2" w:rsidRDefault="00D915B2" w:rsidP="00D915B2">
      <w:r>
        <w:rPr>
          <w:rFonts w:hint="eastAsia"/>
        </w:rPr>
        <w:t>LLM</w:t>
      </w:r>
      <w:r>
        <w:rPr>
          <w:rFonts w:hint="eastAsia"/>
        </w:rPr>
        <w:t>的進步顯著增強人類寫作和推理能力方面的表現，遠遠超越了傳統智能輔導系統（</w:t>
      </w:r>
      <w:r>
        <w:rPr>
          <w:rFonts w:hint="eastAsia"/>
        </w:rPr>
        <w:t>ITS</w:t>
      </w:r>
      <w:r>
        <w:rPr>
          <w:rFonts w:hint="eastAsia"/>
        </w:rPr>
        <w:t>）對於人類輔助的局限。在教育上不僅使開放式討論成為可能，還能夠生成個性化的</w:t>
      </w:r>
      <w:r>
        <w:rPr>
          <w:rFonts w:hint="eastAsia"/>
        </w:rPr>
        <w:lastRenderedPageBreak/>
        <w:t>教學內容，為學習者提供更加豐富和多樣化的學習體驗</w:t>
      </w:r>
      <w:r>
        <w:rPr>
          <w:rFonts w:hint="eastAsia"/>
        </w:rPr>
        <w:t>(OpenAI, 2023)</w:t>
      </w:r>
      <w:r>
        <w:rPr>
          <w:rFonts w:hint="eastAsia"/>
        </w:rPr>
        <w:t>，也為教育者提供了對學生邏輯思維和認知過程更加細緻和深入的理解，從而使個性化和適應性的學習反饋成為可能。</w:t>
      </w:r>
      <w:r>
        <w:rPr>
          <w:rFonts w:hint="eastAsia"/>
        </w:rPr>
        <w:t>Lee, et al.(2022)</w:t>
      </w:r>
      <w:r>
        <w:rPr>
          <w:rFonts w:hint="eastAsia"/>
        </w:rPr>
        <w:t>以成人學習者為研究對象，深入探討了</w:t>
      </w:r>
      <w:r>
        <w:rPr>
          <w:rFonts w:hint="eastAsia"/>
        </w:rPr>
        <w:t>LLM</w:t>
      </w:r>
      <w:r>
        <w:rPr>
          <w:rFonts w:hint="eastAsia"/>
        </w:rPr>
        <w:t>在適應不同學習風格和需求方面的潛力，並開發</w:t>
      </w:r>
      <w:r>
        <w:rPr>
          <w:rFonts w:hint="eastAsia"/>
        </w:rPr>
        <w:t>CoAuthor</w:t>
      </w:r>
      <w:r>
        <w:rPr>
          <w:rFonts w:hint="eastAsia"/>
        </w:rPr>
        <w:t>用於捕捉分析用戶參與數據，為未來設計更加智能和人性化的學習輔助工具提供了寶貴的實證依據。</w:t>
      </w:r>
      <w:r>
        <w:rPr>
          <w:rFonts w:hint="eastAsia"/>
        </w:rPr>
        <w:t>Zhang, et al.(2023)</w:t>
      </w:r>
      <w:r>
        <w:rPr>
          <w:rFonts w:hint="eastAsia"/>
        </w:rPr>
        <w:t>和</w:t>
      </w:r>
      <w:r>
        <w:rPr>
          <w:rFonts w:hint="eastAsia"/>
        </w:rPr>
        <w:t>Wu, et al.(2024)</w:t>
      </w:r>
      <w:r>
        <w:rPr>
          <w:rFonts w:hint="eastAsia"/>
        </w:rPr>
        <w:t>研究指出，</w:t>
      </w:r>
      <w:r>
        <w:rPr>
          <w:rFonts w:hint="eastAsia"/>
        </w:rPr>
        <w:t>ChatGPT</w:t>
      </w:r>
      <w:r>
        <w:rPr>
          <w:rFonts w:hint="eastAsia"/>
        </w:rPr>
        <w:t>作為一種</w:t>
      </w:r>
      <w:r>
        <w:rPr>
          <w:rFonts w:hint="eastAsia"/>
        </w:rPr>
        <w:t>GenAI</w:t>
      </w:r>
      <w:r>
        <w:rPr>
          <w:rFonts w:hint="eastAsia"/>
        </w:rPr>
        <w:t>媒介，其廣泛潛在教育益處在全球範圍內迅速獲得認可與應用。</w:t>
      </w:r>
      <w:r>
        <w:rPr>
          <w:rFonts w:hint="eastAsia"/>
        </w:rPr>
        <w:t>Gero, et al.(2022)</w:t>
      </w:r>
      <w:r>
        <w:rPr>
          <w:rFonts w:hint="eastAsia"/>
        </w:rPr>
        <w:t>表明</w:t>
      </w:r>
      <w:r>
        <w:rPr>
          <w:rFonts w:hint="eastAsia"/>
        </w:rPr>
        <w:t>LLM</w:t>
      </w:r>
      <w:r>
        <w:rPr>
          <w:rFonts w:hint="eastAsia"/>
        </w:rPr>
        <w:t>驅動的協作寫作平台能顯著增強</w:t>
      </w:r>
      <w:r>
        <w:rPr>
          <w:rFonts w:hint="eastAsia"/>
        </w:rPr>
        <w:t>STEM</w:t>
      </w:r>
      <w:r>
        <w:rPr>
          <w:rFonts w:hint="eastAsia"/>
        </w:rPr>
        <w:t>領域研究生的學習參與度和創意生成能力，為高等教育整合</w:t>
      </w:r>
      <w:r>
        <w:rPr>
          <w:rFonts w:hint="eastAsia"/>
        </w:rPr>
        <w:t>AI</w:t>
      </w:r>
      <w:r>
        <w:rPr>
          <w:rFonts w:hint="eastAsia"/>
        </w:rPr>
        <w:t>輔助工具提供了有力支持。</w:t>
      </w:r>
      <w:r>
        <w:rPr>
          <w:rFonts w:hint="eastAsia"/>
        </w:rPr>
        <w:t>Ahmad, et al.(2023)</w:t>
      </w:r>
      <w:r>
        <w:rPr>
          <w:rFonts w:hint="eastAsia"/>
        </w:rPr>
        <w:t>全面檢視</w:t>
      </w:r>
      <w:r>
        <w:rPr>
          <w:rFonts w:hint="eastAsia"/>
        </w:rPr>
        <w:t>ChatGPT</w:t>
      </w:r>
      <w:r>
        <w:rPr>
          <w:rFonts w:hint="eastAsia"/>
        </w:rPr>
        <w:t>在教育領域的多方面影響，強調為了讓學生更好地適應未來就業市場的需求。培養學生熟練使用</w:t>
      </w:r>
      <w:r>
        <w:rPr>
          <w:rFonts w:hint="eastAsia"/>
        </w:rPr>
        <w:t>LLMs</w:t>
      </w:r>
      <w:r>
        <w:rPr>
          <w:rFonts w:hint="eastAsia"/>
        </w:rPr>
        <w:t>和</w:t>
      </w:r>
      <w:r>
        <w:rPr>
          <w:rFonts w:hint="eastAsia"/>
        </w:rPr>
        <w:t>GenAI</w:t>
      </w:r>
      <w:r>
        <w:rPr>
          <w:rFonts w:hint="eastAsia"/>
        </w:rPr>
        <w:t>技術的能力已成為當務之急，隨著</w:t>
      </w:r>
      <w:r>
        <w:rPr>
          <w:rFonts w:hint="eastAsia"/>
        </w:rPr>
        <w:t>GenAI</w:t>
      </w:r>
      <w:r>
        <w:rPr>
          <w:rFonts w:hint="eastAsia"/>
        </w:rPr>
        <w:t>不斷進化，提供更自然、更具適應性的人機交互體驗，為教育中的諸多挑戰提供了新的可能性。</w:t>
      </w:r>
      <w:r>
        <w:rPr>
          <w:rFonts w:hint="eastAsia"/>
        </w:rPr>
        <w:t>Raman, et al. (2023)</w:t>
      </w:r>
      <w:r>
        <w:rPr>
          <w:rFonts w:hint="eastAsia"/>
        </w:rPr>
        <w:t>指出</w:t>
      </w:r>
      <w:r>
        <w:rPr>
          <w:rFonts w:hint="eastAsia"/>
        </w:rPr>
        <w:t>ChatGPT</w:t>
      </w:r>
      <w:r>
        <w:rPr>
          <w:rFonts w:hint="eastAsia"/>
        </w:rPr>
        <w:t>能夠根據學生的能力水平和技能表現，提供富有創意、高度互動且自適應的學習體驗。其個性化的學習方式不僅能提高學生對</w:t>
      </w:r>
      <w:r>
        <w:rPr>
          <w:rFonts w:hint="eastAsia"/>
        </w:rPr>
        <w:t>AI</w:t>
      </w:r>
      <w:r>
        <w:rPr>
          <w:rFonts w:hint="eastAsia"/>
        </w:rPr>
        <w:t>輔助工具的接受度和使用意願，更展現出徹底改變高等教育教學模式的巨大潛力。</w:t>
      </w:r>
      <w:r>
        <w:rPr>
          <w:rFonts w:hint="eastAsia"/>
        </w:rPr>
        <w:t>Speak(2023)</w:t>
      </w:r>
      <w:r>
        <w:rPr>
          <w:rFonts w:hint="eastAsia"/>
        </w:rPr>
        <w:t>利用</w:t>
      </w:r>
      <w:r>
        <w:rPr>
          <w:rFonts w:hint="eastAsia"/>
        </w:rPr>
        <w:t>GenAI</w:t>
      </w:r>
      <w:r>
        <w:rPr>
          <w:rFonts w:hint="eastAsia"/>
        </w:rPr>
        <w:t>模擬與學習者進行流暢的口語對話，提高英語口語能力，該研究並不受學習者年齡的限制，為終身語言學習提供了有力工具，凸顯了</w:t>
      </w:r>
      <w:r>
        <w:rPr>
          <w:rFonts w:hint="eastAsia"/>
        </w:rPr>
        <w:t>GenAI</w:t>
      </w:r>
      <w:r>
        <w:rPr>
          <w:rFonts w:hint="eastAsia"/>
        </w:rPr>
        <w:t>在語言教育中的廣闊應用前景，特別是在提供大規模、個性化的口語練習機會方面。</w:t>
      </w:r>
    </w:p>
    <w:p w14:paraId="23A0905A" w14:textId="77777777" w:rsidR="00D915B2" w:rsidRDefault="00D915B2" w:rsidP="00D915B2"/>
    <w:p w14:paraId="61CE869D" w14:textId="4C217307" w:rsidR="00D915B2" w:rsidRDefault="00D915B2" w:rsidP="00D915B2">
      <w:r>
        <w:rPr>
          <w:rFonts w:hint="eastAsia"/>
        </w:rPr>
        <w:t>Birhane, et al.(2022)</w:t>
      </w:r>
      <w:r>
        <w:rPr>
          <w:rFonts w:hint="eastAsia"/>
        </w:rPr>
        <w:t>強調了另一個觀點：在討論</w:t>
      </w:r>
      <w:r>
        <w:rPr>
          <w:rFonts w:hint="eastAsia"/>
        </w:rPr>
        <w:t>AI</w:t>
      </w:r>
      <w:r>
        <w:rPr>
          <w:rFonts w:hint="eastAsia"/>
        </w:rPr>
        <w:t>時，我們不應僅限於技術專家的意見，還應重視創意工作者的洞見。設計師、作家和藝術家等創意專業人士，因其獨特的工作性質，往往走在</w:t>
      </w:r>
      <w:r>
        <w:rPr>
          <w:rFonts w:hint="eastAsia"/>
        </w:rPr>
        <w:t>AI</w:t>
      </w:r>
      <w:r>
        <w:rPr>
          <w:rFonts w:hint="eastAsia"/>
        </w:rPr>
        <w:t>應用的最前線。這些創意從業者的日常實踐為我們提供了珍貴的第一手資料，不僅揭示了</w:t>
      </w:r>
      <w:r>
        <w:rPr>
          <w:rFonts w:hint="eastAsia"/>
        </w:rPr>
        <w:t>AI</w:t>
      </w:r>
      <w:r>
        <w:rPr>
          <w:rFonts w:hint="eastAsia"/>
        </w:rPr>
        <w:t>工具在實際創作中的優缺點，還深入探討了</w:t>
      </w:r>
      <w:r>
        <w:rPr>
          <w:rFonts w:hint="eastAsia"/>
        </w:rPr>
        <w:t>AI</w:t>
      </w:r>
      <w:r>
        <w:rPr>
          <w:rFonts w:hint="eastAsia"/>
        </w:rPr>
        <w:t>對創作過程的影響。他們的經驗超越了純粹的技術層面，觸及了更深層次的問題，例如</w:t>
      </w:r>
      <w:r>
        <w:rPr>
          <w:rFonts w:hint="eastAsia"/>
        </w:rPr>
        <w:t>AI</w:t>
      </w:r>
      <w:r>
        <w:rPr>
          <w:rFonts w:hint="eastAsia"/>
        </w:rPr>
        <w:t>如何重塑原創性的定義，以及它對藝術價值觀念的衝擊。</w:t>
      </w:r>
      <w:r>
        <w:rPr>
          <w:rFonts w:hint="eastAsia"/>
        </w:rPr>
        <w:t>Kulkarni, et al.(2023)</w:t>
      </w:r>
      <w:r>
        <w:rPr>
          <w:rFonts w:hint="eastAsia"/>
        </w:rPr>
        <w:t>對</w:t>
      </w:r>
      <w:r>
        <w:rPr>
          <w:rFonts w:hint="eastAsia"/>
        </w:rPr>
        <w:t>TTI</w:t>
      </w:r>
      <w:r>
        <w:rPr>
          <w:rFonts w:hint="eastAsia"/>
        </w:rPr>
        <w:t>技術在協作設計中的應用進行了深入研究。選取</w:t>
      </w:r>
      <w:r>
        <w:rPr>
          <w:rFonts w:hint="eastAsia"/>
        </w:rPr>
        <w:t>14</w:t>
      </w:r>
      <w:r>
        <w:rPr>
          <w:rFonts w:hint="eastAsia"/>
        </w:rPr>
        <w:t>位專業設計師作為研究對象，觀察並分析了</w:t>
      </w:r>
      <w:r>
        <w:rPr>
          <w:rFonts w:hint="eastAsia"/>
        </w:rPr>
        <w:t>TTI</w:t>
      </w:r>
      <w:r>
        <w:rPr>
          <w:rFonts w:hint="eastAsia"/>
        </w:rPr>
        <w:t>工具在設計過程中的使用情況。研究結果揭示了</w:t>
      </w:r>
      <w:r>
        <w:rPr>
          <w:rFonts w:hint="eastAsia"/>
        </w:rPr>
        <w:t>TTI</w:t>
      </w:r>
      <w:r>
        <w:rPr>
          <w:rFonts w:hint="eastAsia"/>
        </w:rPr>
        <w:t>技術在設計領域的多方面價值，顯著促進了設計空間的快速探索，使設計師能夠迅速生成和測試多種視覺概念，從而加速了創意過程。其次，這項技術在促進團隊流暢協作方面表現突出，成為了團隊成員之間交流想法的有效媒介；並強調了文本提示在設計過程中作為反思性輔助工具的獨特作用。設計師們通過不斷調整和優化文本描述，深化了對自身設計意圖和方向的思考。這一過程不僅促進了持續的探索和迭代，還鼓勵設計師在創作過程中進行深度反思。</w:t>
      </w:r>
      <w:r>
        <w:rPr>
          <w:rFonts w:hint="eastAsia"/>
        </w:rPr>
        <w:t>Yuan, et al (2022)</w:t>
      </w:r>
      <w:r>
        <w:rPr>
          <w:rFonts w:hint="eastAsia"/>
        </w:rPr>
        <w:t>研究了成人業餘作家對</w:t>
      </w:r>
      <w:r>
        <w:rPr>
          <w:rFonts w:hint="eastAsia"/>
        </w:rPr>
        <w:t>AI</w:t>
      </w:r>
      <w:r>
        <w:rPr>
          <w:rFonts w:hint="eastAsia"/>
        </w:rPr>
        <w:t>輔助寫作的所有權感，發現</w:t>
      </w:r>
      <w:r>
        <w:rPr>
          <w:rFonts w:hint="eastAsia"/>
        </w:rPr>
        <w:t>AI</w:t>
      </w:r>
      <w:r>
        <w:rPr>
          <w:rFonts w:hint="eastAsia"/>
        </w:rPr>
        <w:t>整合並不會削弱作家的所有權感，因為作家將</w:t>
      </w:r>
      <w:r>
        <w:rPr>
          <w:rFonts w:hint="eastAsia"/>
        </w:rPr>
        <w:t>AI</w:t>
      </w:r>
      <w:r>
        <w:rPr>
          <w:rFonts w:hint="eastAsia"/>
        </w:rPr>
        <w:t>生成的文本作為靈感，而不是逐字使用。創意專業人士往往對</w:t>
      </w:r>
      <w:r>
        <w:rPr>
          <w:rFonts w:hint="eastAsia"/>
        </w:rPr>
        <w:t>AI</w:t>
      </w:r>
      <w:r>
        <w:rPr>
          <w:rFonts w:hint="eastAsia"/>
        </w:rPr>
        <w:t>可能帶來的文化、社會和道德影響有更敏銳的洞察力。他們的視角有助於我們更全面地評估</w:t>
      </w:r>
      <w:r>
        <w:rPr>
          <w:rFonts w:hint="eastAsia"/>
        </w:rPr>
        <w:t>AI</w:t>
      </w:r>
      <w:r>
        <w:rPr>
          <w:rFonts w:hint="eastAsia"/>
        </w:rPr>
        <w:t>技術對人文精神、藝術表達和社會價值觀的潛在影響，這對於確保</w:t>
      </w:r>
      <w:r>
        <w:rPr>
          <w:rFonts w:hint="eastAsia"/>
        </w:rPr>
        <w:t>AI</w:t>
      </w:r>
      <w:r>
        <w:rPr>
          <w:rFonts w:hint="eastAsia"/>
        </w:rPr>
        <w:t>的發展方向與人類社會的長遠利益相一致至關重要。</w:t>
      </w:r>
    </w:p>
    <w:p w14:paraId="4B0F1E89" w14:textId="77777777" w:rsidR="00D915B2" w:rsidRDefault="00D915B2" w:rsidP="00D915B2"/>
    <w:p w14:paraId="6C354F69" w14:textId="59693B7A" w:rsidR="00B22650" w:rsidRDefault="00D915B2" w:rsidP="00D915B2">
      <w:r>
        <w:rPr>
          <w:rFonts w:hint="eastAsia"/>
        </w:rPr>
        <w:t>GenAI</w:t>
      </w:r>
      <w:r>
        <w:rPr>
          <w:rFonts w:hint="eastAsia"/>
        </w:rPr>
        <w:t>看似為社會經濟活動帶來突破式的數位轉型契機，但也引發了對可能隱含和超出人類控制的未預見後果的擔憂</w:t>
      </w:r>
      <w:r>
        <w:rPr>
          <w:rFonts w:hint="eastAsia"/>
        </w:rPr>
        <w:t>(Bender, et al</w:t>
      </w:r>
      <w:r w:rsidR="0099368E">
        <w:rPr>
          <w:rFonts w:hint="eastAsia"/>
        </w:rPr>
        <w:t>.</w:t>
      </w:r>
      <w:r>
        <w:rPr>
          <w:rFonts w:hint="eastAsia"/>
        </w:rPr>
        <w:t>, 2021)</w:t>
      </w:r>
      <w:r>
        <w:rPr>
          <w:rFonts w:hint="eastAsia"/>
        </w:rPr>
        <w:t>。</w:t>
      </w:r>
      <w:r>
        <w:rPr>
          <w:rFonts w:hint="eastAsia"/>
        </w:rPr>
        <w:t>GenAI</w:t>
      </w:r>
      <w:r>
        <w:rPr>
          <w:rFonts w:hint="eastAsia"/>
        </w:rPr>
        <w:t>的擴展能力有可能徹底改變現代生活的各個方面，並顯著影響那些靠創作內容謀生的人，包括設計師、文案、記者和其他創意專業人士。</w:t>
      </w:r>
      <w:r>
        <w:rPr>
          <w:rFonts w:hint="eastAsia"/>
        </w:rPr>
        <w:t>Inie, et al.(2023)</w:t>
      </w:r>
      <w:r>
        <w:rPr>
          <w:rFonts w:hint="eastAsia"/>
        </w:rPr>
        <w:t>指出</w:t>
      </w:r>
      <w:r>
        <w:rPr>
          <w:rFonts w:hint="eastAsia"/>
        </w:rPr>
        <w:t>GenAI</w:t>
      </w:r>
      <w:r>
        <w:rPr>
          <w:rFonts w:hint="eastAsia"/>
        </w:rPr>
        <w:t>帶來的挑戰包括工作替代、倫理問題、人情味缺失、數</w:t>
      </w:r>
      <w:r>
        <w:rPr>
          <w:rFonts w:hint="eastAsia"/>
        </w:rPr>
        <w:lastRenderedPageBreak/>
        <w:t>據質量和偏見，以及知識產權問題。</w:t>
      </w:r>
      <w:r>
        <w:rPr>
          <w:rFonts w:hint="eastAsia"/>
        </w:rPr>
        <w:t>Eke(202</w:t>
      </w:r>
      <w:r w:rsidR="0099368E">
        <w:rPr>
          <w:rFonts w:hint="eastAsia"/>
        </w:rPr>
        <w:t>3</w:t>
      </w:r>
      <w:r>
        <w:rPr>
          <w:rFonts w:hint="eastAsia"/>
        </w:rPr>
        <w:t>)</w:t>
      </w:r>
      <w:r>
        <w:rPr>
          <w:rFonts w:hint="eastAsia"/>
        </w:rPr>
        <w:t>強調了更具體的風險，如聲譽損害、經濟和就業損失，以及抄襲和版權侵權等問題。</w:t>
      </w:r>
      <w:r>
        <w:rPr>
          <w:rFonts w:hint="eastAsia"/>
        </w:rPr>
        <w:t xml:space="preserve">Solaiman et al.(2023) </w:t>
      </w:r>
      <w:r>
        <w:rPr>
          <w:rFonts w:hint="eastAsia"/>
        </w:rPr>
        <w:t>描述了</w:t>
      </w:r>
      <w:r>
        <w:rPr>
          <w:rFonts w:hint="eastAsia"/>
        </w:rPr>
        <w:t>GenAI</w:t>
      </w:r>
      <w:r>
        <w:rPr>
          <w:rFonts w:hint="eastAsia"/>
        </w:rPr>
        <w:t>可能對社會產生的具體影響：偏見、刻板印象和代表性傷害，文化價值和敏感內容、不同群體的表現差異、隱私和資料保護、財務成本、環境成本及資料和內容審查的勞動成本。</w:t>
      </w:r>
      <w:r>
        <w:rPr>
          <w:rFonts w:hint="eastAsia"/>
        </w:rPr>
        <w:t>Bommasani, et al.(2021)</w:t>
      </w:r>
      <w:r>
        <w:rPr>
          <w:rFonts w:hint="eastAsia"/>
        </w:rPr>
        <w:t>提出了關於同質化的憂慮，模型的任何弱點都可能傳播到下游應用，進而影響整個</w:t>
      </w:r>
      <w:r>
        <w:rPr>
          <w:rFonts w:hint="eastAsia"/>
        </w:rPr>
        <w:t>AI</w:t>
      </w:r>
      <w:r>
        <w:rPr>
          <w:rFonts w:hint="eastAsia"/>
        </w:rPr>
        <w:t>生態系統。凸顯在擁抱</w:t>
      </w:r>
      <w:r>
        <w:rPr>
          <w:rFonts w:hint="eastAsia"/>
        </w:rPr>
        <w:t>GenAI</w:t>
      </w:r>
      <w:r>
        <w:rPr>
          <w:rFonts w:hint="eastAsia"/>
        </w:rPr>
        <w:t>創新的同時，我們需要謹慎考慮其對創意產業和整個社會可能產生的深遠影響。我們必須在追求技術進步的同時，也要關注其對社會、文化和倫理層面的影響，以確保</w:t>
      </w:r>
      <w:r>
        <w:rPr>
          <w:rFonts w:hint="eastAsia"/>
        </w:rPr>
        <w:t>GenAI</w:t>
      </w:r>
      <w:r>
        <w:rPr>
          <w:rFonts w:hint="eastAsia"/>
        </w:rPr>
        <w:t>技術的發展能夠真正造福人類社會。</w:t>
      </w:r>
    </w:p>
    <w:p w14:paraId="793C0B1D" w14:textId="0F83442F" w:rsidR="00B22650" w:rsidRDefault="00B22650"/>
    <w:p w14:paraId="39DB813D" w14:textId="2CB61BC2" w:rsidR="00B22650" w:rsidRDefault="00D915B2" w:rsidP="00D915B2">
      <w:pPr>
        <w:pStyle w:val="3"/>
      </w:pPr>
      <w:r w:rsidRPr="00D915B2">
        <w:rPr>
          <w:rFonts w:hint="eastAsia"/>
        </w:rPr>
        <w:t>GenAI</w:t>
      </w:r>
      <w:r w:rsidRPr="00D915B2">
        <w:rPr>
          <w:rFonts w:hint="eastAsia"/>
        </w:rPr>
        <w:t>在教育環境中的應用趨勢與影響因素分析</w:t>
      </w:r>
    </w:p>
    <w:p w14:paraId="7FBC9B39" w14:textId="778E7F5F" w:rsidR="00540140" w:rsidRDefault="00540140" w:rsidP="00540140">
      <w:r>
        <w:rPr>
          <w:rFonts w:hint="eastAsia"/>
        </w:rPr>
        <w:t>大型語言模型</w:t>
      </w:r>
      <w:r>
        <w:rPr>
          <w:rFonts w:hint="eastAsia"/>
        </w:rPr>
        <w:t>(LLM)</w:t>
      </w:r>
      <w:r>
        <w:rPr>
          <w:rFonts w:hint="eastAsia"/>
        </w:rPr>
        <w:t>如</w:t>
      </w:r>
      <w:r>
        <w:rPr>
          <w:rFonts w:hint="eastAsia"/>
        </w:rPr>
        <w:t>GPT</w:t>
      </w:r>
      <w:r>
        <w:rPr>
          <w:rFonts w:hint="eastAsia"/>
        </w:rPr>
        <w:t>或</w:t>
      </w:r>
      <w:r>
        <w:rPr>
          <w:rFonts w:hint="eastAsia"/>
        </w:rPr>
        <w:t>Llama-2</w:t>
      </w:r>
      <w:r>
        <w:rPr>
          <w:rFonts w:hint="eastAsia"/>
        </w:rPr>
        <w:t>是在大量文本上訓練的深度學習模型，其部署圍繞從提示生成新文本。儘管關於</w:t>
      </w:r>
      <w:r>
        <w:rPr>
          <w:rFonts w:hint="eastAsia"/>
        </w:rPr>
        <w:t xml:space="preserve"> LLM </w:t>
      </w:r>
      <w:r>
        <w:rPr>
          <w:rFonts w:hint="eastAsia"/>
        </w:rPr>
        <w:t>在教育中的使用的文獻相對較新且尚未成熟，但越來越多的證據表明，</w:t>
      </w:r>
      <w:r>
        <w:rPr>
          <w:rFonts w:hint="eastAsia"/>
        </w:rPr>
        <w:t>Chai, et al.(2020)</w:t>
      </w:r>
      <w:r>
        <w:rPr>
          <w:rFonts w:hint="eastAsia"/>
        </w:rPr>
        <w:t>和</w:t>
      </w:r>
      <w:r>
        <w:rPr>
          <w:rFonts w:hint="eastAsia"/>
        </w:rPr>
        <w:t>Wang, et al.(2023)</w:t>
      </w:r>
      <w:r>
        <w:rPr>
          <w:rFonts w:hint="eastAsia"/>
        </w:rPr>
        <w:t>強調了人工智慧教育和素養培養在塑造學生對</w:t>
      </w:r>
      <w:r>
        <w:rPr>
          <w:rFonts w:hint="eastAsia"/>
        </w:rPr>
        <w:t>AI</w:t>
      </w:r>
      <w:r>
        <w:rPr>
          <w:rFonts w:hint="eastAsia"/>
        </w:rPr>
        <w:t>的認知和態度方面的關鍵作用。</w:t>
      </w:r>
      <w:r>
        <w:rPr>
          <w:rFonts w:hint="eastAsia"/>
        </w:rPr>
        <w:t xml:space="preserve">Touvron, et al(2023) </w:t>
      </w:r>
      <w:r>
        <w:rPr>
          <w:rFonts w:hint="eastAsia"/>
        </w:rPr>
        <w:t>進一步指出模型不僅可以為學生提供量身定制的學習體驗，還能協助教育者更有效地設計課程和評估學習成果。隨著技術的不斷進步和教育實踐的深入，</w:t>
      </w:r>
      <w:r>
        <w:rPr>
          <w:rFonts w:hint="eastAsia"/>
        </w:rPr>
        <w:t>LLM</w:t>
      </w:r>
      <w:r>
        <w:rPr>
          <w:rFonts w:hint="eastAsia"/>
        </w:rPr>
        <w:t>有望成為推動教育創新和改革的重要力量，為打造更加個性化、高效和包容的學習環境提供新的可能性。但我們也必須確保它能切實改善學生的學習態度、提高學習動機，並增加學習滿意度</w:t>
      </w:r>
      <w:r>
        <w:rPr>
          <w:rFonts w:hint="eastAsia"/>
        </w:rPr>
        <w:t>(Gupta &amp; Bhaskar, 2020; Roy, et al</w:t>
      </w:r>
      <w:r w:rsidR="008562E8">
        <w:rPr>
          <w:rFonts w:hint="eastAsia"/>
        </w:rPr>
        <w:t>.</w:t>
      </w:r>
      <w:r>
        <w:rPr>
          <w:rFonts w:hint="eastAsia"/>
        </w:rPr>
        <w:t>, 2022)</w:t>
      </w:r>
      <w:r>
        <w:rPr>
          <w:rFonts w:hint="eastAsia"/>
        </w:rPr>
        <w:t>。</w:t>
      </w:r>
      <w:r>
        <w:rPr>
          <w:rFonts w:hint="eastAsia"/>
        </w:rPr>
        <w:t>LLM</w:t>
      </w:r>
      <w:r>
        <w:rPr>
          <w:rFonts w:hint="eastAsia"/>
        </w:rPr>
        <w:t>在課程創建方面開闢了一片令人興奮且尚待深入探索的新領域，這些模型為課程設計帶來了前所未有的靈活性和個性化可能。</w:t>
      </w:r>
      <w:r>
        <w:rPr>
          <w:rFonts w:hint="eastAsia"/>
        </w:rPr>
        <w:t>Jauhiainen &amp; Guerra(2023)</w:t>
      </w:r>
      <w:r>
        <w:rPr>
          <w:rFonts w:hint="eastAsia"/>
        </w:rPr>
        <w:t>研究展示</w:t>
      </w:r>
      <w:r>
        <w:rPr>
          <w:rFonts w:hint="eastAsia"/>
        </w:rPr>
        <w:t xml:space="preserve">LLM </w:t>
      </w:r>
      <w:r>
        <w:rPr>
          <w:rFonts w:hint="eastAsia"/>
        </w:rPr>
        <w:t>能夠為同一課程內容創建多個變體，以適應不同受眾的知識背景和學習需求，提高了課程的適應性和包容性。</w:t>
      </w:r>
      <w:r>
        <w:rPr>
          <w:rFonts w:hint="eastAsia"/>
        </w:rPr>
        <w:t>Pataranutaporn, et al.(2021)</w:t>
      </w:r>
      <w:r>
        <w:rPr>
          <w:rFonts w:hint="eastAsia"/>
        </w:rPr>
        <w:t>指出這種技術可以支持開發互動式虛擬講師，不僅能夠以更吸引人的方式傳遞教學內容，還可以根據學生的個人需求和學習風格進行調整，從而提供更加個性化和引人入勝的學習體驗。然而在這些技術的實施過程中，教師的角色仍然至關重要。教育方面實施新功能會面臨兩個要挑戰：時間成本和教師的抵抗情緒。</w:t>
      </w:r>
      <w:r>
        <w:rPr>
          <w:rFonts w:hint="eastAsia"/>
        </w:rPr>
        <w:t>Morze, et al. (2021)</w:t>
      </w:r>
      <w:r>
        <w:rPr>
          <w:rFonts w:hint="eastAsia"/>
        </w:rPr>
        <w:t>強調，即使在使用現成的自適應學習功能時，對教師進行培訓也是必不可少的，培訓應該幫助教師從單純的機械知識傳遞和測試轉向更積極主動的教學方法。</w:t>
      </w:r>
      <w:r>
        <w:rPr>
          <w:rFonts w:hint="eastAsia"/>
        </w:rPr>
        <w:t>Kasneci, et al. (2023)</w:t>
      </w:r>
      <w:r>
        <w:rPr>
          <w:rFonts w:hint="eastAsia"/>
        </w:rPr>
        <w:t>研究進一步闡明了</w:t>
      </w:r>
      <w:r>
        <w:rPr>
          <w:rFonts w:hint="eastAsia"/>
        </w:rPr>
        <w:t>LLM</w:t>
      </w:r>
      <w:r>
        <w:rPr>
          <w:rFonts w:hint="eastAsia"/>
        </w:rPr>
        <w:t>在多個領域對教師的潛在益處，特別是在評估和評價學生、協助教學以及個性化學習。指出</w:t>
      </w:r>
      <w:r>
        <w:rPr>
          <w:rFonts w:hint="eastAsia"/>
        </w:rPr>
        <w:t>LLM</w:t>
      </w:r>
      <w:r>
        <w:rPr>
          <w:rFonts w:hint="eastAsia"/>
        </w:rPr>
        <w:t>不應被視為教師的替代品，而是應該被看作是增強教師能力的有力工具。</w:t>
      </w:r>
    </w:p>
    <w:p w14:paraId="019BDF29" w14:textId="77777777" w:rsidR="00540140" w:rsidRDefault="00540140" w:rsidP="00540140"/>
    <w:p w14:paraId="53CCC856" w14:textId="09A80A0A" w:rsidR="00540140" w:rsidRDefault="00540140" w:rsidP="00540140">
      <w:r>
        <w:rPr>
          <w:rFonts w:hint="eastAsia"/>
        </w:rPr>
        <w:t>現有在教育方面</w:t>
      </w:r>
      <w:r>
        <w:rPr>
          <w:rFonts w:hint="eastAsia"/>
        </w:rPr>
        <w:t>AI</w:t>
      </w:r>
      <w:r>
        <w:rPr>
          <w:rFonts w:hint="eastAsia"/>
        </w:rPr>
        <w:t>共創系統包括互動故事講述</w:t>
      </w:r>
      <w:r>
        <w:rPr>
          <w:rFonts w:hint="eastAsia"/>
        </w:rPr>
        <w:t>(Yuan, et al</w:t>
      </w:r>
      <w:r w:rsidR="00957BCF">
        <w:rPr>
          <w:rFonts w:hint="eastAsia"/>
        </w:rPr>
        <w:t>.</w:t>
      </w:r>
      <w:r>
        <w:rPr>
          <w:rFonts w:hint="eastAsia"/>
        </w:rPr>
        <w:t>, 2022)</w:t>
      </w:r>
      <w:r>
        <w:rPr>
          <w:rFonts w:hint="eastAsia"/>
        </w:rPr>
        <w:t>、創意寫作</w:t>
      </w:r>
      <w:r>
        <w:rPr>
          <w:rFonts w:hint="eastAsia"/>
        </w:rPr>
        <w:t>(Elgarf, et al</w:t>
      </w:r>
      <w:r w:rsidR="00622BF1">
        <w:rPr>
          <w:rFonts w:hint="eastAsia"/>
        </w:rPr>
        <w:t>.</w:t>
      </w:r>
      <w:r>
        <w:rPr>
          <w:rFonts w:hint="eastAsia"/>
        </w:rPr>
        <w:t>, 2022)</w:t>
      </w:r>
      <w:r>
        <w:rPr>
          <w:rFonts w:hint="eastAsia"/>
        </w:rPr>
        <w:t>和繪畫</w:t>
      </w:r>
      <w:r>
        <w:rPr>
          <w:rFonts w:hint="eastAsia"/>
        </w:rPr>
        <w:t>(Zhang, et al</w:t>
      </w:r>
      <w:r w:rsidR="00A724D0">
        <w:rPr>
          <w:rFonts w:hint="eastAsia"/>
        </w:rPr>
        <w:t>.</w:t>
      </w:r>
      <w:r>
        <w:rPr>
          <w:rFonts w:hint="eastAsia"/>
        </w:rPr>
        <w:t>, 2021)</w:t>
      </w:r>
      <w:r>
        <w:rPr>
          <w:rFonts w:hint="eastAsia"/>
        </w:rPr>
        <w:t>。</w:t>
      </w:r>
      <w:r>
        <w:rPr>
          <w:rFonts w:hint="eastAsia"/>
        </w:rPr>
        <w:t xml:space="preserve"> </w:t>
      </w:r>
      <w:r>
        <w:rPr>
          <w:rFonts w:hint="eastAsia"/>
        </w:rPr>
        <w:t>這些創新性的</w:t>
      </w:r>
      <w:r>
        <w:rPr>
          <w:rFonts w:hint="eastAsia"/>
        </w:rPr>
        <w:t>AI</w:t>
      </w:r>
      <w:r>
        <w:rPr>
          <w:rFonts w:hint="eastAsia"/>
        </w:rPr>
        <w:t>共創系統展示了</w:t>
      </w:r>
      <w:r>
        <w:rPr>
          <w:rFonts w:hint="eastAsia"/>
        </w:rPr>
        <w:t>AI</w:t>
      </w:r>
      <w:r>
        <w:rPr>
          <w:rFonts w:hint="eastAsia"/>
        </w:rPr>
        <w:t>激發和支持兒童創造力方面的巨大潛力。</w:t>
      </w:r>
      <w:r>
        <w:rPr>
          <w:rFonts w:hint="eastAsia"/>
        </w:rPr>
        <w:t>Wordcraft</w:t>
      </w:r>
      <w:r>
        <w:rPr>
          <w:rFonts w:hint="eastAsia"/>
        </w:rPr>
        <w:t>是一個文本編輯器，促進用戶與</w:t>
      </w:r>
      <w:r>
        <w:rPr>
          <w:rFonts w:hint="eastAsia"/>
        </w:rPr>
        <w:t>LLM</w:t>
      </w:r>
      <w:r>
        <w:rPr>
          <w:rFonts w:hint="eastAsia"/>
        </w:rPr>
        <w:t>在故事講述中的協作參與。以提供敘事相關的開放式對話，回應用戶的自然語言查詢</w:t>
      </w:r>
      <w:r>
        <w:rPr>
          <w:rFonts w:hint="eastAsia"/>
        </w:rPr>
        <w:t>(Yuan, et al</w:t>
      </w:r>
      <w:r w:rsidR="00D90EB4">
        <w:rPr>
          <w:rFonts w:hint="eastAsia"/>
        </w:rPr>
        <w:t>.</w:t>
      </w:r>
      <w:r>
        <w:rPr>
          <w:rFonts w:hint="eastAsia"/>
        </w:rPr>
        <w:t>, 2022)</w:t>
      </w:r>
      <w:r>
        <w:rPr>
          <w:rFonts w:hint="eastAsia"/>
        </w:rPr>
        <w:t>。</w:t>
      </w:r>
      <w:r>
        <w:rPr>
          <w:rFonts w:hint="eastAsia"/>
        </w:rPr>
        <w:t xml:space="preserve"> StoryDrawer</w:t>
      </w:r>
      <w:r>
        <w:rPr>
          <w:rFonts w:hint="eastAsia"/>
        </w:rPr>
        <w:t>旨在支持兒童在視覺沉浸式故事講述中創作口頭故事</w:t>
      </w:r>
      <w:r>
        <w:rPr>
          <w:rFonts w:hint="eastAsia"/>
        </w:rPr>
        <w:t>(Zhang, et al</w:t>
      </w:r>
      <w:r w:rsidR="00D90EB4">
        <w:rPr>
          <w:rFonts w:hint="eastAsia"/>
        </w:rPr>
        <w:t>.</w:t>
      </w:r>
      <w:r>
        <w:rPr>
          <w:rFonts w:hint="eastAsia"/>
        </w:rPr>
        <w:t>, 2021)</w:t>
      </w:r>
      <w:r>
        <w:rPr>
          <w:rFonts w:hint="eastAsia"/>
        </w:rPr>
        <w:t>，強調兒童與</w:t>
      </w:r>
      <w:r>
        <w:rPr>
          <w:rFonts w:hint="eastAsia"/>
        </w:rPr>
        <w:t>AI</w:t>
      </w:r>
      <w:r>
        <w:rPr>
          <w:rFonts w:hint="eastAsia"/>
        </w:rPr>
        <w:t>系統之間協作和共創的重要性，而不是依賴系統生成故事。</w:t>
      </w:r>
      <w:r>
        <w:rPr>
          <w:rFonts w:hint="eastAsia"/>
        </w:rPr>
        <w:t xml:space="preserve"> CreativeBot </w:t>
      </w:r>
      <w:r>
        <w:rPr>
          <w:rFonts w:hint="eastAsia"/>
        </w:rPr>
        <w:t>是一個旨在通過共創故事講述來激發兒童創造力的機器人</w:t>
      </w:r>
      <w:r>
        <w:rPr>
          <w:rFonts w:hint="eastAsia"/>
        </w:rPr>
        <w:t>(Elgarf, et al</w:t>
      </w:r>
      <w:r w:rsidR="00D90EB4">
        <w:rPr>
          <w:rFonts w:hint="eastAsia"/>
        </w:rPr>
        <w:t>.</w:t>
      </w:r>
      <w:r>
        <w:rPr>
          <w:rFonts w:hint="eastAsia"/>
        </w:rPr>
        <w:t>, 2022)</w:t>
      </w:r>
      <w:r>
        <w:rPr>
          <w:rFonts w:hint="eastAsia"/>
        </w:rPr>
        <w:t>，設計目的是通過共創故事的方式激發兒童的創造力，系統獨特之處在於它能夠生成意外和令人驚喜的故事元素，</w:t>
      </w:r>
      <w:r>
        <w:rPr>
          <w:rFonts w:hint="eastAsia"/>
        </w:rPr>
        <w:lastRenderedPageBreak/>
        <w:t>被證明有效刺激了兒童的想像力；研究表明，</w:t>
      </w:r>
      <w:r>
        <w:rPr>
          <w:rFonts w:hint="eastAsia"/>
        </w:rPr>
        <w:t>CreativeBot</w:t>
      </w:r>
      <w:r>
        <w:rPr>
          <w:rFonts w:hint="eastAsia"/>
        </w:rPr>
        <w:t>的成功主要歸功於四個關鍵因素：靈活性、適應性、協作性和驚喜性，靈活應對兒童的創意需求，適應不同的故事情境，促進人機之間的有效協作，並不斷為故事注入新鮮和意外的元素，從而持續激發兒童的創造力和參與度。另外還有研究開發不同的</w:t>
      </w:r>
      <w:r>
        <w:rPr>
          <w:rFonts w:hint="eastAsia"/>
        </w:rPr>
        <w:t>LLM</w:t>
      </w:r>
      <w:r>
        <w:rPr>
          <w:rFonts w:hint="eastAsia"/>
        </w:rPr>
        <w:t>來支持協作創意寫作</w:t>
      </w:r>
      <w:r>
        <w:rPr>
          <w:rFonts w:hint="eastAsia"/>
        </w:rPr>
        <w:t>(Nichols, et al</w:t>
      </w:r>
      <w:r w:rsidR="00D90EB4">
        <w:rPr>
          <w:rFonts w:hint="eastAsia"/>
        </w:rPr>
        <w:t>.</w:t>
      </w:r>
      <w:r>
        <w:rPr>
          <w:rFonts w:hint="eastAsia"/>
        </w:rPr>
        <w:t>, 2020; Swanson, et al</w:t>
      </w:r>
      <w:r w:rsidR="00D90EB4">
        <w:rPr>
          <w:rFonts w:hint="eastAsia"/>
        </w:rPr>
        <w:t>.</w:t>
      </w:r>
      <w:r>
        <w:rPr>
          <w:rFonts w:hint="eastAsia"/>
        </w:rPr>
        <w:t>, 2021)</w:t>
      </w:r>
      <w:r>
        <w:rPr>
          <w:rFonts w:hint="eastAsia"/>
        </w:rPr>
        <w:t>，其中創造力需要以相關目的、理解、判斷和評估能力來寫作，這些方式被認為是社群中原創且有價值的</w:t>
      </w:r>
      <w:r>
        <w:rPr>
          <w:rFonts w:hint="eastAsia"/>
        </w:rPr>
        <w:t>(Csikszentmihalyi, et al</w:t>
      </w:r>
      <w:r w:rsidR="00D90EB4">
        <w:rPr>
          <w:rFonts w:hint="eastAsia"/>
        </w:rPr>
        <w:t>.</w:t>
      </w:r>
      <w:r>
        <w:rPr>
          <w:rFonts w:hint="eastAsia"/>
        </w:rPr>
        <w:t>, 1990)</w:t>
      </w:r>
      <w:r>
        <w:rPr>
          <w:rFonts w:hint="eastAsia"/>
        </w:rPr>
        <w:t>。</w:t>
      </w:r>
      <w:r>
        <w:rPr>
          <w:rFonts w:hint="eastAsia"/>
        </w:rPr>
        <w:t xml:space="preserve"> </w:t>
      </w:r>
    </w:p>
    <w:p w14:paraId="722E7E08" w14:textId="77777777" w:rsidR="00540140" w:rsidRDefault="00540140" w:rsidP="00540140"/>
    <w:p w14:paraId="6CCFA926" w14:textId="0D20C2A8" w:rsidR="00B22650" w:rsidRDefault="00540140" w:rsidP="00540140">
      <w:r>
        <w:rPr>
          <w:rFonts w:hint="eastAsia"/>
        </w:rPr>
        <w:t>但同時，研究也強調必須謹慎整合並考慮倫理問題</w:t>
      </w:r>
      <w:r>
        <w:rPr>
          <w:rFonts w:hint="eastAsia"/>
        </w:rPr>
        <w:t>(Zhang, 2023)</w:t>
      </w:r>
      <w:r>
        <w:rPr>
          <w:rFonts w:hint="eastAsia"/>
        </w:rPr>
        <w:t>。</w:t>
      </w:r>
      <w:r>
        <w:rPr>
          <w:rFonts w:hint="eastAsia"/>
        </w:rPr>
        <w:t xml:space="preserve"> GenAI</w:t>
      </w:r>
      <w:r>
        <w:rPr>
          <w:rFonts w:hint="eastAsia"/>
        </w:rPr>
        <w:t>的自主創作能力已成為教育的重大新興科技，也陸續發展出許多相關領域生成服務。但其堪比專業的內容生成能力同時也會受到惡意應用而產生諸多風險和威脅。許多國家陸續研擬相關政策，著重搭建</w:t>
      </w:r>
      <w:r>
        <w:rPr>
          <w:rFonts w:hint="eastAsia"/>
        </w:rPr>
        <w:t>AI</w:t>
      </w:r>
      <w:r>
        <w:rPr>
          <w:rFonts w:hint="eastAsia"/>
        </w:rPr>
        <w:t>創新生態系和設計監管機制，如何協助人們適應</w:t>
      </w:r>
      <w:r>
        <w:rPr>
          <w:rFonts w:hint="eastAsia"/>
        </w:rPr>
        <w:t>GenAI</w:t>
      </w:r>
      <w:r>
        <w:rPr>
          <w:rFonts w:hint="eastAsia"/>
        </w:rPr>
        <w:t>的衝擊也是不可忽視的課題，已經有許多關於</w:t>
      </w:r>
      <w:r>
        <w:rPr>
          <w:rFonts w:hint="eastAsia"/>
        </w:rPr>
        <w:t>AI</w:t>
      </w:r>
      <w:r>
        <w:rPr>
          <w:rFonts w:hint="eastAsia"/>
        </w:rPr>
        <w:t>使用他人作品研擬的訴訟，特別是在圖像與視頻生成</w:t>
      </w:r>
      <w:r>
        <w:rPr>
          <w:rFonts w:hint="eastAsia"/>
        </w:rPr>
        <w:t>(Zirpoli, 2023)</w:t>
      </w:r>
      <w:r>
        <w:rPr>
          <w:rFonts w:hint="eastAsia"/>
        </w:rPr>
        <w:t>。除了法律方面，使用</w:t>
      </w:r>
      <w:r>
        <w:rPr>
          <w:rFonts w:hint="eastAsia"/>
        </w:rPr>
        <w:t>GenAI</w:t>
      </w:r>
      <w:r>
        <w:rPr>
          <w:rFonts w:hint="eastAsia"/>
        </w:rPr>
        <w:t>的最關鍵倫理考量之一：偏見，克服這些偏見在使用</w:t>
      </w:r>
      <w:r>
        <w:rPr>
          <w:rFonts w:hint="eastAsia"/>
        </w:rPr>
        <w:t>GenAI</w:t>
      </w:r>
      <w:r>
        <w:rPr>
          <w:rFonts w:hint="eastAsia"/>
        </w:rPr>
        <w:t>生成學習材料時尤為重要，偏見使</w:t>
      </w:r>
      <w:r>
        <w:rPr>
          <w:rFonts w:hint="eastAsia"/>
        </w:rPr>
        <w:t>GenAI</w:t>
      </w:r>
      <w:r>
        <w:rPr>
          <w:rFonts w:hint="eastAsia"/>
        </w:rPr>
        <w:t>生成不準確或誤導信息的能力，被指控所謂的幻覺</w:t>
      </w:r>
      <w:r>
        <w:rPr>
          <w:rFonts w:hint="eastAsia"/>
        </w:rPr>
        <w:t>(Xu, et al</w:t>
      </w:r>
      <w:r w:rsidR="005E1D0E">
        <w:rPr>
          <w:rFonts w:hint="eastAsia"/>
        </w:rPr>
        <w:t>.</w:t>
      </w:r>
      <w:r>
        <w:rPr>
          <w:rFonts w:hint="eastAsia"/>
        </w:rPr>
        <w:t>, 2024)</w:t>
      </w:r>
      <w:r>
        <w:rPr>
          <w:rFonts w:hint="eastAsia"/>
        </w:rPr>
        <w:t>，即便模型生成的內容在語法上是正確的，但在事實上是不正確且無意義的</w:t>
      </w:r>
      <w:r>
        <w:rPr>
          <w:rFonts w:hint="eastAsia"/>
        </w:rPr>
        <w:t>(Yao, et al, 2023)</w:t>
      </w:r>
      <w:r>
        <w:rPr>
          <w:rFonts w:hint="eastAsia"/>
        </w:rPr>
        <w:t>，還有包括性別、種族、文化、語言、意識形態和認知偏見</w:t>
      </w:r>
      <w:r>
        <w:rPr>
          <w:rFonts w:hint="eastAsia"/>
        </w:rPr>
        <w:t>(Ray, 2023)</w:t>
      </w:r>
      <w:r>
        <w:rPr>
          <w:rFonts w:hint="eastAsia"/>
        </w:rPr>
        <w:t>，即使</w:t>
      </w:r>
      <w:r>
        <w:rPr>
          <w:rFonts w:hint="eastAsia"/>
        </w:rPr>
        <w:t>GenAI</w:t>
      </w:r>
      <w:r>
        <w:rPr>
          <w:rFonts w:hint="eastAsia"/>
        </w:rPr>
        <w:t>可以在模型上進行微調，提升模型本身的創意構思、思路辯論和文檔</w:t>
      </w:r>
      <w:r>
        <w:rPr>
          <w:rFonts w:hint="eastAsia"/>
        </w:rPr>
        <w:t>(Chang, et al</w:t>
      </w:r>
      <w:r w:rsidR="000A2F09">
        <w:rPr>
          <w:rFonts w:hint="eastAsia"/>
        </w:rPr>
        <w:t>.</w:t>
      </w:r>
      <w:r>
        <w:rPr>
          <w:rFonts w:hint="eastAsia"/>
        </w:rPr>
        <w:t>, 2023)</w:t>
      </w:r>
      <w:r>
        <w:rPr>
          <w:rFonts w:hint="eastAsia"/>
        </w:rPr>
        <w:t>。然而這也可能導致</w:t>
      </w:r>
      <w:r>
        <w:rPr>
          <w:rFonts w:hint="eastAsia"/>
        </w:rPr>
        <w:t>GenAI</w:t>
      </w:r>
      <w:r>
        <w:rPr>
          <w:rFonts w:hint="eastAsia"/>
        </w:rPr>
        <w:t>生成的設計或做出的決策不符合精細的用戶體驗原則、利益相關者的滿意度，違反人類價值、倫理或文化規範</w:t>
      </w:r>
      <w:r>
        <w:rPr>
          <w:rFonts w:hint="eastAsia"/>
        </w:rPr>
        <w:t>(Zhuang &amp; Hadfield-Menell, 2020)</w:t>
      </w:r>
      <w:r>
        <w:rPr>
          <w:rFonts w:hint="eastAsia"/>
        </w:rPr>
        <w:t>，雖說目前有研究提出一些緩解方式，例如自我反思方法</w:t>
      </w:r>
      <w:r>
        <w:rPr>
          <w:rFonts w:hint="eastAsia"/>
        </w:rPr>
        <w:t>(Ji, et al</w:t>
      </w:r>
      <w:r w:rsidR="000A2F09">
        <w:rPr>
          <w:rFonts w:hint="eastAsia"/>
        </w:rPr>
        <w:t>.</w:t>
      </w:r>
      <w:r>
        <w:rPr>
          <w:rFonts w:hint="eastAsia"/>
        </w:rPr>
        <w:t>, 2023)</w:t>
      </w:r>
      <w:r>
        <w:rPr>
          <w:rFonts w:hint="eastAsia"/>
        </w:rPr>
        <w:t>，答案加權技術</w:t>
      </w:r>
      <w:r>
        <w:rPr>
          <w:rFonts w:hint="eastAsia"/>
        </w:rPr>
        <w:t>(Wei, et al</w:t>
      </w:r>
      <w:r w:rsidR="00023E6D">
        <w:rPr>
          <w:rFonts w:hint="eastAsia"/>
        </w:rPr>
        <w:t>.</w:t>
      </w:r>
      <w:r>
        <w:rPr>
          <w:rFonts w:hint="eastAsia"/>
        </w:rPr>
        <w:t>, 2024)</w:t>
      </w:r>
      <w:r>
        <w:rPr>
          <w:rFonts w:hint="eastAsia"/>
        </w:rPr>
        <w:t>，雙重檢查</w:t>
      </w:r>
      <w:r>
        <w:rPr>
          <w:rFonts w:hint="eastAsia"/>
        </w:rPr>
        <w:t>(Galitsky, 2023)</w:t>
      </w:r>
      <w:r>
        <w:rPr>
          <w:rFonts w:hint="eastAsia"/>
        </w:rPr>
        <w:t>，使用多樣且具有代表性的數據集</w:t>
      </w:r>
      <w:r>
        <w:rPr>
          <w:rFonts w:hint="eastAsia"/>
        </w:rPr>
        <w:t>(Gichoya, et al</w:t>
      </w:r>
      <w:r w:rsidR="00543273">
        <w:rPr>
          <w:rFonts w:hint="eastAsia"/>
        </w:rPr>
        <w:t>.</w:t>
      </w:r>
      <w:r>
        <w:rPr>
          <w:rFonts w:hint="eastAsia"/>
        </w:rPr>
        <w:t>, 2023)</w:t>
      </w:r>
      <w:r>
        <w:rPr>
          <w:rFonts w:hint="eastAsia"/>
        </w:rPr>
        <w:t>等。</w:t>
      </w:r>
      <w:r>
        <w:rPr>
          <w:rFonts w:hint="eastAsia"/>
        </w:rPr>
        <w:t>Bernius, et al.(202</w:t>
      </w:r>
      <w:r w:rsidR="00612D47">
        <w:rPr>
          <w:rFonts w:hint="eastAsia"/>
        </w:rPr>
        <w:t>3</w:t>
      </w:r>
      <w:r>
        <w:rPr>
          <w:rFonts w:hint="eastAsia"/>
        </w:rPr>
        <w:t>)</w:t>
      </w:r>
      <w:r>
        <w:rPr>
          <w:rFonts w:hint="eastAsia"/>
        </w:rPr>
        <w:t>和</w:t>
      </w:r>
      <w:r>
        <w:rPr>
          <w:rFonts w:hint="eastAsia"/>
        </w:rPr>
        <w:t>Sailer, et al.(2023)</w:t>
      </w:r>
      <w:r>
        <w:rPr>
          <w:rFonts w:hint="eastAsia"/>
        </w:rPr>
        <w:t>研究顯示，來自</w:t>
      </w:r>
      <w:r>
        <w:rPr>
          <w:rFonts w:hint="eastAsia"/>
        </w:rPr>
        <w:t>LLM</w:t>
      </w:r>
      <w:r>
        <w:rPr>
          <w:rFonts w:hint="eastAsia"/>
        </w:rPr>
        <w:t>的反饋往往受到積極接收，有助於接受反饋的學習者的發展，但其仍存在於一些固有局限性，</w:t>
      </w:r>
      <w:r w:rsidR="00982AA2" w:rsidRPr="00982AA2">
        <w:t>Franceschelli &amp; Musolesi</w:t>
      </w:r>
      <w:r>
        <w:rPr>
          <w:rFonts w:hint="eastAsia"/>
        </w:rPr>
        <w:t xml:space="preserve"> (2023)</w:t>
      </w:r>
      <w:r>
        <w:rPr>
          <w:rFonts w:hint="eastAsia"/>
        </w:rPr>
        <w:t>指出模型主要依賴於總結和重組已有信息，缺乏明確的寫作意圖，且沒有必要的自我反饋機制來有意識地突破常規思維。研究者建議設計特定的界面元素，以增強模型的表現並更好地模擬人類的寫作過程。也有研究指出</w:t>
      </w:r>
      <w:r>
        <w:rPr>
          <w:rFonts w:hint="eastAsia"/>
        </w:rPr>
        <w:t>GenAI</w:t>
      </w:r>
      <w:r>
        <w:rPr>
          <w:rFonts w:hint="eastAsia"/>
        </w:rPr>
        <w:t>缺乏在教育者、家長和學生觀點中的角色的明確性。另外仍須進一步調查這些新興技術是否以及如何改善小學識字發展的學習過程。未來的研究應該聚焦於如何最大化這些技術的教育價值，同時最小化潛在的負面影響。這需要教育工作者、技術開發者、政策制定者和研究人員的密切合作，共同構建一個能夠充分利用</w:t>
      </w:r>
      <w:r>
        <w:rPr>
          <w:rFonts w:hint="eastAsia"/>
        </w:rPr>
        <w:t>AI</w:t>
      </w:r>
      <w:r>
        <w:rPr>
          <w:rFonts w:hint="eastAsia"/>
        </w:rPr>
        <w:t>優勢，又能保護學生權益和促進全面發展的教育生態系統。</w:t>
      </w:r>
    </w:p>
    <w:p w14:paraId="0AD87323" w14:textId="2CC5C747" w:rsidR="00B22650" w:rsidRDefault="00B22650"/>
    <w:p w14:paraId="7162950E" w14:textId="77777777" w:rsidR="00841A52" w:rsidRDefault="00841A52" w:rsidP="00423781">
      <w:pPr>
        <w:pStyle w:val="2"/>
      </w:pPr>
      <w:r>
        <w:rPr>
          <w:rFonts w:hint="eastAsia"/>
        </w:rPr>
        <w:t>研究設計</w:t>
      </w:r>
    </w:p>
    <w:p w14:paraId="3A7AC629" w14:textId="1FD60AA1" w:rsidR="00B22650" w:rsidRDefault="00841A52" w:rsidP="00841A52">
      <w:pPr>
        <w:pStyle w:val="3"/>
      </w:pPr>
      <w:r>
        <w:rPr>
          <w:rFonts w:hint="eastAsia"/>
        </w:rPr>
        <w:t>實驗對象、問卷構面與操作型定義</w:t>
      </w:r>
    </w:p>
    <w:p w14:paraId="0A2607AE" w14:textId="3A66F04E" w:rsidR="00B22650" w:rsidRDefault="00841A52">
      <w:r w:rsidRPr="00841A52">
        <w:rPr>
          <w:rFonts w:hint="eastAsia"/>
        </w:rPr>
        <w:t>本研究對象鎖定為台灣南部小學高年級學生，共</w:t>
      </w:r>
      <w:r w:rsidRPr="00841A52">
        <w:rPr>
          <w:rFonts w:hint="eastAsia"/>
        </w:rPr>
        <w:t>184</w:t>
      </w:r>
      <w:r w:rsidRPr="00841A52">
        <w:rPr>
          <w:rFonts w:hint="eastAsia"/>
        </w:rPr>
        <w:t>人，利用他們在電腦課中教授</w:t>
      </w:r>
      <w:r w:rsidRPr="00841A52">
        <w:rPr>
          <w:rFonts w:hint="eastAsia"/>
        </w:rPr>
        <w:t>AI</w:t>
      </w:r>
      <w:r w:rsidRPr="00841A52">
        <w:rPr>
          <w:rFonts w:hint="eastAsia"/>
        </w:rPr>
        <w:t>簡介。實驗本身於課堂進行，因此有效問卷率為</w:t>
      </w:r>
      <w:r w:rsidRPr="00841A52">
        <w:rPr>
          <w:rFonts w:hint="eastAsia"/>
        </w:rPr>
        <w:t>100%</w:t>
      </w:r>
      <w:r w:rsidRPr="00841A52">
        <w:rPr>
          <w:rFonts w:hint="eastAsia"/>
        </w:rPr>
        <w:t>。研究構面參考</w:t>
      </w:r>
      <w:r w:rsidRPr="00841A52">
        <w:rPr>
          <w:rFonts w:hint="eastAsia"/>
        </w:rPr>
        <w:t>Fakhri, et al.(2024)</w:t>
      </w:r>
      <w:r w:rsidRPr="00841A52">
        <w:rPr>
          <w:rFonts w:hint="eastAsia"/>
        </w:rPr>
        <w:t>模型並針對不足進行延伸修改。再依據</w:t>
      </w:r>
      <w:r w:rsidRPr="00841A52">
        <w:rPr>
          <w:rFonts w:hint="eastAsia"/>
        </w:rPr>
        <w:t>Fornell &amp; Larcker(1981)</w:t>
      </w:r>
      <w:r w:rsidRPr="00841A52">
        <w:rPr>
          <w:rFonts w:hint="eastAsia"/>
        </w:rPr>
        <w:t>標準，先以</w:t>
      </w:r>
      <w:r w:rsidRPr="00841A52">
        <w:rPr>
          <w:rFonts w:hint="eastAsia"/>
        </w:rPr>
        <w:t>SPSS</w:t>
      </w:r>
      <w:r w:rsidRPr="00841A52">
        <w:rPr>
          <w:rFonts w:hint="eastAsia"/>
        </w:rPr>
        <w:t>進行因素分析以縮減構面的題項，將因素負荷量低於</w:t>
      </w:r>
      <w:r w:rsidRPr="00841A52">
        <w:rPr>
          <w:rFonts w:hint="eastAsia"/>
        </w:rPr>
        <w:t xml:space="preserve"> 0.7 </w:t>
      </w:r>
      <w:r w:rsidRPr="00841A52">
        <w:rPr>
          <w:rFonts w:hint="eastAsia"/>
        </w:rPr>
        <w:t>者予以刪除，所獲得的量表題項均具高同質性。後續測試與分析再以</w:t>
      </w:r>
      <w:r w:rsidRPr="00841A52">
        <w:rPr>
          <w:rFonts w:hint="eastAsia"/>
        </w:rPr>
        <w:t>SmartPLS</w:t>
      </w:r>
      <w:r w:rsidRPr="00841A52">
        <w:rPr>
          <w:rFonts w:hint="eastAsia"/>
        </w:rPr>
        <w:t>執行。問卷旨在了解受訪者對於使用</w:t>
      </w:r>
      <w:r w:rsidRPr="00841A52">
        <w:rPr>
          <w:rFonts w:hint="eastAsia"/>
        </w:rPr>
        <w:t>GenAI</w:t>
      </w:r>
      <w:r w:rsidRPr="00841A52">
        <w:rPr>
          <w:rFonts w:hint="eastAsia"/>
        </w:rPr>
        <w:t>之使用意願、使</w:t>
      </w:r>
      <w:r w:rsidRPr="00841A52">
        <w:rPr>
          <w:rFonts w:hint="eastAsia"/>
        </w:rPr>
        <w:lastRenderedPageBreak/>
        <w:t>用頻率，以及在實現高等教育學習目標方面的態度、滿意度和能力。</w:t>
      </w:r>
      <w:r w:rsidR="00641C92" w:rsidRPr="00641C92">
        <w:rPr>
          <w:rFonts w:hint="eastAsia"/>
          <w:color w:val="FF0000"/>
        </w:rPr>
        <w:t>原文獻中的構面為</w:t>
      </w:r>
      <w:r w:rsidR="00641C92">
        <w:rPr>
          <w:rFonts w:hint="eastAsia"/>
          <w:color w:val="FF0000"/>
        </w:rPr>
        <w:t>「</w:t>
      </w:r>
      <w:r w:rsidR="00641C92" w:rsidRPr="00641C92">
        <w:rPr>
          <w:rFonts w:hint="eastAsia"/>
          <w:color w:val="FF0000"/>
        </w:rPr>
        <w:t>Perception and Attitude towards ChatGPT in Academics (PATA)</w:t>
      </w:r>
      <w:r w:rsidR="00641C92">
        <w:rPr>
          <w:rFonts w:hint="eastAsia"/>
          <w:color w:val="FF0000"/>
        </w:rPr>
        <w:t>」</w:t>
      </w:r>
      <w:r w:rsidR="00641C92" w:rsidRPr="00641C92">
        <w:rPr>
          <w:rFonts w:hint="eastAsia"/>
          <w:color w:val="FF0000"/>
        </w:rPr>
        <w:t>，本研究認為目前</w:t>
      </w:r>
      <w:r w:rsidR="00641C92" w:rsidRPr="00641C92">
        <w:rPr>
          <w:rFonts w:hint="eastAsia"/>
          <w:color w:val="FF0000"/>
        </w:rPr>
        <w:t>AI</w:t>
      </w:r>
      <w:r w:rsidR="00641C92" w:rsidRPr="00641C92">
        <w:rPr>
          <w:rFonts w:hint="eastAsia"/>
          <w:color w:val="FF0000"/>
        </w:rPr>
        <w:t>的工具不再僅限於</w:t>
      </w:r>
      <w:r w:rsidR="00641C92" w:rsidRPr="00641C92">
        <w:rPr>
          <w:rFonts w:hint="eastAsia"/>
          <w:color w:val="FF0000"/>
        </w:rPr>
        <w:t>ChatGPT</w:t>
      </w:r>
      <w:r w:rsidR="00641C92" w:rsidRPr="00641C92">
        <w:rPr>
          <w:rFonts w:hint="eastAsia"/>
          <w:color w:val="FF0000"/>
        </w:rPr>
        <w:t>，而應綜觀整體，以生成式</w:t>
      </w:r>
      <w:r w:rsidR="00641C92" w:rsidRPr="00641C92">
        <w:rPr>
          <w:rFonts w:hint="eastAsia"/>
          <w:color w:val="FF0000"/>
        </w:rPr>
        <w:t>AI</w:t>
      </w:r>
      <w:r w:rsidR="00641C92" w:rsidRPr="00641C92">
        <w:rPr>
          <w:rFonts w:hint="eastAsia"/>
          <w:color w:val="FF0000"/>
        </w:rPr>
        <w:t>工具</w:t>
      </w:r>
      <w:r w:rsidR="00641C92" w:rsidRPr="00641C92">
        <w:rPr>
          <w:rFonts w:hint="eastAsia"/>
          <w:color w:val="FF0000"/>
        </w:rPr>
        <w:t>(GenAI)</w:t>
      </w:r>
      <w:r w:rsidR="00641C92" w:rsidRPr="00641C92">
        <w:rPr>
          <w:rFonts w:hint="eastAsia"/>
          <w:color w:val="FF0000"/>
        </w:rPr>
        <w:t>為調查意象，並針對小學生的學習環境。因此，將構面調整為</w:t>
      </w:r>
      <w:r w:rsidR="00641C92">
        <w:rPr>
          <w:rFonts w:hint="eastAsia"/>
          <w:color w:val="FF0000"/>
        </w:rPr>
        <w:t>「</w:t>
      </w:r>
      <w:r w:rsidR="00641C92" w:rsidRPr="00641C92">
        <w:rPr>
          <w:rFonts w:hint="eastAsia"/>
          <w:color w:val="FF0000"/>
        </w:rPr>
        <w:t>Perception and Attitude towards GenAI in Learning (PAGL)</w:t>
      </w:r>
      <w:r w:rsidR="00641C92">
        <w:rPr>
          <w:rFonts w:hint="eastAsia"/>
          <w:color w:val="FF0000"/>
        </w:rPr>
        <w:t>」</w:t>
      </w:r>
      <w:r w:rsidR="00641C92">
        <w:rPr>
          <w:rFonts w:hint="eastAsia"/>
        </w:rPr>
        <w:t>。</w:t>
      </w:r>
      <w:r w:rsidRPr="00841A52">
        <w:rPr>
          <w:rFonts w:hint="eastAsia"/>
        </w:rPr>
        <w:t>此外，社會的多元包容性雖然值得肯定，但同時也可能孕育偏見，</w:t>
      </w:r>
      <w:r w:rsidRPr="00841A52">
        <w:rPr>
          <w:rFonts w:hint="eastAsia"/>
        </w:rPr>
        <w:t>AI</w:t>
      </w:r>
      <w:r w:rsidRPr="00841A52">
        <w:rPr>
          <w:rFonts w:hint="eastAsia"/>
        </w:rPr>
        <w:t>領域亦是如此。那些擁有強烈的人類中心主義信念的人可能會對</w:t>
      </w:r>
      <w:r w:rsidRPr="00841A52">
        <w:rPr>
          <w:rFonts w:hint="eastAsia"/>
        </w:rPr>
        <w:t>GenAI</w:t>
      </w:r>
      <w:r w:rsidRPr="00841A52">
        <w:rPr>
          <w:rFonts w:hint="eastAsia"/>
        </w:rPr>
        <w:t>生成的輸出持有偏見，認為這些輸出缺乏創意和鼓舞性，僅僅因為他們知道這是由</w:t>
      </w:r>
      <w:r w:rsidRPr="00841A52">
        <w:rPr>
          <w:rFonts w:hint="eastAsia"/>
        </w:rPr>
        <w:t>GenAI</w:t>
      </w:r>
      <w:r w:rsidRPr="00841A52">
        <w:rPr>
          <w:rFonts w:hint="eastAsia"/>
        </w:rPr>
        <w:t>創造</w:t>
      </w:r>
      <w:r w:rsidRPr="00841A52">
        <w:rPr>
          <w:rFonts w:hint="eastAsia"/>
        </w:rPr>
        <w:t>(Millet, et al, 2023)</w:t>
      </w:r>
      <w:r w:rsidRPr="00841A52">
        <w:rPr>
          <w:rFonts w:hint="eastAsia"/>
        </w:rPr>
        <w:t>，也因此，我們在原文獻模型上，增加探討教育界對於</w:t>
      </w:r>
      <w:r w:rsidRPr="00841A52">
        <w:rPr>
          <w:rFonts w:hint="eastAsia"/>
        </w:rPr>
        <w:t>GenAI</w:t>
      </w:r>
      <w:r w:rsidRPr="00841A52">
        <w:rPr>
          <w:rFonts w:hint="eastAsia"/>
        </w:rPr>
        <w:t>的態度與滿意度及能力影響之間是否有關係。</w:t>
      </w:r>
    </w:p>
    <w:p w14:paraId="7FCF85C6" w14:textId="574C0B38" w:rsidR="00B22650" w:rsidRDefault="00B22650"/>
    <w:p w14:paraId="32B0A31F" w14:textId="3FDAFE6F" w:rsidR="00816957" w:rsidRDefault="00816957" w:rsidP="00816957">
      <w:pPr>
        <w:pStyle w:val="a8"/>
        <w:keepNext/>
      </w:pPr>
      <w:bookmarkStart w:id="2" w:name="_Ref171710416"/>
      <w:r>
        <w:t xml:space="preserve">table </w:t>
      </w:r>
      <w:fldSimple w:instr=" SEQ table \* ARABIC ">
        <w:r w:rsidR="00103878">
          <w:rPr>
            <w:noProof/>
          </w:rPr>
          <w:t>2</w:t>
        </w:r>
      </w:fldSimple>
      <w:bookmarkEnd w:id="2"/>
      <w:r>
        <w:rPr>
          <w:rFonts w:hint="eastAsia"/>
        </w:rPr>
        <w:t>：量表構面與題項</w:t>
      </w:r>
    </w:p>
    <w:tbl>
      <w:tblPr>
        <w:tblW w:w="0" w:type="auto"/>
        <w:tblCellMar>
          <w:left w:w="28" w:type="dxa"/>
          <w:right w:w="28" w:type="dxa"/>
        </w:tblCellMar>
        <w:tblLook w:val="04A0" w:firstRow="1" w:lastRow="0" w:firstColumn="1" w:lastColumn="0" w:noHBand="0" w:noVBand="1"/>
      </w:tblPr>
      <w:tblGrid>
        <w:gridCol w:w="2127"/>
        <w:gridCol w:w="1417"/>
        <w:gridCol w:w="6094"/>
      </w:tblGrid>
      <w:tr w:rsidR="00816957" w:rsidRPr="00DB1EE1" w14:paraId="150FA3E7" w14:textId="77777777" w:rsidTr="00293029">
        <w:trPr>
          <w:trHeight w:val="315"/>
        </w:trPr>
        <w:tc>
          <w:tcPr>
            <w:tcW w:w="2127" w:type="dxa"/>
            <w:tcBorders>
              <w:top w:val="single" w:sz="4" w:space="0" w:color="auto"/>
              <w:left w:val="nil"/>
              <w:bottom w:val="single" w:sz="4" w:space="0" w:color="auto"/>
              <w:right w:val="nil"/>
            </w:tcBorders>
            <w:shd w:val="clear" w:color="auto" w:fill="auto"/>
            <w:noWrap/>
            <w:hideMark/>
          </w:tcPr>
          <w:p w14:paraId="35C7D2BF" w14:textId="77777777" w:rsidR="00816957" w:rsidRPr="00DB1EE1" w:rsidRDefault="00816957" w:rsidP="00293029">
            <w:pPr>
              <w:widowControl/>
              <w:snapToGrid w:val="0"/>
              <w:jc w:val="center"/>
              <w:rPr>
                <w:rFonts w:cs="Times New Roman"/>
                <w:color w:val="000000"/>
                <w:kern w:val="0"/>
                <w:sz w:val="22"/>
              </w:rPr>
            </w:pPr>
            <w:r w:rsidRPr="00DB1EE1">
              <w:rPr>
                <w:rFonts w:cs="Times New Roman" w:hint="eastAsia"/>
                <w:color w:val="000000"/>
                <w:kern w:val="0"/>
                <w:sz w:val="22"/>
              </w:rPr>
              <w:t>研究構面</w:t>
            </w:r>
          </w:p>
        </w:tc>
        <w:tc>
          <w:tcPr>
            <w:tcW w:w="1417" w:type="dxa"/>
            <w:tcBorders>
              <w:top w:val="single" w:sz="4" w:space="0" w:color="auto"/>
              <w:left w:val="nil"/>
              <w:bottom w:val="single" w:sz="4" w:space="0" w:color="auto"/>
              <w:right w:val="nil"/>
            </w:tcBorders>
            <w:shd w:val="clear" w:color="auto" w:fill="auto"/>
            <w:noWrap/>
            <w:hideMark/>
          </w:tcPr>
          <w:p w14:paraId="4DECC9BE" w14:textId="77777777" w:rsidR="00816957" w:rsidRPr="00DB1EE1" w:rsidRDefault="00816957" w:rsidP="00293029">
            <w:pPr>
              <w:widowControl/>
              <w:snapToGrid w:val="0"/>
              <w:jc w:val="center"/>
              <w:rPr>
                <w:rFonts w:cs="Times New Roman"/>
                <w:color w:val="000000"/>
                <w:kern w:val="0"/>
                <w:sz w:val="22"/>
              </w:rPr>
            </w:pPr>
            <w:r w:rsidRPr="00DB1EE1">
              <w:rPr>
                <w:rFonts w:cs="Times New Roman" w:hint="eastAsia"/>
                <w:color w:val="000000"/>
                <w:kern w:val="0"/>
                <w:sz w:val="22"/>
              </w:rPr>
              <w:t>問卷代號</w:t>
            </w:r>
          </w:p>
        </w:tc>
        <w:tc>
          <w:tcPr>
            <w:tcW w:w="6094" w:type="dxa"/>
            <w:tcBorders>
              <w:top w:val="single" w:sz="4" w:space="0" w:color="auto"/>
              <w:left w:val="nil"/>
              <w:bottom w:val="single" w:sz="4" w:space="0" w:color="auto"/>
              <w:right w:val="nil"/>
            </w:tcBorders>
            <w:shd w:val="clear" w:color="auto" w:fill="auto"/>
            <w:noWrap/>
            <w:hideMark/>
          </w:tcPr>
          <w:p w14:paraId="10046E7E" w14:textId="77777777" w:rsidR="00816957" w:rsidRPr="00DB1EE1" w:rsidRDefault="00816957" w:rsidP="00293029">
            <w:pPr>
              <w:widowControl/>
              <w:snapToGrid w:val="0"/>
              <w:jc w:val="center"/>
              <w:rPr>
                <w:rFonts w:cs="Times New Roman"/>
                <w:color w:val="000000"/>
                <w:kern w:val="0"/>
                <w:sz w:val="22"/>
              </w:rPr>
            </w:pPr>
            <w:r w:rsidRPr="00DB1EE1">
              <w:rPr>
                <w:rFonts w:cs="Times New Roman" w:hint="eastAsia"/>
                <w:color w:val="000000"/>
                <w:kern w:val="0"/>
                <w:sz w:val="22"/>
              </w:rPr>
              <w:t>問卷題項</w:t>
            </w:r>
          </w:p>
        </w:tc>
      </w:tr>
      <w:tr w:rsidR="00816957" w:rsidRPr="00DB1EE1" w14:paraId="1FC0865A" w14:textId="77777777" w:rsidTr="00293029">
        <w:trPr>
          <w:trHeight w:val="315"/>
        </w:trPr>
        <w:tc>
          <w:tcPr>
            <w:tcW w:w="2127" w:type="dxa"/>
            <w:vMerge w:val="restart"/>
            <w:tcBorders>
              <w:top w:val="single" w:sz="4" w:space="0" w:color="auto"/>
              <w:left w:val="nil"/>
              <w:bottom w:val="single" w:sz="4" w:space="0" w:color="000000"/>
              <w:right w:val="nil"/>
            </w:tcBorders>
            <w:shd w:val="clear" w:color="auto" w:fill="auto"/>
            <w:noWrap/>
            <w:hideMark/>
          </w:tcPr>
          <w:p w14:paraId="140F9D60" w14:textId="61AC9446" w:rsidR="00816957" w:rsidRPr="00DB1EE1" w:rsidRDefault="00300CCF" w:rsidP="00293029">
            <w:pPr>
              <w:widowControl/>
              <w:snapToGrid w:val="0"/>
              <w:rPr>
                <w:rFonts w:cs="Times New Roman"/>
                <w:color w:val="000000"/>
                <w:kern w:val="0"/>
                <w:sz w:val="22"/>
              </w:rPr>
            </w:pPr>
            <w:r w:rsidRPr="00300CCF">
              <w:rPr>
                <w:rFonts w:cs="Times New Roman"/>
                <w:color w:val="FF0000"/>
                <w:kern w:val="0"/>
                <w:sz w:val="22"/>
              </w:rPr>
              <w:t>Perception and Attitude towards GenAI in Learning (PAGL)</w:t>
            </w:r>
          </w:p>
        </w:tc>
        <w:tc>
          <w:tcPr>
            <w:tcW w:w="1417" w:type="dxa"/>
            <w:tcBorders>
              <w:top w:val="single" w:sz="4" w:space="0" w:color="auto"/>
              <w:left w:val="nil"/>
              <w:bottom w:val="nil"/>
              <w:right w:val="nil"/>
            </w:tcBorders>
            <w:shd w:val="clear" w:color="auto" w:fill="auto"/>
            <w:noWrap/>
            <w:hideMark/>
          </w:tcPr>
          <w:p w14:paraId="36153827" w14:textId="5A097AAD" w:rsidR="00816957" w:rsidRPr="00300CCF" w:rsidRDefault="00816957" w:rsidP="00293029">
            <w:pPr>
              <w:widowControl/>
              <w:snapToGrid w:val="0"/>
              <w:rPr>
                <w:rFonts w:cs="Times New Roman"/>
                <w:color w:val="FF0000"/>
                <w:kern w:val="0"/>
                <w:sz w:val="22"/>
              </w:rPr>
            </w:pPr>
            <w:r w:rsidRPr="00300CCF">
              <w:rPr>
                <w:rFonts w:cs="Times New Roman"/>
                <w:color w:val="FF0000"/>
                <w:kern w:val="0"/>
                <w:sz w:val="22"/>
              </w:rPr>
              <w:t>PA</w:t>
            </w:r>
            <w:r w:rsidR="00300CCF" w:rsidRPr="00300CCF">
              <w:rPr>
                <w:rFonts w:cs="Times New Roman" w:hint="eastAsia"/>
                <w:color w:val="FF0000"/>
                <w:kern w:val="0"/>
                <w:sz w:val="22"/>
              </w:rPr>
              <w:t>GL</w:t>
            </w:r>
            <w:r w:rsidRPr="00300CCF">
              <w:rPr>
                <w:rFonts w:cs="Times New Roman"/>
                <w:color w:val="FF0000"/>
                <w:kern w:val="0"/>
                <w:sz w:val="22"/>
              </w:rPr>
              <w:t>-1</w:t>
            </w:r>
          </w:p>
        </w:tc>
        <w:tc>
          <w:tcPr>
            <w:tcW w:w="6094" w:type="dxa"/>
            <w:tcBorders>
              <w:top w:val="single" w:sz="4" w:space="0" w:color="auto"/>
              <w:left w:val="nil"/>
              <w:bottom w:val="nil"/>
              <w:right w:val="nil"/>
            </w:tcBorders>
            <w:shd w:val="clear" w:color="auto" w:fill="auto"/>
            <w:noWrap/>
            <w:hideMark/>
          </w:tcPr>
          <w:p w14:paraId="6718068F"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believe that using AI tools can improve my learning effectiveness</w:t>
            </w:r>
          </w:p>
        </w:tc>
      </w:tr>
      <w:tr w:rsidR="00816957" w:rsidRPr="00DB1EE1" w14:paraId="42F2AB29" w14:textId="77777777" w:rsidTr="00293029">
        <w:trPr>
          <w:trHeight w:val="315"/>
        </w:trPr>
        <w:tc>
          <w:tcPr>
            <w:tcW w:w="2127" w:type="dxa"/>
            <w:vMerge/>
            <w:tcBorders>
              <w:top w:val="single" w:sz="4" w:space="0" w:color="auto"/>
              <w:left w:val="nil"/>
              <w:bottom w:val="single" w:sz="4" w:space="0" w:color="000000"/>
              <w:right w:val="nil"/>
            </w:tcBorders>
            <w:vAlign w:val="center"/>
            <w:hideMark/>
          </w:tcPr>
          <w:p w14:paraId="37EEDB79"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nil"/>
              <w:right w:val="nil"/>
            </w:tcBorders>
            <w:shd w:val="clear" w:color="auto" w:fill="auto"/>
            <w:noWrap/>
            <w:hideMark/>
          </w:tcPr>
          <w:p w14:paraId="6166944F" w14:textId="2955145A" w:rsidR="00816957" w:rsidRPr="00300CCF" w:rsidRDefault="00816957" w:rsidP="00293029">
            <w:pPr>
              <w:widowControl/>
              <w:snapToGrid w:val="0"/>
              <w:rPr>
                <w:rFonts w:cs="Times New Roman"/>
                <w:color w:val="FF0000"/>
                <w:kern w:val="0"/>
                <w:sz w:val="22"/>
              </w:rPr>
            </w:pPr>
            <w:r w:rsidRPr="00300CCF">
              <w:rPr>
                <w:rFonts w:cs="Times New Roman"/>
                <w:color w:val="FF0000"/>
                <w:kern w:val="0"/>
                <w:sz w:val="22"/>
              </w:rPr>
              <w:t>PA</w:t>
            </w:r>
            <w:r w:rsidR="00300CCF" w:rsidRPr="00300CCF">
              <w:rPr>
                <w:rFonts w:cs="Times New Roman" w:hint="eastAsia"/>
                <w:color w:val="FF0000"/>
                <w:kern w:val="0"/>
                <w:sz w:val="22"/>
              </w:rPr>
              <w:t>GL</w:t>
            </w:r>
            <w:r w:rsidRPr="00300CCF">
              <w:rPr>
                <w:rFonts w:cs="Times New Roman"/>
                <w:color w:val="FF0000"/>
                <w:kern w:val="0"/>
                <w:sz w:val="22"/>
              </w:rPr>
              <w:t>-2</w:t>
            </w:r>
          </w:p>
        </w:tc>
        <w:tc>
          <w:tcPr>
            <w:tcW w:w="6094" w:type="dxa"/>
            <w:tcBorders>
              <w:top w:val="nil"/>
              <w:left w:val="nil"/>
              <w:bottom w:val="nil"/>
              <w:right w:val="nil"/>
            </w:tcBorders>
            <w:shd w:val="clear" w:color="auto" w:fill="auto"/>
            <w:noWrap/>
            <w:hideMark/>
          </w:tcPr>
          <w:p w14:paraId="3754955C"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am optimistic about using AI tools in academic activities</w:t>
            </w:r>
          </w:p>
        </w:tc>
      </w:tr>
      <w:tr w:rsidR="00816957" w:rsidRPr="00DB1EE1" w14:paraId="3AE96987" w14:textId="77777777" w:rsidTr="00293029">
        <w:trPr>
          <w:trHeight w:val="315"/>
        </w:trPr>
        <w:tc>
          <w:tcPr>
            <w:tcW w:w="2127" w:type="dxa"/>
            <w:vMerge/>
            <w:tcBorders>
              <w:top w:val="single" w:sz="4" w:space="0" w:color="auto"/>
              <w:left w:val="nil"/>
              <w:bottom w:val="single" w:sz="4" w:space="0" w:color="000000"/>
              <w:right w:val="nil"/>
            </w:tcBorders>
            <w:vAlign w:val="center"/>
            <w:hideMark/>
          </w:tcPr>
          <w:p w14:paraId="729D1B55"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single" w:sz="4" w:space="0" w:color="auto"/>
              <w:right w:val="nil"/>
            </w:tcBorders>
            <w:shd w:val="clear" w:color="auto" w:fill="auto"/>
            <w:noWrap/>
            <w:hideMark/>
          </w:tcPr>
          <w:p w14:paraId="102E8B1C" w14:textId="4CEA835A" w:rsidR="00816957" w:rsidRPr="00300CCF" w:rsidRDefault="00816957" w:rsidP="00293029">
            <w:pPr>
              <w:widowControl/>
              <w:snapToGrid w:val="0"/>
              <w:rPr>
                <w:rFonts w:cs="Times New Roman"/>
                <w:color w:val="FF0000"/>
                <w:kern w:val="0"/>
                <w:sz w:val="22"/>
              </w:rPr>
            </w:pPr>
            <w:r w:rsidRPr="00300CCF">
              <w:rPr>
                <w:rFonts w:cs="Times New Roman"/>
                <w:color w:val="FF0000"/>
                <w:kern w:val="0"/>
                <w:sz w:val="22"/>
              </w:rPr>
              <w:t>PA</w:t>
            </w:r>
            <w:r w:rsidR="00300CCF" w:rsidRPr="00300CCF">
              <w:rPr>
                <w:rFonts w:cs="Times New Roman" w:hint="eastAsia"/>
                <w:color w:val="FF0000"/>
                <w:kern w:val="0"/>
                <w:sz w:val="22"/>
              </w:rPr>
              <w:t>GL</w:t>
            </w:r>
            <w:r w:rsidRPr="00300CCF">
              <w:rPr>
                <w:rFonts w:cs="Times New Roman"/>
                <w:color w:val="FF0000"/>
                <w:kern w:val="0"/>
                <w:sz w:val="22"/>
              </w:rPr>
              <w:t>-3</w:t>
            </w:r>
          </w:p>
        </w:tc>
        <w:tc>
          <w:tcPr>
            <w:tcW w:w="6094" w:type="dxa"/>
            <w:tcBorders>
              <w:top w:val="nil"/>
              <w:left w:val="nil"/>
              <w:bottom w:val="single" w:sz="4" w:space="0" w:color="auto"/>
              <w:right w:val="nil"/>
            </w:tcBorders>
            <w:shd w:val="clear" w:color="auto" w:fill="auto"/>
            <w:noWrap/>
            <w:hideMark/>
          </w:tcPr>
          <w:p w14:paraId="649B7521"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am willing to continue using AI tools in my future learning</w:t>
            </w:r>
          </w:p>
        </w:tc>
      </w:tr>
      <w:tr w:rsidR="00816957" w:rsidRPr="00DB1EE1" w14:paraId="65D78A19" w14:textId="77777777" w:rsidTr="00293029">
        <w:trPr>
          <w:trHeight w:val="315"/>
        </w:trPr>
        <w:tc>
          <w:tcPr>
            <w:tcW w:w="2127" w:type="dxa"/>
            <w:vMerge w:val="restart"/>
            <w:tcBorders>
              <w:top w:val="nil"/>
              <w:left w:val="nil"/>
              <w:bottom w:val="single" w:sz="4" w:space="0" w:color="000000"/>
              <w:right w:val="nil"/>
            </w:tcBorders>
            <w:shd w:val="clear" w:color="auto" w:fill="auto"/>
            <w:noWrap/>
            <w:hideMark/>
          </w:tcPr>
          <w:p w14:paraId="2782212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Reliability and Satisfaction(RS)</w:t>
            </w:r>
          </w:p>
        </w:tc>
        <w:tc>
          <w:tcPr>
            <w:tcW w:w="1417" w:type="dxa"/>
            <w:tcBorders>
              <w:top w:val="nil"/>
              <w:left w:val="nil"/>
              <w:bottom w:val="nil"/>
              <w:right w:val="nil"/>
            </w:tcBorders>
            <w:shd w:val="clear" w:color="auto" w:fill="auto"/>
            <w:noWrap/>
            <w:hideMark/>
          </w:tcPr>
          <w:p w14:paraId="463ECF73"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RS-1</w:t>
            </w:r>
          </w:p>
        </w:tc>
        <w:tc>
          <w:tcPr>
            <w:tcW w:w="6094" w:type="dxa"/>
            <w:tcBorders>
              <w:top w:val="nil"/>
              <w:left w:val="nil"/>
              <w:bottom w:val="nil"/>
              <w:right w:val="nil"/>
            </w:tcBorders>
            <w:shd w:val="clear" w:color="auto" w:fill="auto"/>
            <w:noWrap/>
            <w:hideMark/>
          </w:tcPr>
          <w:p w14:paraId="72A95966"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think the process of using AI tools is stable</w:t>
            </w:r>
          </w:p>
        </w:tc>
      </w:tr>
      <w:tr w:rsidR="00816957" w:rsidRPr="00DB1EE1" w14:paraId="2EDF62CD" w14:textId="77777777" w:rsidTr="00293029">
        <w:trPr>
          <w:trHeight w:val="315"/>
        </w:trPr>
        <w:tc>
          <w:tcPr>
            <w:tcW w:w="2127" w:type="dxa"/>
            <w:vMerge/>
            <w:tcBorders>
              <w:top w:val="nil"/>
              <w:left w:val="nil"/>
              <w:bottom w:val="single" w:sz="4" w:space="0" w:color="000000"/>
              <w:right w:val="nil"/>
            </w:tcBorders>
            <w:vAlign w:val="center"/>
            <w:hideMark/>
          </w:tcPr>
          <w:p w14:paraId="18D9DE97"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nil"/>
              <w:right w:val="nil"/>
            </w:tcBorders>
            <w:shd w:val="clear" w:color="auto" w:fill="auto"/>
            <w:noWrap/>
            <w:hideMark/>
          </w:tcPr>
          <w:p w14:paraId="793D03D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RS-2</w:t>
            </w:r>
          </w:p>
        </w:tc>
        <w:tc>
          <w:tcPr>
            <w:tcW w:w="6094" w:type="dxa"/>
            <w:tcBorders>
              <w:top w:val="nil"/>
              <w:left w:val="nil"/>
              <w:bottom w:val="nil"/>
              <w:right w:val="nil"/>
            </w:tcBorders>
            <w:shd w:val="clear" w:color="auto" w:fill="auto"/>
            <w:noWrap/>
            <w:hideMark/>
          </w:tcPr>
          <w:p w14:paraId="34C97021"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am satisfied with the functions of AI tools</w:t>
            </w:r>
          </w:p>
        </w:tc>
      </w:tr>
      <w:tr w:rsidR="00816957" w:rsidRPr="00DB1EE1" w14:paraId="6E41B587" w14:textId="77777777" w:rsidTr="00293029">
        <w:trPr>
          <w:trHeight w:val="315"/>
        </w:trPr>
        <w:tc>
          <w:tcPr>
            <w:tcW w:w="2127" w:type="dxa"/>
            <w:vMerge/>
            <w:tcBorders>
              <w:top w:val="nil"/>
              <w:left w:val="nil"/>
              <w:bottom w:val="single" w:sz="4" w:space="0" w:color="000000"/>
              <w:right w:val="nil"/>
            </w:tcBorders>
            <w:vAlign w:val="center"/>
            <w:hideMark/>
          </w:tcPr>
          <w:p w14:paraId="4ADE30E2"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single" w:sz="4" w:space="0" w:color="auto"/>
              <w:right w:val="nil"/>
            </w:tcBorders>
            <w:shd w:val="clear" w:color="auto" w:fill="auto"/>
            <w:noWrap/>
            <w:hideMark/>
          </w:tcPr>
          <w:p w14:paraId="490622D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RS-3</w:t>
            </w:r>
          </w:p>
        </w:tc>
        <w:tc>
          <w:tcPr>
            <w:tcW w:w="6094" w:type="dxa"/>
            <w:tcBorders>
              <w:top w:val="nil"/>
              <w:left w:val="nil"/>
              <w:bottom w:val="single" w:sz="4" w:space="0" w:color="auto"/>
              <w:right w:val="nil"/>
            </w:tcBorders>
            <w:shd w:val="clear" w:color="auto" w:fill="auto"/>
            <w:noWrap/>
            <w:hideMark/>
          </w:tcPr>
          <w:p w14:paraId="0B73A305"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find AI tools easy to use</w:t>
            </w:r>
          </w:p>
        </w:tc>
      </w:tr>
      <w:tr w:rsidR="00816957" w:rsidRPr="00DB1EE1" w14:paraId="6892B447" w14:textId="77777777" w:rsidTr="00293029">
        <w:trPr>
          <w:trHeight w:val="315"/>
        </w:trPr>
        <w:tc>
          <w:tcPr>
            <w:tcW w:w="2127" w:type="dxa"/>
            <w:vMerge w:val="restart"/>
            <w:tcBorders>
              <w:top w:val="nil"/>
              <w:left w:val="nil"/>
              <w:bottom w:val="single" w:sz="4" w:space="0" w:color="000000"/>
              <w:right w:val="nil"/>
            </w:tcBorders>
            <w:shd w:val="clear" w:color="auto" w:fill="auto"/>
            <w:noWrap/>
            <w:hideMark/>
          </w:tcPr>
          <w:p w14:paraId="69DDFD84"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Impact on Competencies (IC)</w:t>
            </w:r>
          </w:p>
        </w:tc>
        <w:tc>
          <w:tcPr>
            <w:tcW w:w="1417" w:type="dxa"/>
            <w:tcBorders>
              <w:top w:val="nil"/>
              <w:left w:val="nil"/>
              <w:bottom w:val="nil"/>
              <w:right w:val="nil"/>
            </w:tcBorders>
            <w:shd w:val="clear" w:color="auto" w:fill="auto"/>
            <w:noWrap/>
            <w:hideMark/>
          </w:tcPr>
          <w:p w14:paraId="0453AC5D"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IC-1</w:t>
            </w:r>
          </w:p>
        </w:tc>
        <w:tc>
          <w:tcPr>
            <w:tcW w:w="6094" w:type="dxa"/>
            <w:tcBorders>
              <w:top w:val="nil"/>
              <w:left w:val="nil"/>
              <w:bottom w:val="nil"/>
              <w:right w:val="nil"/>
            </w:tcBorders>
            <w:shd w:val="clear" w:color="auto" w:fill="auto"/>
            <w:noWrap/>
            <w:hideMark/>
          </w:tcPr>
          <w:p w14:paraId="1908257C"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After using AI tools, I feel that my learning ability has improved</w:t>
            </w:r>
          </w:p>
        </w:tc>
      </w:tr>
      <w:tr w:rsidR="00816957" w:rsidRPr="00DB1EE1" w14:paraId="3C87CB44" w14:textId="77777777" w:rsidTr="00293029">
        <w:trPr>
          <w:trHeight w:val="315"/>
        </w:trPr>
        <w:tc>
          <w:tcPr>
            <w:tcW w:w="2127" w:type="dxa"/>
            <w:vMerge/>
            <w:tcBorders>
              <w:top w:val="nil"/>
              <w:left w:val="nil"/>
              <w:bottom w:val="single" w:sz="4" w:space="0" w:color="000000"/>
              <w:right w:val="nil"/>
            </w:tcBorders>
            <w:vAlign w:val="center"/>
            <w:hideMark/>
          </w:tcPr>
          <w:p w14:paraId="5F1AE467"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nil"/>
              <w:right w:val="nil"/>
            </w:tcBorders>
            <w:shd w:val="clear" w:color="auto" w:fill="auto"/>
            <w:noWrap/>
            <w:hideMark/>
          </w:tcPr>
          <w:p w14:paraId="25B930BE"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IC-2</w:t>
            </w:r>
          </w:p>
        </w:tc>
        <w:tc>
          <w:tcPr>
            <w:tcW w:w="6094" w:type="dxa"/>
            <w:tcBorders>
              <w:top w:val="nil"/>
              <w:left w:val="nil"/>
              <w:bottom w:val="nil"/>
              <w:right w:val="nil"/>
            </w:tcBorders>
            <w:shd w:val="clear" w:color="auto" w:fill="auto"/>
            <w:noWrap/>
            <w:hideMark/>
          </w:tcPr>
          <w:p w14:paraId="4C8F9D06"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AI tools have helped me better master the learning content</w:t>
            </w:r>
          </w:p>
        </w:tc>
      </w:tr>
      <w:tr w:rsidR="00816957" w:rsidRPr="00DB1EE1" w14:paraId="0F09ABDA" w14:textId="77777777" w:rsidTr="00293029">
        <w:trPr>
          <w:trHeight w:val="315"/>
        </w:trPr>
        <w:tc>
          <w:tcPr>
            <w:tcW w:w="2127" w:type="dxa"/>
            <w:vMerge/>
            <w:tcBorders>
              <w:top w:val="nil"/>
              <w:left w:val="nil"/>
              <w:bottom w:val="single" w:sz="4" w:space="0" w:color="000000"/>
              <w:right w:val="nil"/>
            </w:tcBorders>
            <w:vAlign w:val="center"/>
            <w:hideMark/>
          </w:tcPr>
          <w:p w14:paraId="408DD29C"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single" w:sz="4" w:space="0" w:color="auto"/>
              <w:right w:val="nil"/>
            </w:tcBorders>
            <w:shd w:val="clear" w:color="auto" w:fill="auto"/>
            <w:noWrap/>
            <w:hideMark/>
          </w:tcPr>
          <w:p w14:paraId="1BD57B86"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IC-3</w:t>
            </w:r>
          </w:p>
        </w:tc>
        <w:tc>
          <w:tcPr>
            <w:tcW w:w="6094" w:type="dxa"/>
            <w:tcBorders>
              <w:top w:val="nil"/>
              <w:left w:val="nil"/>
              <w:bottom w:val="single" w:sz="4" w:space="0" w:color="auto"/>
              <w:right w:val="nil"/>
            </w:tcBorders>
            <w:shd w:val="clear" w:color="auto" w:fill="auto"/>
            <w:noWrap/>
            <w:hideMark/>
          </w:tcPr>
          <w:p w14:paraId="67F076C7"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Using AI tools has improved my problem-solving ability</w:t>
            </w:r>
          </w:p>
        </w:tc>
      </w:tr>
      <w:tr w:rsidR="00816957" w:rsidRPr="00DB1EE1" w14:paraId="69AC61F7" w14:textId="77777777" w:rsidTr="00293029">
        <w:trPr>
          <w:trHeight w:val="315"/>
        </w:trPr>
        <w:tc>
          <w:tcPr>
            <w:tcW w:w="2127" w:type="dxa"/>
            <w:vMerge w:val="restart"/>
            <w:tcBorders>
              <w:top w:val="nil"/>
              <w:left w:val="nil"/>
              <w:bottom w:val="single" w:sz="4" w:space="0" w:color="000000"/>
              <w:right w:val="nil"/>
            </w:tcBorders>
            <w:shd w:val="clear" w:color="auto" w:fill="auto"/>
            <w:noWrap/>
            <w:hideMark/>
          </w:tcPr>
          <w:p w14:paraId="011291D5"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Frequency and Usage Patterns (FU)</w:t>
            </w:r>
          </w:p>
        </w:tc>
        <w:tc>
          <w:tcPr>
            <w:tcW w:w="1417" w:type="dxa"/>
            <w:tcBorders>
              <w:top w:val="nil"/>
              <w:left w:val="nil"/>
              <w:bottom w:val="nil"/>
              <w:right w:val="nil"/>
            </w:tcBorders>
            <w:shd w:val="clear" w:color="auto" w:fill="auto"/>
            <w:noWrap/>
            <w:hideMark/>
          </w:tcPr>
          <w:p w14:paraId="40713E5E"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FU-1</w:t>
            </w:r>
          </w:p>
        </w:tc>
        <w:tc>
          <w:tcPr>
            <w:tcW w:w="6094" w:type="dxa"/>
            <w:tcBorders>
              <w:top w:val="nil"/>
              <w:left w:val="nil"/>
              <w:bottom w:val="nil"/>
              <w:right w:val="nil"/>
            </w:tcBorders>
            <w:shd w:val="clear" w:color="auto" w:fill="auto"/>
            <w:noWrap/>
            <w:hideMark/>
          </w:tcPr>
          <w:p w14:paraId="53727982"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often use AI tools in my daily learning</w:t>
            </w:r>
          </w:p>
        </w:tc>
      </w:tr>
      <w:tr w:rsidR="00816957" w:rsidRPr="00DB1EE1" w14:paraId="5CD5FC4A" w14:textId="77777777" w:rsidTr="00293029">
        <w:trPr>
          <w:trHeight w:val="315"/>
        </w:trPr>
        <w:tc>
          <w:tcPr>
            <w:tcW w:w="2127" w:type="dxa"/>
            <w:vMerge/>
            <w:tcBorders>
              <w:top w:val="nil"/>
              <w:left w:val="nil"/>
              <w:bottom w:val="single" w:sz="4" w:space="0" w:color="000000"/>
              <w:right w:val="nil"/>
            </w:tcBorders>
            <w:vAlign w:val="center"/>
            <w:hideMark/>
          </w:tcPr>
          <w:p w14:paraId="15373698"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nil"/>
              <w:right w:val="nil"/>
            </w:tcBorders>
            <w:shd w:val="clear" w:color="auto" w:fill="auto"/>
            <w:noWrap/>
            <w:hideMark/>
          </w:tcPr>
          <w:p w14:paraId="02363459"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FU-2</w:t>
            </w:r>
          </w:p>
        </w:tc>
        <w:tc>
          <w:tcPr>
            <w:tcW w:w="6094" w:type="dxa"/>
            <w:tcBorders>
              <w:top w:val="nil"/>
              <w:left w:val="nil"/>
              <w:bottom w:val="nil"/>
              <w:right w:val="nil"/>
            </w:tcBorders>
            <w:shd w:val="clear" w:color="auto" w:fill="auto"/>
            <w:noWrap/>
            <w:hideMark/>
          </w:tcPr>
          <w:p w14:paraId="7482E69D"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frequently use AI tools in the classroom to assist my learning</w:t>
            </w:r>
          </w:p>
        </w:tc>
      </w:tr>
      <w:tr w:rsidR="00816957" w:rsidRPr="00DB1EE1" w14:paraId="645F8913" w14:textId="77777777" w:rsidTr="00293029">
        <w:trPr>
          <w:trHeight w:val="315"/>
        </w:trPr>
        <w:tc>
          <w:tcPr>
            <w:tcW w:w="2127" w:type="dxa"/>
            <w:vMerge/>
            <w:tcBorders>
              <w:top w:val="nil"/>
              <w:left w:val="nil"/>
              <w:bottom w:val="single" w:sz="4" w:space="0" w:color="000000"/>
              <w:right w:val="nil"/>
            </w:tcBorders>
            <w:vAlign w:val="center"/>
            <w:hideMark/>
          </w:tcPr>
          <w:p w14:paraId="183C78FA"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single" w:sz="4" w:space="0" w:color="auto"/>
              <w:right w:val="nil"/>
            </w:tcBorders>
            <w:shd w:val="clear" w:color="auto" w:fill="auto"/>
            <w:noWrap/>
            <w:hideMark/>
          </w:tcPr>
          <w:p w14:paraId="62F9DD5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FU-3</w:t>
            </w:r>
          </w:p>
        </w:tc>
        <w:tc>
          <w:tcPr>
            <w:tcW w:w="6094" w:type="dxa"/>
            <w:tcBorders>
              <w:top w:val="nil"/>
              <w:left w:val="nil"/>
              <w:bottom w:val="single" w:sz="4" w:space="0" w:color="auto"/>
              <w:right w:val="nil"/>
            </w:tcBorders>
            <w:shd w:val="clear" w:color="auto" w:fill="auto"/>
            <w:noWrap/>
            <w:hideMark/>
          </w:tcPr>
          <w:p w14:paraId="26AD6099"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I use AI tools independently to complete learning tasks</w:t>
            </w:r>
          </w:p>
        </w:tc>
      </w:tr>
      <w:tr w:rsidR="00816957" w:rsidRPr="00DB1EE1" w14:paraId="55D3B96D" w14:textId="77777777" w:rsidTr="00293029">
        <w:trPr>
          <w:trHeight w:val="315"/>
        </w:trPr>
        <w:tc>
          <w:tcPr>
            <w:tcW w:w="2127" w:type="dxa"/>
            <w:vMerge w:val="restart"/>
            <w:tcBorders>
              <w:top w:val="nil"/>
              <w:left w:val="nil"/>
              <w:bottom w:val="single" w:sz="4" w:space="0" w:color="000000"/>
              <w:right w:val="nil"/>
            </w:tcBorders>
            <w:shd w:val="clear" w:color="auto" w:fill="auto"/>
            <w:noWrap/>
            <w:hideMark/>
          </w:tcPr>
          <w:p w14:paraId="401A8049"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Effectiveness and Achievement of Learning Goals (EALG)</w:t>
            </w:r>
          </w:p>
        </w:tc>
        <w:tc>
          <w:tcPr>
            <w:tcW w:w="1417" w:type="dxa"/>
            <w:tcBorders>
              <w:top w:val="nil"/>
              <w:left w:val="nil"/>
              <w:bottom w:val="nil"/>
              <w:right w:val="nil"/>
            </w:tcBorders>
            <w:shd w:val="clear" w:color="auto" w:fill="auto"/>
            <w:noWrap/>
            <w:hideMark/>
          </w:tcPr>
          <w:p w14:paraId="53B836F4"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EALG-1</w:t>
            </w:r>
          </w:p>
        </w:tc>
        <w:tc>
          <w:tcPr>
            <w:tcW w:w="6094" w:type="dxa"/>
            <w:tcBorders>
              <w:top w:val="nil"/>
              <w:left w:val="nil"/>
              <w:bottom w:val="nil"/>
              <w:right w:val="nil"/>
            </w:tcBorders>
            <w:shd w:val="clear" w:color="auto" w:fill="auto"/>
            <w:noWrap/>
            <w:hideMark/>
          </w:tcPr>
          <w:p w14:paraId="5D20FE96"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Using AI tools has helped me achieve my learning goals more effectively</w:t>
            </w:r>
          </w:p>
        </w:tc>
      </w:tr>
      <w:tr w:rsidR="00816957" w:rsidRPr="00DB1EE1" w14:paraId="010AA33B" w14:textId="77777777" w:rsidTr="00293029">
        <w:trPr>
          <w:trHeight w:val="315"/>
        </w:trPr>
        <w:tc>
          <w:tcPr>
            <w:tcW w:w="2127" w:type="dxa"/>
            <w:vMerge/>
            <w:tcBorders>
              <w:top w:val="nil"/>
              <w:left w:val="nil"/>
              <w:bottom w:val="single" w:sz="4" w:space="0" w:color="000000"/>
              <w:right w:val="nil"/>
            </w:tcBorders>
            <w:vAlign w:val="center"/>
            <w:hideMark/>
          </w:tcPr>
          <w:p w14:paraId="367D6AE2"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nil"/>
              <w:right w:val="nil"/>
            </w:tcBorders>
            <w:shd w:val="clear" w:color="auto" w:fill="auto"/>
            <w:noWrap/>
            <w:hideMark/>
          </w:tcPr>
          <w:p w14:paraId="047A233E"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EALG-2</w:t>
            </w:r>
          </w:p>
        </w:tc>
        <w:tc>
          <w:tcPr>
            <w:tcW w:w="6094" w:type="dxa"/>
            <w:tcBorders>
              <w:top w:val="nil"/>
              <w:left w:val="nil"/>
              <w:bottom w:val="nil"/>
              <w:right w:val="nil"/>
            </w:tcBorders>
            <w:shd w:val="clear" w:color="auto" w:fill="auto"/>
            <w:noWrap/>
            <w:hideMark/>
          </w:tcPr>
          <w:p w14:paraId="5CA6AB6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After using AI tools, my grades have improved</w:t>
            </w:r>
          </w:p>
        </w:tc>
      </w:tr>
      <w:tr w:rsidR="00816957" w:rsidRPr="00DB1EE1" w14:paraId="65354E3D" w14:textId="77777777" w:rsidTr="00293029">
        <w:trPr>
          <w:trHeight w:val="315"/>
        </w:trPr>
        <w:tc>
          <w:tcPr>
            <w:tcW w:w="2127" w:type="dxa"/>
            <w:vMerge/>
            <w:tcBorders>
              <w:top w:val="nil"/>
              <w:left w:val="nil"/>
              <w:bottom w:val="single" w:sz="4" w:space="0" w:color="000000"/>
              <w:right w:val="nil"/>
            </w:tcBorders>
            <w:vAlign w:val="center"/>
            <w:hideMark/>
          </w:tcPr>
          <w:p w14:paraId="1024B7DF" w14:textId="77777777" w:rsidR="00816957" w:rsidRPr="00DB1EE1" w:rsidRDefault="00816957" w:rsidP="00293029">
            <w:pPr>
              <w:widowControl/>
              <w:snapToGrid w:val="0"/>
              <w:rPr>
                <w:rFonts w:cs="Times New Roman"/>
                <w:color w:val="000000"/>
                <w:kern w:val="0"/>
                <w:sz w:val="22"/>
              </w:rPr>
            </w:pPr>
          </w:p>
        </w:tc>
        <w:tc>
          <w:tcPr>
            <w:tcW w:w="1417" w:type="dxa"/>
            <w:tcBorders>
              <w:top w:val="nil"/>
              <w:left w:val="nil"/>
              <w:bottom w:val="single" w:sz="4" w:space="0" w:color="auto"/>
              <w:right w:val="nil"/>
            </w:tcBorders>
            <w:shd w:val="clear" w:color="auto" w:fill="auto"/>
            <w:noWrap/>
            <w:hideMark/>
          </w:tcPr>
          <w:p w14:paraId="6BAEAAA5"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EALG-3</w:t>
            </w:r>
          </w:p>
        </w:tc>
        <w:tc>
          <w:tcPr>
            <w:tcW w:w="6094" w:type="dxa"/>
            <w:tcBorders>
              <w:top w:val="nil"/>
              <w:left w:val="nil"/>
              <w:bottom w:val="single" w:sz="4" w:space="0" w:color="auto"/>
              <w:right w:val="nil"/>
            </w:tcBorders>
            <w:shd w:val="clear" w:color="auto" w:fill="auto"/>
            <w:noWrap/>
            <w:hideMark/>
          </w:tcPr>
          <w:p w14:paraId="26D56FF8" w14:textId="77777777" w:rsidR="00816957" w:rsidRPr="00DB1EE1" w:rsidRDefault="00816957" w:rsidP="00293029">
            <w:pPr>
              <w:widowControl/>
              <w:snapToGrid w:val="0"/>
              <w:rPr>
                <w:rFonts w:cs="Times New Roman"/>
                <w:color w:val="000000"/>
                <w:kern w:val="0"/>
                <w:sz w:val="22"/>
              </w:rPr>
            </w:pPr>
            <w:r w:rsidRPr="00DB1EE1">
              <w:rPr>
                <w:rFonts w:cs="Times New Roman"/>
                <w:color w:val="000000"/>
                <w:kern w:val="0"/>
                <w:sz w:val="22"/>
              </w:rPr>
              <w:t xml:space="preserve"> AI tools have helped me understand and master knowledge more comprehensively</w:t>
            </w:r>
          </w:p>
        </w:tc>
      </w:tr>
    </w:tbl>
    <w:p w14:paraId="1B573ACA" w14:textId="77777777" w:rsidR="00B22650" w:rsidRPr="00816957" w:rsidRDefault="00B22650"/>
    <w:p w14:paraId="02421A92" w14:textId="07EE5348" w:rsidR="00B22650" w:rsidRDefault="0090230C">
      <w:r w:rsidRPr="0090230C">
        <w:rPr>
          <w:rFonts w:hint="eastAsia"/>
        </w:rPr>
        <w:t>在</w:t>
      </w:r>
      <w:r>
        <w:fldChar w:fldCharType="begin"/>
      </w:r>
      <w:r>
        <w:instrText xml:space="preserve"> </w:instrText>
      </w:r>
      <w:r>
        <w:rPr>
          <w:rFonts w:hint="eastAsia"/>
        </w:rPr>
        <w:instrText>REF _Ref171710416 \h</w:instrText>
      </w:r>
      <w:r>
        <w:instrText xml:space="preserve"> </w:instrText>
      </w:r>
      <w:r>
        <w:fldChar w:fldCharType="separate"/>
      </w:r>
      <w:r w:rsidR="00103878">
        <w:t xml:space="preserve">table </w:t>
      </w:r>
      <w:r w:rsidR="00103878">
        <w:rPr>
          <w:noProof/>
        </w:rPr>
        <w:t>2</w:t>
      </w:r>
      <w:r>
        <w:fldChar w:fldCharType="end"/>
      </w:r>
      <w:r w:rsidRPr="0090230C">
        <w:rPr>
          <w:rFonts w:hint="eastAsia"/>
        </w:rPr>
        <w:t>中，</w:t>
      </w:r>
      <w:r w:rsidR="00693568" w:rsidRPr="00693568">
        <w:rPr>
          <w:color w:val="FF0000"/>
        </w:rPr>
        <w:t>對</w:t>
      </w:r>
      <w:r w:rsidR="00693568" w:rsidRPr="00693568">
        <w:rPr>
          <w:color w:val="FF0000"/>
        </w:rPr>
        <w:t>GenAI</w:t>
      </w:r>
      <w:r w:rsidR="00693568" w:rsidRPr="00693568">
        <w:rPr>
          <w:color w:val="FF0000"/>
        </w:rPr>
        <w:t>工具在學習中的感知和態度</w:t>
      </w:r>
      <w:r w:rsidR="00693568" w:rsidRPr="00693568">
        <w:rPr>
          <w:color w:val="FF0000"/>
        </w:rPr>
        <w:t>(PAGL)</w:t>
      </w:r>
      <w:r w:rsidR="00693568" w:rsidRPr="00693568">
        <w:rPr>
          <w:color w:val="FF0000"/>
        </w:rPr>
        <w:t>旨在評估小學生對這些工具的整體看法。通過測量對</w:t>
      </w:r>
      <w:r w:rsidR="00693568" w:rsidRPr="00693568">
        <w:rPr>
          <w:color w:val="FF0000"/>
        </w:rPr>
        <w:t>GenAI</w:t>
      </w:r>
      <w:r w:rsidR="00693568" w:rsidRPr="00693568">
        <w:rPr>
          <w:color w:val="FF0000"/>
        </w:rPr>
        <w:t>工具的信任度和使用意願，可以深入了解小學生的心理狀態和接受程度。</w:t>
      </w:r>
      <w:r w:rsidRPr="0090230C">
        <w:rPr>
          <w:rFonts w:hint="eastAsia"/>
        </w:rPr>
        <w:t>可靠性和滿意度</w:t>
      </w:r>
      <w:r w:rsidRPr="0090230C">
        <w:rPr>
          <w:rFonts w:hint="eastAsia"/>
        </w:rPr>
        <w:t>(RS)</w:t>
      </w:r>
      <w:r w:rsidRPr="0090230C">
        <w:rPr>
          <w:rFonts w:hint="eastAsia"/>
        </w:rPr>
        <w:t>聚焦於</w:t>
      </w:r>
      <w:r w:rsidRPr="0090230C">
        <w:rPr>
          <w:rFonts w:hint="eastAsia"/>
        </w:rPr>
        <w:t>AI</w:t>
      </w:r>
      <w:r w:rsidRPr="0090230C">
        <w:rPr>
          <w:rFonts w:hint="eastAsia"/>
        </w:rPr>
        <w:t>工具的技術和用戶體驗方面，評估工具的穩定性、易用性和功能性，可以全面了解</w:t>
      </w:r>
      <w:r w:rsidR="00693568" w:rsidRPr="00693568">
        <w:rPr>
          <w:rFonts w:hint="eastAsia"/>
          <w:color w:val="FF0000"/>
        </w:rPr>
        <w:t>小學生</w:t>
      </w:r>
      <w:r w:rsidRPr="0090230C">
        <w:rPr>
          <w:rFonts w:hint="eastAsia"/>
        </w:rPr>
        <w:t>對</w:t>
      </w:r>
      <w:r w:rsidRPr="0090230C">
        <w:rPr>
          <w:rFonts w:hint="eastAsia"/>
        </w:rPr>
        <w:t>AI</w:t>
      </w:r>
      <w:r w:rsidRPr="0090230C">
        <w:rPr>
          <w:rFonts w:hint="eastAsia"/>
        </w:rPr>
        <w:t>工具的實際體驗。對能力的影響</w:t>
      </w:r>
      <w:r w:rsidRPr="0090230C">
        <w:rPr>
          <w:rFonts w:hint="eastAsia"/>
        </w:rPr>
        <w:t>(IC)</w:t>
      </w:r>
      <w:r w:rsidRPr="0090230C">
        <w:rPr>
          <w:rFonts w:hint="eastAsia"/>
        </w:rPr>
        <w:t>探討</w:t>
      </w:r>
      <w:r w:rsidRPr="0090230C">
        <w:rPr>
          <w:rFonts w:hint="eastAsia"/>
        </w:rPr>
        <w:t>AI</w:t>
      </w:r>
      <w:r w:rsidRPr="0090230C">
        <w:rPr>
          <w:rFonts w:hint="eastAsia"/>
        </w:rPr>
        <w:t>工具對</w:t>
      </w:r>
      <w:r w:rsidR="00693568" w:rsidRPr="00693568">
        <w:rPr>
          <w:rFonts w:hint="eastAsia"/>
          <w:color w:val="FF0000"/>
        </w:rPr>
        <w:t>小</w:t>
      </w:r>
      <w:r w:rsidRPr="00693568">
        <w:rPr>
          <w:rFonts w:hint="eastAsia"/>
          <w:color w:val="FF0000"/>
        </w:rPr>
        <w:t>學生</w:t>
      </w:r>
      <w:r w:rsidRPr="0090230C">
        <w:rPr>
          <w:rFonts w:hint="eastAsia"/>
        </w:rPr>
        <w:t>學習成果的實際影響，通過測量學習效果和技能提升，可以評估</w:t>
      </w:r>
      <w:r w:rsidRPr="0090230C">
        <w:rPr>
          <w:rFonts w:hint="eastAsia"/>
        </w:rPr>
        <w:t>AI</w:t>
      </w:r>
      <w:r w:rsidRPr="0090230C">
        <w:rPr>
          <w:rFonts w:hint="eastAsia"/>
        </w:rPr>
        <w:t>工具在教育過程中的實際價值。使用頻率和方式</w:t>
      </w:r>
      <w:r w:rsidRPr="0090230C">
        <w:rPr>
          <w:rFonts w:hint="eastAsia"/>
        </w:rPr>
        <w:t>(FU)</w:t>
      </w:r>
      <w:r w:rsidRPr="0090230C">
        <w:rPr>
          <w:rFonts w:hint="eastAsia"/>
        </w:rPr>
        <w:t>關注</w:t>
      </w:r>
      <w:r w:rsidRPr="0090230C">
        <w:rPr>
          <w:rFonts w:hint="eastAsia"/>
        </w:rPr>
        <w:t>AI</w:t>
      </w:r>
      <w:r w:rsidRPr="0090230C">
        <w:rPr>
          <w:rFonts w:hint="eastAsia"/>
        </w:rPr>
        <w:t>工具在不同情境下的使用情況，可以全面了解</w:t>
      </w:r>
      <w:r w:rsidRPr="0090230C">
        <w:rPr>
          <w:rFonts w:hint="eastAsia"/>
        </w:rPr>
        <w:t>AI</w:t>
      </w:r>
      <w:r w:rsidRPr="0090230C">
        <w:rPr>
          <w:rFonts w:hint="eastAsia"/>
        </w:rPr>
        <w:t>工具如何融入學習和教學過程，以及它們在不同場景中的適用性。學習目標的有效性和達成</w:t>
      </w:r>
      <w:r w:rsidRPr="0090230C">
        <w:rPr>
          <w:rFonts w:hint="eastAsia"/>
        </w:rPr>
        <w:t>(EALG)</w:t>
      </w:r>
      <w:r w:rsidRPr="0090230C">
        <w:rPr>
          <w:rFonts w:hint="eastAsia"/>
        </w:rPr>
        <w:t>衡量</w:t>
      </w:r>
      <w:r w:rsidRPr="0090230C">
        <w:rPr>
          <w:rFonts w:hint="eastAsia"/>
        </w:rPr>
        <w:t>AI</w:t>
      </w:r>
      <w:r w:rsidRPr="0090230C">
        <w:rPr>
          <w:rFonts w:hint="eastAsia"/>
        </w:rPr>
        <w:t>工具對學習成果的貢獻。</w:t>
      </w:r>
      <w:r w:rsidR="00693568" w:rsidRPr="00693568">
        <w:rPr>
          <w:color w:val="FF0000"/>
        </w:rPr>
        <w:t>通過評估知識掌握程度、技能提升情況和成績表現，可以客觀地衡量</w:t>
      </w:r>
      <w:r w:rsidR="00693568" w:rsidRPr="00693568">
        <w:rPr>
          <w:color w:val="FF0000"/>
        </w:rPr>
        <w:t>GenAI</w:t>
      </w:r>
      <w:r w:rsidR="00693568" w:rsidRPr="00693568">
        <w:rPr>
          <w:color w:val="FF0000"/>
        </w:rPr>
        <w:t>工具在幫助小學生達成學習目標方面的效果。</w:t>
      </w:r>
    </w:p>
    <w:p w14:paraId="111FCEDF" w14:textId="3F5B59FB" w:rsidR="00B22650" w:rsidRDefault="00387442" w:rsidP="00387442">
      <w:pPr>
        <w:pStyle w:val="3"/>
      </w:pPr>
      <w:r w:rsidRPr="00387442">
        <w:rPr>
          <w:rFonts w:hint="eastAsia"/>
        </w:rPr>
        <w:t>研究方法與研究假設</w:t>
      </w:r>
    </w:p>
    <w:p w14:paraId="2F5AEFAA" w14:textId="07DB367C" w:rsidR="00387442" w:rsidRDefault="00387442" w:rsidP="00387442">
      <w:r>
        <w:rPr>
          <w:rFonts w:hint="eastAsia"/>
        </w:rPr>
        <w:t>本研究採用偏最小平方法（</w:t>
      </w:r>
      <w:r>
        <w:rPr>
          <w:rFonts w:hint="eastAsia"/>
        </w:rPr>
        <w:t>Partial Least Squares, PLS</w:t>
      </w:r>
      <w:r>
        <w:rPr>
          <w:rFonts w:hint="eastAsia"/>
        </w:rPr>
        <w:t>）來建構預測性模型。樣本的選擇基於</w:t>
      </w:r>
      <w:r>
        <w:rPr>
          <w:rFonts w:hint="eastAsia"/>
        </w:rPr>
        <w:lastRenderedPageBreak/>
        <w:t>特定的標準或研究目標，並考慮到結構方程建模</w:t>
      </w:r>
      <w:r>
        <w:rPr>
          <w:rFonts w:hint="eastAsia"/>
        </w:rPr>
        <w:t>(SEM)</w:t>
      </w:r>
      <w:r>
        <w:rPr>
          <w:rFonts w:hint="eastAsia"/>
        </w:rPr>
        <w:t>分析方法，通常需要</w:t>
      </w:r>
      <w:r>
        <w:rPr>
          <w:rFonts w:hint="eastAsia"/>
        </w:rPr>
        <w:t>100-200</w:t>
      </w:r>
      <w:r>
        <w:rPr>
          <w:rFonts w:hint="eastAsia"/>
        </w:rPr>
        <w:t>個樣本量，或觀察參數數量的約</w:t>
      </w:r>
      <w:r>
        <w:rPr>
          <w:rFonts w:hint="eastAsia"/>
        </w:rPr>
        <w:t>5-10</w:t>
      </w:r>
      <w:r>
        <w:rPr>
          <w:rFonts w:hint="eastAsia"/>
        </w:rPr>
        <w:t>倍</w:t>
      </w:r>
      <w:r>
        <w:rPr>
          <w:rFonts w:hint="eastAsia"/>
        </w:rPr>
        <w:t>(Hair, et al</w:t>
      </w:r>
      <w:r w:rsidR="00982AA2">
        <w:rPr>
          <w:rFonts w:hint="eastAsia"/>
        </w:rPr>
        <w:t>.</w:t>
      </w:r>
      <w:r>
        <w:rPr>
          <w:rFonts w:hint="eastAsia"/>
        </w:rPr>
        <w:t>, 2021)</w:t>
      </w:r>
      <w:r>
        <w:rPr>
          <w:rFonts w:hint="eastAsia"/>
        </w:rPr>
        <w:t>。</w:t>
      </w:r>
      <w:r>
        <w:rPr>
          <w:rFonts w:hint="eastAsia"/>
        </w:rPr>
        <w:t>PLS</w:t>
      </w:r>
      <w:r>
        <w:rPr>
          <w:rFonts w:hint="eastAsia"/>
        </w:rPr>
        <w:t>在分析潛在變項間的因果模型時，相較於傳統的線性結構關係模式具有諸多優勢。它特別適合用於探索性研究，能夠接受單一題項構面，且不受變數分配型態和樣本數的限制，因此具有優秀的預測和解釋能力。對於複雜模型的小樣本，建議使用</w:t>
      </w:r>
      <w:r>
        <w:rPr>
          <w:rFonts w:hint="eastAsia"/>
        </w:rPr>
        <w:t>SmartPLS(Santosa, 2018)</w:t>
      </w:r>
      <w:r>
        <w:rPr>
          <w:rFonts w:hint="eastAsia"/>
        </w:rPr>
        <w:t>。</w:t>
      </w:r>
      <w:r>
        <w:rPr>
          <w:rFonts w:hint="eastAsia"/>
        </w:rPr>
        <w:t>PLS</w:t>
      </w:r>
      <w:r>
        <w:rPr>
          <w:rFonts w:hint="eastAsia"/>
        </w:rPr>
        <w:t>結構方程模型</w:t>
      </w:r>
      <w:r>
        <w:rPr>
          <w:rFonts w:hint="eastAsia"/>
        </w:rPr>
        <w:t>(PLS-SEM)</w:t>
      </w:r>
      <w:r>
        <w:rPr>
          <w:rFonts w:hint="eastAsia"/>
        </w:rPr>
        <w:t>的一大優勢在於其能夠同時檢測路徑與因素。此方法結合了因素分析和近似迴歸分析的最小假設，其</w:t>
      </w:r>
      <w:r>
        <w:rPr>
          <w:rFonts w:hint="eastAsia"/>
        </w:rPr>
        <w:t>R</w:t>
      </w:r>
      <w:r>
        <w:rPr>
          <w:rFonts w:hint="eastAsia"/>
        </w:rPr>
        <w:t>平方值直接反映了自變項對依變項的解釋程度。根據</w:t>
      </w:r>
      <w:r>
        <w:rPr>
          <w:rFonts w:hint="eastAsia"/>
        </w:rPr>
        <w:t>Hair, et al.(2021)</w:t>
      </w:r>
      <w:r>
        <w:rPr>
          <w:rFonts w:hint="eastAsia"/>
        </w:rPr>
        <w:t>的建議，</w:t>
      </w:r>
      <w:r>
        <w:rPr>
          <w:rFonts w:hint="eastAsia"/>
        </w:rPr>
        <w:t>PLS-SEM</w:t>
      </w:r>
      <w:r>
        <w:rPr>
          <w:rFonts w:hint="eastAsia"/>
        </w:rPr>
        <w:t>模型評估分為測量模型和結構模型兩個階段。在分析過程中，我們採用</w:t>
      </w:r>
      <w:r>
        <w:rPr>
          <w:rFonts w:hint="eastAsia"/>
        </w:rPr>
        <w:t>bootstrap</w:t>
      </w:r>
      <w:r>
        <w:rPr>
          <w:rFonts w:hint="eastAsia"/>
        </w:rPr>
        <w:t>反覆抽樣法，抽取</w:t>
      </w:r>
      <w:r>
        <w:rPr>
          <w:rFonts w:hint="eastAsia"/>
        </w:rPr>
        <w:t>5,000</w:t>
      </w:r>
      <w:r>
        <w:rPr>
          <w:rFonts w:hint="eastAsia"/>
        </w:rPr>
        <w:t>個樣本進行正式參數估計與推論。同時，我們利用</w:t>
      </w:r>
      <w:r>
        <w:rPr>
          <w:rFonts w:hint="eastAsia"/>
        </w:rPr>
        <w:t>PLS-SEM</w:t>
      </w:r>
      <w:r>
        <w:rPr>
          <w:rFonts w:hint="eastAsia"/>
        </w:rPr>
        <w:t>的總效果與間接效果來判斷變項間的中介效果。研究假設說明如</w:t>
      </w:r>
      <w:r w:rsidR="00792C42">
        <w:fldChar w:fldCharType="begin"/>
      </w:r>
      <w:r w:rsidR="00792C42">
        <w:instrText xml:space="preserve"> </w:instrText>
      </w:r>
      <w:r w:rsidR="00792C42">
        <w:rPr>
          <w:rFonts w:hint="eastAsia"/>
        </w:rPr>
        <w:instrText>REF _Ref171710614 \h</w:instrText>
      </w:r>
      <w:r w:rsidR="00792C42">
        <w:instrText xml:space="preserve"> </w:instrText>
      </w:r>
      <w:r w:rsidR="00792C42">
        <w:fldChar w:fldCharType="separate"/>
      </w:r>
      <w:r w:rsidR="00103878">
        <w:t xml:space="preserve">Fig </w:t>
      </w:r>
      <w:r w:rsidR="00103878">
        <w:rPr>
          <w:noProof/>
        </w:rPr>
        <w:t>2</w:t>
      </w:r>
      <w:r w:rsidR="00792C42">
        <w:fldChar w:fldCharType="end"/>
      </w:r>
      <w:r>
        <w:rPr>
          <w:rFonts w:hint="eastAsia"/>
        </w:rPr>
        <w:t>所示：</w:t>
      </w:r>
    </w:p>
    <w:p w14:paraId="4EA91ECE" w14:textId="77777777" w:rsidR="00387442" w:rsidRDefault="00387442" w:rsidP="00387442"/>
    <w:p w14:paraId="7F9FB0EA" w14:textId="77777777" w:rsidR="002578E0" w:rsidRPr="00642430" w:rsidRDefault="00387442" w:rsidP="00387442">
      <w:pPr>
        <w:rPr>
          <w:color w:val="FF0000"/>
        </w:rPr>
      </w:pPr>
      <w:r w:rsidRPr="00642430">
        <w:rPr>
          <w:rFonts w:hint="eastAsia"/>
          <w:color w:val="FF0000"/>
        </w:rPr>
        <w:t>H1</w:t>
      </w:r>
      <w:r w:rsidRPr="00642430">
        <w:rPr>
          <w:rFonts w:hint="eastAsia"/>
          <w:color w:val="FF0000"/>
        </w:rPr>
        <w:t>：</w:t>
      </w:r>
      <w:r w:rsidR="002578E0" w:rsidRPr="00642430">
        <w:rPr>
          <w:rFonts w:hint="eastAsia"/>
          <w:color w:val="FF0000"/>
        </w:rPr>
        <w:t>小學生對</w:t>
      </w:r>
      <w:r w:rsidR="002578E0" w:rsidRPr="00642430">
        <w:rPr>
          <w:rFonts w:hint="eastAsia"/>
          <w:color w:val="FF0000"/>
        </w:rPr>
        <w:t>GenAI</w:t>
      </w:r>
      <w:r w:rsidR="002578E0" w:rsidRPr="00642430">
        <w:rPr>
          <w:rFonts w:hint="eastAsia"/>
          <w:color w:val="FF0000"/>
        </w:rPr>
        <w:t>的感知和態度與可靠性和滿意度有顯著影響。</w:t>
      </w:r>
    </w:p>
    <w:p w14:paraId="76AECB5F" w14:textId="72FCB23E" w:rsidR="00387442" w:rsidRPr="00642430" w:rsidRDefault="00387442" w:rsidP="00387442">
      <w:pPr>
        <w:rPr>
          <w:color w:val="FF0000"/>
        </w:rPr>
      </w:pPr>
      <w:r w:rsidRPr="00642430">
        <w:rPr>
          <w:rFonts w:hint="eastAsia"/>
          <w:color w:val="FF0000"/>
        </w:rPr>
        <w:t>H2</w:t>
      </w:r>
      <w:r w:rsidRPr="00642430">
        <w:rPr>
          <w:rFonts w:hint="eastAsia"/>
          <w:color w:val="FF0000"/>
        </w:rPr>
        <w:t>：</w:t>
      </w:r>
      <w:r w:rsidR="002578E0" w:rsidRPr="00642430">
        <w:rPr>
          <w:rFonts w:hint="eastAsia"/>
          <w:color w:val="FF0000"/>
        </w:rPr>
        <w:t>GenAI</w:t>
      </w:r>
      <w:r w:rsidR="002578E0" w:rsidRPr="00642430">
        <w:rPr>
          <w:rFonts w:hint="eastAsia"/>
          <w:color w:val="FF0000"/>
        </w:rPr>
        <w:t>工具的可靠性和滿意度與小學生學習能力的提升有顯著影響。</w:t>
      </w:r>
    </w:p>
    <w:p w14:paraId="2ABCEF81" w14:textId="7A90CD71" w:rsidR="00387442" w:rsidRPr="00642430" w:rsidRDefault="00387442" w:rsidP="00387442">
      <w:pPr>
        <w:rPr>
          <w:color w:val="FF0000"/>
        </w:rPr>
      </w:pPr>
      <w:r w:rsidRPr="00642430">
        <w:rPr>
          <w:rFonts w:hint="eastAsia"/>
          <w:color w:val="FF0000"/>
        </w:rPr>
        <w:t>H3</w:t>
      </w:r>
      <w:r w:rsidRPr="00642430">
        <w:rPr>
          <w:rFonts w:hint="eastAsia"/>
          <w:color w:val="FF0000"/>
        </w:rPr>
        <w:t>：</w:t>
      </w:r>
      <w:r w:rsidR="002578E0" w:rsidRPr="00642430">
        <w:rPr>
          <w:rFonts w:hint="eastAsia"/>
          <w:color w:val="FF0000"/>
        </w:rPr>
        <w:t>小學生對</w:t>
      </w:r>
      <w:r w:rsidR="002578E0" w:rsidRPr="00642430">
        <w:rPr>
          <w:rFonts w:hint="eastAsia"/>
          <w:color w:val="FF0000"/>
        </w:rPr>
        <w:t>GenAI</w:t>
      </w:r>
      <w:r w:rsidR="002578E0" w:rsidRPr="00642430">
        <w:rPr>
          <w:rFonts w:hint="eastAsia"/>
          <w:color w:val="FF0000"/>
        </w:rPr>
        <w:t>的感知和態度與學習目標的有效性和達成有顯著影響。</w:t>
      </w:r>
    </w:p>
    <w:p w14:paraId="2D3CE23C" w14:textId="73A3C7F4" w:rsidR="00387442" w:rsidRPr="00642430" w:rsidRDefault="00387442" w:rsidP="00387442">
      <w:pPr>
        <w:rPr>
          <w:color w:val="FF0000"/>
        </w:rPr>
      </w:pPr>
      <w:r w:rsidRPr="00642430">
        <w:rPr>
          <w:rFonts w:hint="eastAsia"/>
          <w:color w:val="FF0000"/>
        </w:rPr>
        <w:t>H4</w:t>
      </w:r>
      <w:r w:rsidRPr="00642430">
        <w:rPr>
          <w:rFonts w:hint="eastAsia"/>
          <w:color w:val="FF0000"/>
        </w:rPr>
        <w:t>：</w:t>
      </w:r>
      <w:r w:rsidR="002578E0" w:rsidRPr="00642430">
        <w:rPr>
          <w:color w:val="FF0000"/>
        </w:rPr>
        <w:t>GenAI</w:t>
      </w:r>
      <w:r w:rsidR="002578E0" w:rsidRPr="00642430">
        <w:rPr>
          <w:color w:val="FF0000"/>
        </w:rPr>
        <w:t>工具的可靠性和滿意度與學習目標的有效性和達成有顯著影響。</w:t>
      </w:r>
    </w:p>
    <w:p w14:paraId="13BFDE62" w14:textId="74B73941" w:rsidR="00387442" w:rsidRPr="00642430" w:rsidRDefault="00387442" w:rsidP="00387442">
      <w:pPr>
        <w:rPr>
          <w:color w:val="FF0000"/>
        </w:rPr>
      </w:pPr>
      <w:r w:rsidRPr="00642430">
        <w:rPr>
          <w:rFonts w:hint="eastAsia"/>
          <w:color w:val="FF0000"/>
        </w:rPr>
        <w:t>H5</w:t>
      </w:r>
      <w:r w:rsidRPr="00642430">
        <w:rPr>
          <w:rFonts w:hint="eastAsia"/>
          <w:color w:val="FF0000"/>
        </w:rPr>
        <w:t>：</w:t>
      </w:r>
      <w:r w:rsidR="002578E0" w:rsidRPr="00642430">
        <w:rPr>
          <w:color w:val="FF0000"/>
        </w:rPr>
        <w:t>學習能力的提升與學習目標的有效性和達成有顯著影響。</w:t>
      </w:r>
    </w:p>
    <w:p w14:paraId="42C30D20" w14:textId="3B52D313" w:rsidR="00387442" w:rsidRPr="00642430" w:rsidRDefault="00387442" w:rsidP="00387442">
      <w:pPr>
        <w:rPr>
          <w:color w:val="FF0000"/>
        </w:rPr>
      </w:pPr>
      <w:r w:rsidRPr="00642430">
        <w:rPr>
          <w:rFonts w:hint="eastAsia"/>
          <w:color w:val="FF0000"/>
        </w:rPr>
        <w:t>H6</w:t>
      </w:r>
      <w:r w:rsidRPr="00642430">
        <w:rPr>
          <w:rFonts w:hint="eastAsia"/>
          <w:color w:val="FF0000"/>
        </w:rPr>
        <w:t>：</w:t>
      </w:r>
      <w:r w:rsidR="002578E0" w:rsidRPr="00642430">
        <w:rPr>
          <w:color w:val="FF0000"/>
        </w:rPr>
        <w:t>GenAI</w:t>
      </w:r>
      <w:r w:rsidR="002578E0" w:rsidRPr="00642430">
        <w:rPr>
          <w:color w:val="FF0000"/>
        </w:rPr>
        <w:t>使用頻率和模式對小學生對</w:t>
      </w:r>
      <w:r w:rsidR="002578E0" w:rsidRPr="00642430">
        <w:rPr>
          <w:color w:val="FF0000"/>
        </w:rPr>
        <w:t>GenAI</w:t>
      </w:r>
      <w:r w:rsidR="002578E0" w:rsidRPr="00642430">
        <w:rPr>
          <w:color w:val="FF0000"/>
        </w:rPr>
        <w:t>的感知和態度與其可靠性和滿意度有顯著調節作用。</w:t>
      </w:r>
    </w:p>
    <w:p w14:paraId="4FDB4EF4" w14:textId="46DFE8C1" w:rsidR="00387442" w:rsidRPr="00642430" w:rsidRDefault="00387442" w:rsidP="00387442">
      <w:pPr>
        <w:rPr>
          <w:color w:val="FF0000"/>
        </w:rPr>
      </w:pPr>
      <w:r w:rsidRPr="00642430">
        <w:rPr>
          <w:rFonts w:hint="eastAsia"/>
          <w:color w:val="FF0000"/>
        </w:rPr>
        <w:t>H7</w:t>
      </w:r>
      <w:r w:rsidRPr="00642430">
        <w:rPr>
          <w:rFonts w:hint="eastAsia"/>
          <w:color w:val="FF0000"/>
        </w:rPr>
        <w:t>：</w:t>
      </w:r>
      <w:r w:rsidR="002578E0" w:rsidRPr="00642430">
        <w:rPr>
          <w:color w:val="FF0000"/>
        </w:rPr>
        <w:t>GenAI</w:t>
      </w:r>
      <w:r w:rsidR="002578E0" w:rsidRPr="00642430">
        <w:rPr>
          <w:color w:val="FF0000"/>
        </w:rPr>
        <w:t>使用頻率和模式對</w:t>
      </w:r>
      <w:r w:rsidR="002578E0" w:rsidRPr="00642430">
        <w:rPr>
          <w:color w:val="FF0000"/>
        </w:rPr>
        <w:t>GenAI</w:t>
      </w:r>
      <w:r w:rsidR="002578E0" w:rsidRPr="00642430">
        <w:rPr>
          <w:color w:val="FF0000"/>
        </w:rPr>
        <w:t>工具的可靠性和滿意度與學習目標的有效性和達成有顯著調節作用。</w:t>
      </w:r>
    </w:p>
    <w:p w14:paraId="4635A7A5" w14:textId="40F7031F" w:rsidR="00387442" w:rsidRPr="00642430" w:rsidRDefault="00387442" w:rsidP="00387442">
      <w:pPr>
        <w:rPr>
          <w:color w:val="FF0000"/>
        </w:rPr>
      </w:pPr>
      <w:r w:rsidRPr="00642430">
        <w:rPr>
          <w:rFonts w:hint="eastAsia"/>
          <w:color w:val="FF0000"/>
        </w:rPr>
        <w:t>H8</w:t>
      </w:r>
      <w:r w:rsidRPr="00642430">
        <w:rPr>
          <w:rFonts w:hint="eastAsia"/>
          <w:color w:val="FF0000"/>
        </w:rPr>
        <w:t>：</w:t>
      </w:r>
      <w:r w:rsidR="002578E0" w:rsidRPr="00642430">
        <w:rPr>
          <w:color w:val="FF0000"/>
        </w:rPr>
        <w:t>GenAI</w:t>
      </w:r>
      <w:r w:rsidR="002578E0" w:rsidRPr="00642430">
        <w:rPr>
          <w:color w:val="FF0000"/>
        </w:rPr>
        <w:t>使用頻率和模式對學習能力的提升與學習目標的有效性和達成有顯著調節作用。</w:t>
      </w:r>
    </w:p>
    <w:p w14:paraId="6936C124" w14:textId="1C1AB7D0" w:rsidR="00387442" w:rsidRDefault="00387442">
      <w:pPr>
        <w:rPr>
          <w:noProof/>
        </w:rPr>
      </w:pPr>
    </w:p>
    <w:p w14:paraId="74A50D77" w14:textId="47504BA8" w:rsidR="000F3E07" w:rsidRDefault="009E103C" w:rsidP="009E103C">
      <w:pPr>
        <w:rPr>
          <w:noProof/>
        </w:rPr>
      </w:pPr>
      <w:r>
        <w:rPr>
          <w:noProof/>
        </w:rPr>
        <w:drawing>
          <wp:inline distT="0" distB="0" distL="0" distR="0" wp14:anchorId="287A0022" wp14:editId="5B5538FA">
            <wp:extent cx="6122822" cy="3705742"/>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639"/>
                    <a:stretch/>
                  </pic:blipFill>
                  <pic:spPr bwMode="auto">
                    <a:xfrm>
                      <a:off x="0" y="0"/>
                      <a:ext cx="6130209" cy="3710213"/>
                    </a:xfrm>
                    <a:prstGeom prst="rect">
                      <a:avLst/>
                    </a:prstGeom>
                    <a:noFill/>
                    <a:ln>
                      <a:noFill/>
                    </a:ln>
                    <a:extLst>
                      <a:ext uri="{53640926-AAD7-44D8-BBD7-CCE9431645EC}">
                        <a14:shadowObscured xmlns:a14="http://schemas.microsoft.com/office/drawing/2010/main"/>
                      </a:ext>
                    </a:extLst>
                  </pic:spPr>
                </pic:pic>
              </a:graphicData>
            </a:graphic>
          </wp:inline>
        </w:drawing>
      </w:r>
    </w:p>
    <w:p w14:paraId="5F4DE480" w14:textId="0A08E192" w:rsidR="00387442" w:rsidRDefault="000F3E07" w:rsidP="000F3E07">
      <w:pPr>
        <w:pStyle w:val="a8"/>
        <w:jc w:val="center"/>
      </w:pPr>
      <w:bookmarkStart w:id="3" w:name="_Ref171710614"/>
      <w:r>
        <w:lastRenderedPageBreak/>
        <w:t xml:space="preserve">Fig </w:t>
      </w:r>
      <w:fldSimple w:instr=" SEQ Fig \* ARABIC ">
        <w:r w:rsidR="00103878">
          <w:rPr>
            <w:noProof/>
          </w:rPr>
          <w:t>2</w:t>
        </w:r>
      </w:fldSimple>
      <w:bookmarkEnd w:id="3"/>
      <w:r>
        <w:rPr>
          <w:rFonts w:hint="eastAsia"/>
        </w:rPr>
        <w:t>：</w:t>
      </w:r>
      <w:r w:rsidRPr="008B274C">
        <w:rPr>
          <w:rFonts w:hint="eastAsia"/>
        </w:rPr>
        <w:t>研究架構圖</w:t>
      </w:r>
    </w:p>
    <w:p w14:paraId="2CB2D5E0" w14:textId="420E5209" w:rsidR="00387442" w:rsidRDefault="00985492" w:rsidP="00985492">
      <w:pPr>
        <w:pStyle w:val="3"/>
      </w:pPr>
      <w:r>
        <w:rPr>
          <w:rFonts w:hint="eastAsia"/>
        </w:rPr>
        <w:t>課程架構</w:t>
      </w:r>
    </w:p>
    <w:p w14:paraId="1D7039BF" w14:textId="010882DC" w:rsidR="0077254F" w:rsidRDefault="00985492" w:rsidP="0031701F">
      <w:pPr>
        <w:ind w:firstLine="480"/>
      </w:pPr>
      <w:r w:rsidRPr="00985492">
        <w:rPr>
          <w:rFonts w:hint="eastAsia"/>
        </w:rPr>
        <w:t>本研究所設計的課程一共分為三個環節</w:t>
      </w:r>
      <w:r w:rsidRPr="00985492">
        <w:rPr>
          <w:rFonts w:hint="eastAsia"/>
        </w:rPr>
        <w:t>(</w:t>
      </w:r>
      <w:r w:rsidRPr="00985492">
        <w:rPr>
          <w:rFonts w:hint="eastAsia"/>
        </w:rPr>
        <w:t>見</w:t>
      </w:r>
      <w:r w:rsidR="00A910AE">
        <w:fldChar w:fldCharType="begin"/>
      </w:r>
      <w:r w:rsidR="00A910AE">
        <w:instrText xml:space="preserve"> </w:instrText>
      </w:r>
      <w:r w:rsidR="00A910AE">
        <w:rPr>
          <w:rFonts w:hint="eastAsia"/>
        </w:rPr>
        <w:instrText>REF _Ref171710801 \h</w:instrText>
      </w:r>
      <w:r w:rsidR="00A910AE">
        <w:instrText xml:space="preserve"> </w:instrText>
      </w:r>
      <w:r w:rsidR="00A910AE">
        <w:fldChar w:fldCharType="separate"/>
      </w:r>
      <w:r w:rsidR="00103878">
        <w:t xml:space="preserve">Fig </w:t>
      </w:r>
      <w:r w:rsidR="00103878">
        <w:rPr>
          <w:noProof/>
        </w:rPr>
        <w:t>3</w:t>
      </w:r>
      <w:r w:rsidR="00A910AE">
        <w:fldChar w:fldCharType="end"/>
      </w:r>
      <w:r w:rsidRPr="00985492">
        <w:rPr>
          <w:rFonts w:hint="eastAsia"/>
        </w:rPr>
        <w:t>)</w:t>
      </w:r>
      <w:r w:rsidRPr="00985492">
        <w:rPr>
          <w:rFonts w:hint="eastAsia"/>
        </w:rPr>
        <w:t>，</w:t>
      </w:r>
      <w:r w:rsidR="0077254F" w:rsidRPr="00EF5B76">
        <w:rPr>
          <w:rFonts w:hint="eastAsia"/>
          <w:color w:val="FF0000"/>
        </w:rPr>
        <w:t>第一個環節如</w:t>
      </w:r>
      <w:r w:rsidR="0077254F" w:rsidRPr="00EF5B76">
        <w:rPr>
          <w:color w:val="FF0000"/>
        </w:rPr>
        <w:fldChar w:fldCharType="begin"/>
      </w:r>
      <w:r w:rsidR="0077254F" w:rsidRPr="00EF5B76">
        <w:rPr>
          <w:color w:val="FF0000"/>
        </w:rPr>
        <w:instrText xml:space="preserve"> </w:instrText>
      </w:r>
      <w:r w:rsidR="0077254F" w:rsidRPr="00EF5B76">
        <w:rPr>
          <w:rFonts w:hint="eastAsia"/>
          <w:color w:val="FF0000"/>
        </w:rPr>
        <w:instrText>REF _Ref171710810 \h</w:instrText>
      </w:r>
      <w:r w:rsidR="0077254F" w:rsidRPr="00EF5B76">
        <w:rPr>
          <w:color w:val="FF0000"/>
        </w:rPr>
        <w:instrText xml:space="preserve"> </w:instrText>
      </w:r>
      <w:r w:rsidR="0077254F" w:rsidRPr="00EF5B76">
        <w:rPr>
          <w:color w:val="FF0000"/>
        </w:rPr>
      </w:r>
      <w:r w:rsidR="0077254F" w:rsidRPr="00EF5B76">
        <w:rPr>
          <w:color w:val="FF0000"/>
        </w:rPr>
        <w:fldChar w:fldCharType="separate"/>
      </w:r>
      <w:r w:rsidR="00103878">
        <w:t xml:space="preserve">Fig </w:t>
      </w:r>
      <w:r w:rsidR="00103878">
        <w:rPr>
          <w:noProof/>
        </w:rPr>
        <w:t>4</w:t>
      </w:r>
      <w:r w:rsidR="0077254F" w:rsidRPr="00EF5B76">
        <w:rPr>
          <w:color w:val="FF0000"/>
        </w:rPr>
        <w:fldChar w:fldCharType="end"/>
      </w:r>
      <w:r w:rsidR="0077254F" w:rsidRPr="00EF5B76">
        <w:rPr>
          <w:rFonts w:hint="eastAsia"/>
          <w:color w:val="FF0000"/>
        </w:rPr>
        <w:t>所示：要將</w:t>
      </w:r>
      <w:r w:rsidR="0077254F" w:rsidRPr="00EF5B76">
        <w:rPr>
          <w:rFonts w:hint="eastAsia"/>
          <w:color w:val="FF0000"/>
        </w:rPr>
        <w:t>AI</w:t>
      </w:r>
      <w:r w:rsidR="0077254F" w:rsidRPr="00EF5B76">
        <w:rPr>
          <w:rFonts w:hint="eastAsia"/>
          <w:color w:val="FF0000"/>
        </w:rPr>
        <w:t>融入課堂，首先需要理解它的含義，亦即「我們所謂的人工智能是什麼？」，</w:t>
      </w:r>
      <w:r w:rsidR="0077254F" w:rsidRPr="00EF5B76">
        <w:rPr>
          <w:rFonts w:hint="eastAsia"/>
          <w:color w:val="FF0000"/>
        </w:rPr>
        <w:t>Russell, &amp; Norvig (2020)</w:t>
      </w:r>
      <w:r w:rsidR="0077254F" w:rsidRPr="00EF5B76">
        <w:rPr>
          <w:rFonts w:hint="eastAsia"/>
          <w:color w:val="FF0000"/>
        </w:rPr>
        <w:t>指出目前對於</w:t>
      </w:r>
      <w:r w:rsidR="0077254F" w:rsidRPr="00EF5B76">
        <w:rPr>
          <w:rFonts w:hint="eastAsia"/>
          <w:color w:val="FF0000"/>
        </w:rPr>
        <w:t>AI</w:t>
      </w:r>
      <w:r w:rsidR="0077254F" w:rsidRPr="00EF5B76">
        <w:rPr>
          <w:rFonts w:hint="eastAsia"/>
          <w:color w:val="FF0000"/>
        </w:rPr>
        <w:t>有許多不同的定義在使用，這些不同的定義並非疏忽，而是人工智能現象本身並不是一個固有特徵，研究對於</w:t>
      </w:r>
      <w:r w:rsidR="0077254F" w:rsidRPr="00EF5B76">
        <w:rPr>
          <w:rFonts w:hint="eastAsia"/>
          <w:color w:val="FF0000"/>
        </w:rPr>
        <w:t>AI</w:t>
      </w:r>
      <w:r w:rsidR="0077254F" w:rsidRPr="00EF5B76">
        <w:rPr>
          <w:rFonts w:hint="eastAsia"/>
          <w:color w:val="FF0000"/>
        </w:rPr>
        <w:t>在不同場景與用途中會給出不同的結論。若按照廣泛定義中，</w:t>
      </w:r>
      <w:r w:rsidR="0077254F" w:rsidRPr="00EF5B76">
        <w:rPr>
          <w:rFonts w:hint="eastAsia"/>
          <w:color w:val="FF0000"/>
        </w:rPr>
        <w:t>AI</w:t>
      </w:r>
      <w:r w:rsidR="0077254F" w:rsidRPr="00EF5B76">
        <w:rPr>
          <w:rFonts w:hint="eastAsia"/>
          <w:color w:val="FF0000"/>
        </w:rPr>
        <w:t>被視等同於演算法，但本研究認為</w:t>
      </w:r>
      <w:r w:rsidR="0077254F" w:rsidRPr="00EF5B76">
        <w:rPr>
          <w:rFonts w:hint="eastAsia"/>
          <w:color w:val="FF0000"/>
        </w:rPr>
        <w:t>AI</w:t>
      </w:r>
      <w:r w:rsidR="0077254F" w:rsidRPr="00EF5B76">
        <w:rPr>
          <w:rFonts w:hint="eastAsia"/>
          <w:color w:val="FF0000"/>
        </w:rPr>
        <w:t>應該是建立於</w:t>
      </w:r>
      <w:r w:rsidR="00C16808" w:rsidRPr="00EF5B76">
        <w:rPr>
          <w:rFonts w:hint="eastAsia"/>
          <w:color w:val="FF0000"/>
        </w:rPr>
        <w:t>演算法</w:t>
      </w:r>
      <w:r w:rsidR="003A601E" w:rsidRPr="00EF5B76">
        <w:rPr>
          <w:rFonts w:hint="eastAsia"/>
          <w:color w:val="FF0000"/>
        </w:rPr>
        <w:t>之上，因此認定該定義不適於此。而按照嚴格定義，</w:t>
      </w:r>
      <w:r w:rsidR="003A601E" w:rsidRPr="00EF5B76">
        <w:rPr>
          <w:rFonts w:hint="eastAsia"/>
          <w:color w:val="FF0000"/>
        </w:rPr>
        <w:t>AI</w:t>
      </w:r>
      <w:r w:rsidR="003A601E" w:rsidRPr="00EF5B76">
        <w:rPr>
          <w:rFonts w:hint="eastAsia"/>
          <w:color w:val="FF0000"/>
        </w:rPr>
        <w:t>指的是計算機模仿人類固有的智慧，但這個定義對於我們的報告也不合適。本研究認為：當前的應用仍然相對簡單，若按照嚴格定義，會使得</w:t>
      </w:r>
      <w:r w:rsidR="003A601E" w:rsidRPr="00EF5B76">
        <w:rPr>
          <w:rFonts w:hint="eastAsia"/>
          <w:color w:val="FF0000"/>
        </w:rPr>
        <w:t>AI</w:t>
      </w:r>
      <w:r w:rsidR="003A601E" w:rsidRPr="00EF5B76">
        <w:rPr>
          <w:rFonts w:hint="eastAsia"/>
          <w:color w:val="FF0000"/>
        </w:rPr>
        <w:t>不復存在。當今的確對於人類智慧與</w:t>
      </w:r>
      <w:r w:rsidR="003A601E" w:rsidRPr="00EF5B76">
        <w:rPr>
          <w:rFonts w:hint="eastAsia"/>
          <w:color w:val="FF0000"/>
        </w:rPr>
        <w:t>AI</w:t>
      </w:r>
      <w:r w:rsidR="003A601E" w:rsidRPr="00EF5B76">
        <w:rPr>
          <w:rFonts w:hint="eastAsia"/>
          <w:color w:val="FF0000"/>
        </w:rPr>
        <w:t>有許多了解，但知識體系仍未完整，在這種情況下，要準確地模擬智慧也是不可能的。</w:t>
      </w:r>
      <w:r w:rsidR="003A601E" w:rsidRPr="00EF5B76">
        <w:rPr>
          <w:rFonts w:hint="eastAsia"/>
          <w:color w:val="FF0000"/>
        </w:rPr>
        <w:t>Bostrom(2016)</w:t>
      </w:r>
      <w:r w:rsidR="003A601E" w:rsidRPr="00EF5B76">
        <w:rPr>
          <w:rFonts w:hint="eastAsia"/>
          <w:color w:val="FF0000"/>
        </w:rPr>
        <w:t>提到在</w:t>
      </w:r>
      <w:r w:rsidR="003A601E" w:rsidRPr="00EF5B76">
        <w:rPr>
          <w:rFonts w:hint="eastAsia"/>
          <w:color w:val="FF0000"/>
        </w:rPr>
        <w:t>1950</w:t>
      </w:r>
      <w:r w:rsidR="003A601E" w:rsidRPr="00EF5B76">
        <w:rPr>
          <w:rFonts w:hint="eastAsia"/>
          <w:color w:val="FF0000"/>
        </w:rPr>
        <w:t>年代專家預測「如果能設計出一台成功的棋類機器，就好像已經滲透到了人類智力的核心。」而在</w:t>
      </w:r>
      <w:r w:rsidR="003A601E" w:rsidRPr="00EF5B76">
        <w:rPr>
          <w:rFonts w:hint="eastAsia"/>
          <w:color w:val="FF0000"/>
        </w:rPr>
        <w:t>1997</w:t>
      </w:r>
      <w:r w:rsidR="003A601E" w:rsidRPr="00EF5B76">
        <w:rPr>
          <w:rFonts w:hint="eastAsia"/>
          <w:color w:val="FF0000"/>
        </w:rPr>
        <w:t>年</w:t>
      </w:r>
      <w:r w:rsidR="003A601E" w:rsidRPr="00EF5B76">
        <w:rPr>
          <w:rFonts w:hint="eastAsia"/>
          <w:color w:val="FF0000"/>
        </w:rPr>
        <w:t>Garry Kasparov</w:t>
      </w:r>
      <w:r w:rsidR="003A601E" w:rsidRPr="00EF5B76">
        <w:rPr>
          <w:rFonts w:hint="eastAsia"/>
          <w:color w:val="FF0000"/>
        </w:rPr>
        <w:t>被棋類計算機</w:t>
      </w:r>
      <w:r w:rsidR="003A601E" w:rsidRPr="00EF5B76">
        <w:rPr>
          <w:rFonts w:hint="eastAsia"/>
          <w:color w:val="FF0000"/>
        </w:rPr>
        <w:t>Deep Blue</w:t>
      </w:r>
      <w:r w:rsidR="003A601E" w:rsidRPr="00EF5B76">
        <w:rPr>
          <w:rFonts w:hint="eastAsia"/>
          <w:color w:val="FF0000"/>
        </w:rPr>
        <w:t>擊敗時，</w:t>
      </w:r>
      <w:r w:rsidR="003A601E" w:rsidRPr="00EF5B76">
        <w:rPr>
          <w:rFonts w:hint="eastAsia"/>
          <w:color w:val="FF0000"/>
        </w:rPr>
        <w:t>Deep Blue</w:t>
      </w:r>
      <w:r w:rsidR="003A601E" w:rsidRPr="00EF5B76">
        <w:rPr>
          <w:rFonts w:hint="eastAsia"/>
          <w:color w:val="FF0000"/>
        </w:rPr>
        <w:t>被宣稱人類智慧的巔峰。然而以現今來看，我們已經修正了對這種智慧形式的看法。棋類並不是人類智力的巔峰；它只是具有非常清晰規則和有限選擇的一個數學問題。</w:t>
      </w:r>
      <w:r w:rsidR="003A601E" w:rsidRPr="00EF5B76">
        <w:rPr>
          <w:color w:val="FF0000"/>
        </w:rPr>
        <w:t>Bostrom(2016).</w:t>
      </w:r>
      <w:r w:rsidR="003A601E" w:rsidRPr="00EF5B76">
        <w:rPr>
          <w:rFonts w:hint="eastAsia"/>
          <w:color w:val="FF0000"/>
        </w:rPr>
        <w:t>提出</w:t>
      </w:r>
      <w:r w:rsidR="003A601E" w:rsidRPr="00EF5B76">
        <w:rPr>
          <w:rFonts w:hint="eastAsia"/>
          <w:color w:val="FF0000"/>
        </w:rPr>
        <w:t>Moravec</w:t>
      </w:r>
      <w:r w:rsidR="003A601E" w:rsidRPr="00EF5B76">
        <w:rPr>
          <w:color w:val="FF0000"/>
        </w:rPr>
        <w:t>’</w:t>
      </w:r>
      <w:r w:rsidR="003A601E" w:rsidRPr="00EF5B76">
        <w:rPr>
          <w:rFonts w:hint="eastAsia"/>
          <w:color w:val="FF0000"/>
        </w:rPr>
        <w:t>s paradox(</w:t>
      </w:r>
      <w:r w:rsidR="003A601E" w:rsidRPr="00EF5B76">
        <w:rPr>
          <w:rFonts w:hint="eastAsia"/>
          <w:color w:val="FF0000"/>
        </w:rPr>
        <w:t>莫拉維克悖論</w:t>
      </w:r>
      <w:r w:rsidR="003A601E" w:rsidRPr="00EF5B76">
        <w:rPr>
          <w:rFonts w:hint="eastAsia"/>
          <w:color w:val="FF0000"/>
        </w:rPr>
        <w:t>)</w:t>
      </w:r>
      <w:r w:rsidR="003A601E" w:rsidRPr="00EF5B76">
        <w:rPr>
          <w:rFonts w:hint="eastAsia"/>
          <w:color w:val="FF0000"/>
        </w:rPr>
        <w:t>：「某些對人類來說困難的事情，對計算機來說卻非常簡單。</w:t>
      </w:r>
      <w:r w:rsidR="003A601E" w:rsidRPr="00EF5B76">
        <w:rPr>
          <w:rFonts w:hint="eastAsia"/>
          <w:color w:val="FF0000"/>
        </w:rPr>
        <w:t xml:space="preserve"> </w:t>
      </w:r>
      <w:r w:rsidR="003A601E" w:rsidRPr="00EF5B76">
        <w:rPr>
          <w:rFonts w:hint="eastAsia"/>
          <w:color w:val="FF0000"/>
        </w:rPr>
        <w:t>但對我們人類來說非常簡單的事情</w:t>
      </w:r>
      <w:r w:rsidR="003A601E" w:rsidRPr="00EF5B76">
        <w:rPr>
          <w:rFonts w:hint="eastAsia"/>
          <w:color w:val="FF0000"/>
        </w:rPr>
        <w:t>(</w:t>
      </w:r>
      <w:r w:rsidR="003A601E" w:rsidRPr="00EF5B76">
        <w:rPr>
          <w:rFonts w:hint="eastAsia"/>
          <w:color w:val="FF0000"/>
        </w:rPr>
        <w:t>如識別物體或使用運動技能</w:t>
      </w:r>
      <w:r w:rsidR="003A601E" w:rsidRPr="00EF5B76">
        <w:rPr>
          <w:rFonts w:hint="eastAsia"/>
          <w:color w:val="FF0000"/>
        </w:rPr>
        <w:t>)</w:t>
      </w:r>
      <w:r w:rsidR="003A601E" w:rsidRPr="00EF5B76">
        <w:rPr>
          <w:rFonts w:hint="eastAsia"/>
          <w:color w:val="FF0000"/>
        </w:rPr>
        <w:t>，卻對計算機來說卻非常困難</w:t>
      </w:r>
      <w:r w:rsidR="003A601E" w:rsidRPr="00EF5B76">
        <w:rPr>
          <w:rFonts w:hint="eastAsia"/>
          <w:color w:val="FF0000"/>
        </w:rPr>
        <w:t>(</w:t>
      </w:r>
      <w:r w:rsidR="003A601E" w:rsidRPr="00EF5B76">
        <w:rPr>
          <w:color w:val="FF0000"/>
        </w:rPr>
        <w:t>Moravec, 1988)</w:t>
      </w:r>
      <w:r w:rsidR="003A601E" w:rsidRPr="00EF5B76">
        <w:rPr>
          <w:rFonts w:hint="eastAsia"/>
          <w:color w:val="FF0000"/>
        </w:rPr>
        <w:t>」，</w:t>
      </w:r>
      <w:r w:rsidR="00235747" w:rsidRPr="00EF5B76">
        <w:rPr>
          <w:rFonts w:hint="eastAsia"/>
          <w:color w:val="FF0000"/>
        </w:rPr>
        <w:t>同時也凸顯出本實驗在設計第一環節</w:t>
      </w:r>
      <w:r w:rsidR="00235747" w:rsidRPr="00EF5B76">
        <w:rPr>
          <w:rFonts w:hint="eastAsia"/>
          <w:color w:val="FF0000"/>
        </w:rPr>
        <w:t>AI</w:t>
      </w:r>
      <w:r w:rsidR="00235747" w:rsidRPr="00EF5B76">
        <w:rPr>
          <w:rFonts w:hint="eastAsia"/>
          <w:color w:val="FF0000"/>
        </w:rPr>
        <w:t>定義的困境。本研究最後依據</w:t>
      </w:r>
      <w:r w:rsidR="00235747" w:rsidRPr="00EF5B76">
        <w:rPr>
          <w:rFonts w:hint="eastAsia"/>
          <w:color w:val="FF0000"/>
        </w:rPr>
        <w:t>Sheikh, et al. (2023)</w:t>
      </w:r>
      <w:r w:rsidR="00235747" w:rsidRPr="00EF5B76">
        <w:rPr>
          <w:rFonts w:hint="eastAsia"/>
          <w:color w:val="FF0000"/>
        </w:rPr>
        <w:t>給出</w:t>
      </w:r>
      <w:r w:rsidR="00235747" w:rsidRPr="00EF5B76">
        <w:rPr>
          <w:rFonts w:hint="eastAsia"/>
          <w:color w:val="FF0000"/>
        </w:rPr>
        <w:t>AI</w:t>
      </w:r>
      <w:r w:rsidR="00235747" w:rsidRPr="00EF5B76">
        <w:rPr>
          <w:rFonts w:hint="eastAsia"/>
          <w:color w:val="FF0000"/>
        </w:rPr>
        <w:t>的定義：「使機器能夠執行通常需要人類智慧的任務的技術，這些任務包括但不限於學習、推理、計劃、問題解決、理解自然語言、感知和行動」。這一定義有助於我們明確區分人工智能與其他技術，並提供了理解人工智能的基礎。然而值得注意的是，隨著人工智能技術的進步和應用範圍的擴大，我們對人工智能的理解也可能會隨之演變。因此，這一定義可能會隨著時間的推移而更新或擴充。</w:t>
      </w:r>
      <w:r w:rsidR="00C412EE" w:rsidRPr="001E33FC">
        <w:rPr>
          <w:rFonts w:hint="eastAsia"/>
          <w:color w:val="000000" w:themeColor="text1"/>
        </w:rPr>
        <w:t>在</w:t>
      </w:r>
      <w:r w:rsidR="00C412EE">
        <w:rPr>
          <w:rFonts w:hint="eastAsia"/>
        </w:rPr>
        <w:t>對於</w:t>
      </w:r>
      <w:r w:rsidR="00C412EE">
        <w:rPr>
          <w:rFonts w:hint="eastAsia"/>
        </w:rPr>
        <w:t>AI</w:t>
      </w:r>
      <w:r w:rsidR="00C412EE">
        <w:rPr>
          <w:rFonts w:hint="eastAsia"/>
        </w:rPr>
        <w:t>下了符合教學的</w:t>
      </w:r>
      <w:r w:rsidR="00C412EE">
        <w:rPr>
          <w:rFonts w:hint="eastAsia"/>
        </w:rPr>
        <w:t>AI</w:t>
      </w:r>
      <w:r w:rsidR="00C412EE">
        <w:rPr>
          <w:rFonts w:hint="eastAsia"/>
        </w:rPr>
        <w:t>定義後，</w:t>
      </w:r>
      <w:r w:rsidR="00C412EE" w:rsidRPr="00985492">
        <w:rPr>
          <w:rFonts w:hint="eastAsia"/>
        </w:rPr>
        <w:t>通過圖像詢問方法引導學生探討展示的圖片內容是否屬於</w:t>
      </w:r>
      <w:r w:rsidR="00C412EE" w:rsidRPr="00985492">
        <w:rPr>
          <w:rFonts w:hint="eastAsia"/>
        </w:rPr>
        <w:t>AI</w:t>
      </w:r>
      <w:r w:rsidR="00C412EE" w:rsidRPr="00985492">
        <w:rPr>
          <w:rFonts w:hint="eastAsia"/>
        </w:rPr>
        <w:t>的領域。學生將利用視覺識別深入理解人工智慧的特徵。</w:t>
      </w:r>
    </w:p>
    <w:p w14:paraId="6BF4977B" w14:textId="77777777" w:rsidR="00985492" w:rsidRDefault="00985492" w:rsidP="00985492">
      <w:pPr>
        <w:keepNext/>
      </w:pPr>
      <w:r>
        <w:rPr>
          <w:noProof/>
        </w:rPr>
        <w:drawing>
          <wp:inline distT="0" distB="0" distL="0" distR="0" wp14:anchorId="05C21CD5" wp14:editId="02D8C95C">
            <wp:extent cx="6119272" cy="185351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6265" b="32314"/>
                    <a:stretch/>
                  </pic:blipFill>
                  <pic:spPr bwMode="auto">
                    <a:xfrm>
                      <a:off x="0" y="0"/>
                      <a:ext cx="6120130" cy="1853773"/>
                    </a:xfrm>
                    <a:prstGeom prst="rect">
                      <a:avLst/>
                    </a:prstGeom>
                    <a:noFill/>
                    <a:ln>
                      <a:noFill/>
                    </a:ln>
                    <a:extLst>
                      <a:ext uri="{53640926-AAD7-44D8-BBD7-CCE9431645EC}">
                        <a14:shadowObscured xmlns:a14="http://schemas.microsoft.com/office/drawing/2010/main"/>
                      </a:ext>
                    </a:extLst>
                  </pic:spPr>
                </pic:pic>
              </a:graphicData>
            </a:graphic>
          </wp:inline>
        </w:drawing>
      </w:r>
    </w:p>
    <w:p w14:paraId="7E64222A" w14:textId="1A6A6361" w:rsidR="00387442" w:rsidRDefault="00985492" w:rsidP="00985492">
      <w:pPr>
        <w:pStyle w:val="a8"/>
        <w:jc w:val="center"/>
      </w:pPr>
      <w:bookmarkStart w:id="4" w:name="_Ref171710801"/>
      <w:r>
        <w:t xml:space="preserve">Fig </w:t>
      </w:r>
      <w:fldSimple w:instr=" SEQ Fig \* ARABIC ">
        <w:r w:rsidR="00103878">
          <w:rPr>
            <w:noProof/>
          </w:rPr>
          <w:t>3</w:t>
        </w:r>
      </w:fldSimple>
      <w:bookmarkEnd w:id="4"/>
      <w:r>
        <w:rPr>
          <w:rFonts w:hint="eastAsia"/>
        </w:rPr>
        <w:t>：</w:t>
      </w:r>
      <w:r w:rsidRPr="00555682">
        <w:rPr>
          <w:rFonts w:hint="eastAsia"/>
        </w:rPr>
        <w:t>課程架構圖</w:t>
      </w:r>
    </w:p>
    <w:p w14:paraId="36CA9DBC" w14:textId="77777777" w:rsidR="0031701F" w:rsidRDefault="0031701F" w:rsidP="00C412EE"/>
    <w:p w14:paraId="0F082FD6" w14:textId="61C3FCEB" w:rsidR="00C412EE" w:rsidRDefault="00C412EE" w:rsidP="00C412EE">
      <w:r>
        <w:rPr>
          <w:rFonts w:hint="eastAsia"/>
        </w:rPr>
        <w:t>緊接著採用</w:t>
      </w:r>
      <w:r>
        <w:rPr>
          <w:rFonts w:hint="eastAsia"/>
        </w:rPr>
        <w:t>Dall-E3</w:t>
      </w:r>
      <w:r>
        <w:rPr>
          <w:rFonts w:hint="eastAsia"/>
        </w:rPr>
        <w:t>作為示範模型</w:t>
      </w:r>
      <w:r>
        <w:rPr>
          <w:rFonts w:hint="eastAsia"/>
        </w:rPr>
        <w:t>,</w:t>
      </w:r>
      <w:r>
        <w:rPr>
          <w:rFonts w:hint="eastAsia"/>
        </w:rPr>
        <w:t>向學生展示如何向</w:t>
      </w:r>
      <w:r>
        <w:rPr>
          <w:rFonts w:hint="eastAsia"/>
        </w:rPr>
        <w:t>AI</w:t>
      </w:r>
      <w:r>
        <w:rPr>
          <w:rFonts w:hint="eastAsia"/>
        </w:rPr>
        <w:t>下達「</w:t>
      </w:r>
      <w:r>
        <w:rPr>
          <w:rFonts w:hint="eastAsia"/>
        </w:rPr>
        <w:t>prompt</w:t>
      </w:r>
      <w:r>
        <w:rPr>
          <w:rFonts w:hint="eastAsia"/>
        </w:rPr>
        <w:t>」</w:t>
      </w:r>
      <w:r w:rsidR="00B34983">
        <w:rPr>
          <w:rFonts w:hint="eastAsia"/>
        </w:rPr>
        <w:t>，</w:t>
      </w:r>
      <w:r>
        <w:rPr>
          <w:rFonts w:hint="eastAsia"/>
        </w:rPr>
        <w:t>並生成所需的圖</w:t>
      </w:r>
    </w:p>
    <w:p w14:paraId="481FE5B4" w14:textId="0A1CA88F" w:rsidR="00C412EE" w:rsidRDefault="00C412EE" w:rsidP="00C412EE">
      <w:r>
        <w:rPr>
          <w:rFonts w:hint="eastAsia"/>
        </w:rPr>
        <w:t>像。通過對比真實拍攝的圖片與</w:t>
      </w:r>
      <w:r>
        <w:rPr>
          <w:rFonts w:hint="eastAsia"/>
        </w:rPr>
        <w:t>AI</w:t>
      </w:r>
      <w:r>
        <w:rPr>
          <w:rFonts w:hint="eastAsia"/>
        </w:rPr>
        <w:t>生成的圖片</w:t>
      </w:r>
      <w:r w:rsidR="00B34983">
        <w:rPr>
          <w:rFonts w:hint="eastAsia"/>
        </w:rPr>
        <w:t>，</w:t>
      </w:r>
      <w:r>
        <w:rPr>
          <w:rFonts w:hint="eastAsia"/>
        </w:rPr>
        <w:t>讓學生嘗試辨別哪一張是真實拍攝的</w:t>
      </w:r>
      <w:r w:rsidR="00B34983">
        <w:rPr>
          <w:rFonts w:hint="eastAsia"/>
        </w:rPr>
        <w:t>，</w:t>
      </w:r>
      <w:r>
        <w:rPr>
          <w:rFonts w:hint="eastAsia"/>
        </w:rPr>
        <w:t>哪</w:t>
      </w:r>
    </w:p>
    <w:p w14:paraId="0ABC16BE" w14:textId="60A720FF" w:rsidR="00C412EE" w:rsidRDefault="00C412EE" w:rsidP="00C412EE">
      <w:r>
        <w:rPr>
          <w:rFonts w:hint="eastAsia"/>
        </w:rPr>
        <w:t>一張是由</w:t>
      </w:r>
      <w:r>
        <w:rPr>
          <w:rFonts w:hint="eastAsia"/>
        </w:rPr>
        <w:t>AI</w:t>
      </w:r>
      <w:r>
        <w:rPr>
          <w:rFonts w:hint="eastAsia"/>
        </w:rPr>
        <w:t>生成的</w:t>
      </w:r>
      <w:r w:rsidR="00B34983">
        <w:rPr>
          <w:rFonts w:hint="eastAsia"/>
        </w:rPr>
        <w:t>，</w:t>
      </w:r>
      <w:r>
        <w:rPr>
          <w:rFonts w:hint="eastAsia"/>
        </w:rPr>
        <w:t>從而深入瞭解圖像生成</w:t>
      </w:r>
      <w:r>
        <w:rPr>
          <w:rFonts w:hint="eastAsia"/>
        </w:rPr>
        <w:t>AI</w:t>
      </w:r>
      <w:r>
        <w:rPr>
          <w:rFonts w:hint="eastAsia"/>
        </w:rPr>
        <w:t>在製作精細圖像方面的出色能力。這種方法</w:t>
      </w:r>
    </w:p>
    <w:p w14:paraId="6CC11D29" w14:textId="7324A856" w:rsidR="00C412EE" w:rsidRDefault="00C412EE" w:rsidP="00C412EE">
      <w:r>
        <w:rPr>
          <w:rFonts w:hint="eastAsia"/>
        </w:rPr>
        <w:lastRenderedPageBreak/>
        <w:t>同樣適用於視頻</w:t>
      </w:r>
      <w:r w:rsidR="00B34983">
        <w:rPr>
          <w:rFonts w:hint="eastAsia"/>
        </w:rPr>
        <w:t>：</w:t>
      </w:r>
      <w:r>
        <w:rPr>
          <w:rFonts w:hint="eastAsia"/>
        </w:rPr>
        <w:t>選擇一段人為拍攝影片並與</w:t>
      </w:r>
      <w:r>
        <w:rPr>
          <w:rFonts w:hint="eastAsia"/>
        </w:rPr>
        <w:t>SORA</w:t>
      </w:r>
      <w:r>
        <w:rPr>
          <w:rFonts w:hint="eastAsia"/>
        </w:rPr>
        <w:t>模型生成的類似影片進行比較</w:t>
      </w:r>
      <w:r w:rsidR="00B34983">
        <w:rPr>
          <w:rFonts w:hint="eastAsia"/>
        </w:rPr>
        <w:t>，</w:t>
      </w:r>
      <w:r>
        <w:rPr>
          <w:rFonts w:hint="eastAsia"/>
        </w:rPr>
        <w:t>以</w:t>
      </w:r>
    </w:p>
    <w:p w14:paraId="47889931" w14:textId="48ACC049" w:rsidR="00C412EE" w:rsidRDefault="00C412EE" w:rsidP="00C412EE">
      <w:r>
        <w:rPr>
          <w:rFonts w:hint="eastAsia"/>
        </w:rPr>
        <w:t>進一步加深學生對人工智慧應用的理解</w:t>
      </w:r>
      <w:r w:rsidR="00B34983">
        <w:rPr>
          <w:rFonts w:hint="eastAsia"/>
        </w:rPr>
        <w:t>，</w:t>
      </w:r>
      <w:r>
        <w:rPr>
          <w:rFonts w:hint="eastAsia"/>
        </w:rPr>
        <w:t>讓學生意識到生成式</w:t>
      </w:r>
      <w:r>
        <w:rPr>
          <w:rFonts w:hint="eastAsia"/>
        </w:rPr>
        <w:t>AI</w:t>
      </w:r>
      <w:r>
        <w:rPr>
          <w:rFonts w:hint="eastAsia"/>
        </w:rPr>
        <w:t>圖像的卓越能力之後</w:t>
      </w:r>
      <w:r w:rsidR="00B34983">
        <w:rPr>
          <w:rFonts w:hint="eastAsia"/>
        </w:rPr>
        <w:t>，</w:t>
      </w:r>
      <w:r>
        <w:rPr>
          <w:rFonts w:hint="eastAsia"/>
        </w:rPr>
        <w:t>教</w:t>
      </w:r>
    </w:p>
    <w:p w14:paraId="5E69CAD6" w14:textId="54D5FAFC" w:rsidR="00C412EE" w:rsidRDefault="00C412EE" w:rsidP="00C412EE">
      <w:r>
        <w:rPr>
          <w:rFonts w:hint="eastAsia"/>
        </w:rPr>
        <w:t>學者向學生提出一個引人深思的問題</w:t>
      </w:r>
      <w:r w:rsidR="00B34983">
        <w:rPr>
          <w:rFonts w:hint="eastAsia"/>
        </w:rPr>
        <w:t>：</w:t>
      </w:r>
      <w:r>
        <w:rPr>
          <w:rFonts w:hint="eastAsia"/>
        </w:rPr>
        <w:t>「在未來</w:t>
      </w:r>
      <w:r w:rsidR="00B34983">
        <w:rPr>
          <w:rFonts w:hint="eastAsia"/>
        </w:rPr>
        <w:t>，</w:t>
      </w:r>
      <w:r>
        <w:rPr>
          <w:rFonts w:hint="eastAsia"/>
        </w:rPr>
        <w:t>與你視訊通話的可能不是老師或親人</w:t>
      </w:r>
      <w:r w:rsidR="00B34983">
        <w:rPr>
          <w:rFonts w:hint="eastAsia"/>
        </w:rPr>
        <w:t>，</w:t>
      </w:r>
      <w:r>
        <w:rPr>
          <w:rFonts w:hint="eastAsia"/>
        </w:rPr>
        <w:t>而</w:t>
      </w:r>
    </w:p>
    <w:p w14:paraId="1B974C03" w14:textId="4A29FEEE" w:rsidR="00C412EE" w:rsidRDefault="00C412EE" w:rsidP="00C412EE">
      <w:r>
        <w:rPr>
          <w:rFonts w:hint="eastAsia"/>
        </w:rPr>
        <w:t>是</w:t>
      </w:r>
      <w:r>
        <w:rPr>
          <w:rFonts w:hint="eastAsia"/>
        </w:rPr>
        <w:t>AI</w:t>
      </w:r>
      <w:r>
        <w:rPr>
          <w:rFonts w:hint="eastAsia"/>
        </w:rPr>
        <w:t>。你該如何分辨</w:t>
      </w:r>
      <w:r w:rsidR="00B34983">
        <w:rPr>
          <w:rFonts w:hint="eastAsia"/>
        </w:rPr>
        <w:t>？</w:t>
      </w:r>
      <w:r>
        <w:rPr>
          <w:rFonts w:hint="eastAsia"/>
        </w:rPr>
        <w:t>如果今天視訊通話的對方要求你做一些平時不會做的或違反常理之</w:t>
      </w:r>
    </w:p>
    <w:p w14:paraId="734BC828" w14:textId="6103D311" w:rsidR="00C412EE" w:rsidRDefault="00C412EE" w:rsidP="00C412EE">
      <w:r>
        <w:rPr>
          <w:rFonts w:hint="eastAsia"/>
        </w:rPr>
        <w:t>事情，你是否應該去做</w:t>
      </w:r>
      <w:r w:rsidR="00B34983">
        <w:rPr>
          <w:rFonts w:hint="eastAsia"/>
        </w:rPr>
        <w:t>？</w:t>
      </w:r>
      <w:r>
        <w:rPr>
          <w:rFonts w:hint="eastAsia"/>
        </w:rPr>
        <w:t>」並告知學生三個應該應對步驟：</w:t>
      </w:r>
    </w:p>
    <w:p w14:paraId="18D6AEA3" w14:textId="77777777" w:rsidR="00C412EE" w:rsidRDefault="00C412EE" w:rsidP="00C412EE"/>
    <w:p w14:paraId="3D4A9341" w14:textId="4F8B0FF5" w:rsidR="00C412EE" w:rsidRDefault="00C412EE" w:rsidP="00C412EE">
      <w:r>
        <w:rPr>
          <w:rFonts w:hint="eastAsia"/>
        </w:rPr>
        <w:t>一、保持冷靜。</w:t>
      </w:r>
    </w:p>
    <w:p w14:paraId="70FFEDAA" w14:textId="77777777" w:rsidR="00C412EE" w:rsidRDefault="00C412EE" w:rsidP="00C412EE">
      <w:r>
        <w:rPr>
          <w:rFonts w:hint="eastAsia"/>
        </w:rPr>
        <w:t>二、思考眼前的資訊。</w:t>
      </w:r>
    </w:p>
    <w:p w14:paraId="560CB0D6" w14:textId="3697430F" w:rsidR="00387442" w:rsidRDefault="00C412EE" w:rsidP="00C412EE">
      <w:r>
        <w:rPr>
          <w:rFonts w:hint="eastAsia"/>
        </w:rPr>
        <w:t>三、謹慎判斷</w:t>
      </w:r>
      <w:r w:rsidR="00B34983">
        <w:rPr>
          <w:rFonts w:hint="eastAsia"/>
        </w:rPr>
        <w:t>，</w:t>
      </w:r>
      <w:r>
        <w:rPr>
          <w:rFonts w:hint="eastAsia"/>
        </w:rPr>
        <w:t>驗證資訊的真偽</w:t>
      </w:r>
      <w:r>
        <w:rPr>
          <w:rFonts w:hint="eastAsia"/>
        </w:rPr>
        <w:t>(</w:t>
      </w:r>
      <w:r>
        <w:rPr>
          <w:rFonts w:hint="eastAsia"/>
        </w:rPr>
        <w:t>例如</w:t>
      </w:r>
      <w:r>
        <w:rPr>
          <w:rFonts w:hint="eastAsia"/>
        </w:rPr>
        <w:t>,</w:t>
      </w:r>
      <w:r>
        <w:rPr>
          <w:rFonts w:hint="eastAsia"/>
        </w:rPr>
        <w:t>可以詢問周圍的大人該資訊是否真實</w:t>
      </w:r>
      <w:r>
        <w:rPr>
          <w:rFonts w:hint="eastAsia"/>
        </w:rPr>
        <w:t>)</w:t>
      </w:r>
    </w:p>
    <w:p w14:paraId="0FD019D9" w14:textId="3D7C6237" w:rsidR="008C7276" w:rsidRDefault="008C7276"/>
    <w:p w14:paraId="5D570774" w14:textId="26D96F2D" w:rsidR="008C7276" w:rsidRDefault="00296D79" w:rsidP="00A44135">
      <w:pPr>
        <w:keepNext/>
        <w:jc w:val="center"/>
      </w:pPr>
      <w:r>
        <w:rPr>
          <w:noProof/>
        </w:rPr>
        <w:drawing>
          <wp:inline distT="0" distB="0" distL="0" distR="0" wp14:anchorId="2C990D27" wp14:editId="0DCC2C2A">
            <wp:extent cx="6005015" cy="171589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7839" cy="1725276"/>
                    </a:xfrm>
                    <a:prstGeom prst="rect">
                      <a:avLst/>
                    </a:prstGeom>
                    <a:noFill/>
                    <a:ln>
                      <a:noFill/>
                    </a:ln>
                  </pic:spPr>
                </pic:pic>
              </a:graphicData>
            </a:graphic>
          </wp:inline>
        </w:drawing>
      </w:r>
    </w:p>
    <w:p w14:paraId="67D09D49" w14:textId="5E760948" w:rsidR="008C7276" w:rsidRDefault="008C7276" w:rsidP="008C7276">
      <w:pPr>
        <w:pStyle w:val="a8"/>
        <w:jc w:val="center"/>
      </w:pPr>
      <w:bookmarkStart w:id="5" w:name="_Ref171710810"/>
      <w:r>
        <w:t xml:space="preserve">Fig </w:t>
      </w:r>
      <w:fldSimple w:instr=" SEQ Fig \* ARABIC ">
        <w:r w:rsidR="00103878">
          <w:rPr>
            <w:noProof/>
          </w:rPr>
          <w:t>4</w:t>
        </w:r>
      </w:fldSimple>
      <w:bookmarkEnd w:id="5"/>
      <w:r>
        <w:rPr>
          <w:rFonts w:hint="eastAsia"/>
        </w:rPr>
        <w:t>：</w:t>
      </w:r>
      <w:r w:rsidRPr="00524D7A">
        <w:rPr>
          <w:rFonts w:hint="eastAsia"/>
        </w:rPr>
        <w:t>課程內容示意圖</w:t>
      </w:r>
    </w:p>
    <w:p w14:paraId="30EAF7C8" w14:textId="41307358" w:rsidR="00387442" w:rsidRDefault="00387442"/>
    <w:p w14:paraId="1F4EE051" w14:textId="6BDD5A28" w:rsidR="00387442" w:rsidRDefault="00B102C6">
      <w:r w:rsidRPr="00B102C6">
        <w:rPr>
          <w:rFonts w:hint="eastAsia"/>
        </w:rPr>
        <w:t>第二個課程環節中，將試圖帶領學生動手做出</w:t>
      </w:r>
      <w:r w:rsidRPr="00B102C6">
        <w:rPr>
          <w:rFonts w:hint="eastAsia"/>
        </w:rPr>
        <w:t>AI</w:t>
      </w:r>
      <w:r w:rsidRPr="00B102C6">
        <w:rPr>
          <w:rFonts w:hint="eastAsia"/>
        </w:rPr>
        <w:t>，課程架構如</w:t>
      </w:r>
      <w:r w:rsidRPr="00B102C6">
        <w:rPr>
          <w:rFonts w:hint="eastAsia"/>
        </w:rPr>
        <w:t>Fig 5</w:t>
      </w:r>
      <w:r w:rsidRPr="00B102C6">
        <w:rPr>
          <w:rFonts w:hint="eastAsia"/>
        </w:rPr>
        <w:t>圖所示。透過分析一組包含</w:t>
      </w:r>
      <w:r w:rsidRPr="00B102C6">
        <w:rPr>
          <w:rFonts w:hint="eastAsia"/>
        </w:rPr>
        <w:t>10</w:t>
      </w:r>
      <w:r w:rsidRPr="00B102C6">
        <w:rPr>
          <w:rFonts w:hint="eastAsia"/>
        </w:rPr>
        <w:t>個樣本的數據集，每個樣本均詳細記錄了受試者的年齡、性別以及其偏好的結果，並讓學生試圖解答問題。再丟出題目後，便開始引導學生：首先探討性別作為決定節目偏好的因素，或是進一步探討年齡如何影響節目偏好。在以上兩種方式嘗試無過後，便引討學生結合性別和年齡進行回歸分析來確定決策邊界，並通過決策邊界來找最後的答案</w:t>
      </w:r>
      <w:r w:rsidRPr="00B102C6">
        <w:rPr>
          <w:rFonts w:hint="eastAsia"/>
        </w:rPr>
        <w:t>(</w:t>
      </w:r>
      <w:r w:rsidRPr="00B102C6">
        <w:rPr>
          <w:rFonts w:hint="eastAsia"/>
        </w:rPr>
        <w:t>見</w:t>
      </w:r>
      <w:r w:rsidR="0094520D">
        <w:fldChar w:fldCharType="begin"/>
      </w:r>
      <w:r w:rsidR="0094520D">
        <w:instrText xml:space="preserve"> </w:instrText>
      </w:r>
      <w:r w:rsidR="0094520D">
        <w:rPr>
          <w:rFonts w:hint="eastAsia"/>
        </w:rPr>
        <w:instrText>REF _Ref171710961 \h</w:instrText>
      </w:r>
      <w:r w:rsidR="0094520D">
        <w:instrText xml:space="preserve"> </w:instrText>
      </w:r>
      <w:r w:rsidR="0094520D">
        <w:fldChar w:fldCharType="separate"/>
      </w:r>
      <w:r w:rsidR="00103878">
        <w:t xml:space="preserve">Fig </w:t>
      </w:r>
      <w:r w:rsidR="00103878">
        <w:rPr>
          <w:noProof/>
        </w:rPr>
        <w:t>6</w:t>
      </w:r>
      <w:r w:rsidR="0094520D">
        <w:fldChar w:fldCharType="end"/>
      </w:r>
      <w:r w:rsidRPr="00B102C6">
        <w:rPr>
          <w:rFonts w:hint="eastAsia"/>
        </w:rPr>
        <w:t>)</w:t>
      </w:r>
      <w:r w:rsidRPr="00B102C6">
        <w:rPr>
          <w:rFonts w:hint="eastAsia"/>
        </w:rPr>
        <w:t>。機器學習的本質在於讓電腦程式學習數據，對於機器來說，「學習」不同於人類對知識的理解方式；它更多地涉及將數據輸入到程式中，這一過程即被視為完成了數據的「學習」。</w:t>
      </w:r>
    </w:p>
    <w:p w14:paraId="52A68051" w14:textId="301FEF0F" w:rsidR="00B102C6" w:rsidRDefault="00F52AA4" w:rsidP="00B102C6">
      <w:pPr>
        <w:keepNext/>
      </w:pPr>
      <w:r>
        <w:rPr>
          <w:noProof/>
        </w:rPr>
        <w:drawing>
          <wp:inline distT="0" distB="0" distL="0" distR="0" wp14:anchorId="13585EFC" wp14:editId="26A3EF3F">
            <wp:extent cx="6120130" cy="25228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522855"/>
                    </a:xfrm>
                    <a:prstGeom prst="rect">
                      <a:avLst/>
                    </a:prstGeom>
                    <a:noFill/>
                    <a:ln>
                      <a:noFill/>
                    </a:ln>
                  </pic:spPr>
                </pic:pic>
              </a:graphicData>
            </a:graphic>
          </wp:inline>
        </w:drawing>
      </w:r>
    </w:p>
    <w:p w14:paraId="3BF37BE9" w14:textId="0B7F2376" w:rsidR="00387442" w:rsidRDefault="00B102C6" w:rsidP="00E53F18">
      <w:pPr>
        <w:pStyle w:val="a8"/>
        <w:jc w:val="center"/>
      </w:pPr>
      <w:r>
        <w:t xml:space="preserve">Fig </w:t>
      </w:r>
      <w:fldSimple w:instr=" SEQ Fig \* ARABIC ">
        <w:r w:rsidR="00103878">
          <w:rPr>
            <w:noProof/>
          </w:rPr>
          <w:t>5</w:t>
        </w:r>
      </w:fldSimple>
      <w:r>
        <w:rPr>
          <w:rFonts w:hint="eastAsia"/>
        </w:rPr>
        <w:t>：</w:t>
      </w:r>
      <w:r w:rsidRPr="00B817A6">
        <w:rPr>
          <w:rFonts w:hint="eastAsia"/>
        </w:rPr>
        <w:t>課程架構示意圖</w:t>
      </w:r>
    </w:p>
    <w:p w14:paraId="52218E27" w14:textId="77777777" w:rsidR="00497438" w:rsidRDefault="00497438" w:rsidP="00497438">
      <w:pPr>
        <w:keepNext/>
      </w:pPr>
      <w:r>
        <w:rPr>
          <w:noProof/>
        </w:rPr>
        <w:lastRenderedPageBreak/>
        <w:drawing>
          <wp:inline distT="0" distB="0" distL="0" distR="0" wp14:anchorId="554CD2E8" wp14:editId="7F44003E">
            <wp:extent cx="6119886" cy="284205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31" b="61825"/>
                    <a:stretch/>
                  </pic:blipFill>
                  <pic:spPr bwMode="auto">
                    <a:xfrm>
                      <a:off x="0" y="0"/>
                      <a:ext cx="6120130" cy="2842168"/>
                    </a:xfrm>
                    <a:prstGeom prst="rect">
                      <a:avLst/>
                    </a:prstGeom>
                    <a:noFill/>
                    <a:ln>
                      <a:noFill/>
                    </a:ln>
                    <a:extLst>
                      <a:ext uri="{53640926-AAD7-44D8-BBD7-CCE9431645EC}">
                        <a14:shadowObscured xmlns:a14="http://schemas.microsoft.com/office/drawing/2010/main"/>
                      </a:ext>
                    </a:extLst>
                  </pic:spPr>
                </pic:pic>
              </a:graphicData>
            </a:graphic>
          </wp:inline>
        </w:drawing>
      </w:r>
    </w:p>
    <w:p w14:paraId="2C4CC50E" w14:textId="6614E799" w:rsidR="00387442" w:rsidRDefault="00497438" w:rsidP="00497438">
      <w:pPr>
        <w:pStyle w:val="a8"/>
        <w:jc w:val="center"/>
      </w:pPr>
      <w:bookmarkStart w:id="6" w:name="_Ref171710961"/>
      <w:r>
        <w:t xml:space="preserve">Fig </w:t>
      </w:r>
      <w:fldSimple w:instr=" SEQ Fig \* ARABIC ">
        <w:r w:rsidR="00103878">
          <w:rPr>
            <w:noProof/>
          </w:rPr>
          <w:t>6</w:t>
        </w:r>
      </w:fldSimple>
      <w:bookmarkEnd w:id="6"/>
      <w:r>
        <w:rPr>
          <w:rFonts w:hint="eastAsia"/>
        </w:rPr>
        <w:t>：</w:t>
      </w:r>
      <w:r w:rsidRPr="00A8658E">
        <w:rPr>
          <w:rFonts w:hint="eastAsia"/>
        </w:rPr>
        <w:t>(</w:t>
      </w:r>
      <w:r w:rsidRPr="00A8658E">
        <w:rPr>
          <w:rFonts w:hint="eastAsia"/>
        </w:rPr>
        <w:t>左</w:t>
      </w:r>
      <w:r w:rsidRPr="00A8658E">
        <w:rPr>
          <w:rFonts w:hint="eastAsia"/>
        </w:rPr>
        <w:t>)</w:t>
      </w:r>
      <w:r w:rsidRPr="00A8658E">
        <w:rPr>
          <w:rFonts w:hint="eastAsia"/>
        </w:rPr>
        <w:t>樣本集；</w:t>
      </w:r>
      <w:r w:rsidRPr="00A8658E">
        <w:rPr>
          <w:rFonts w:hint="eastAsia"/>
        </w:rPr>
        <w:t>(</w:t>
      </w:r>
      <w:r w:rsidRPr="00A8658E">
        <w:rPr>
          <w:rFonts w:hint="eastAsia"/>
        </w:rPr>
        <w:t>右</w:t>
      </w:r>
      <w:r w:rsidRPr="00A8658E">
        <w:rPr>
          <w:rFonts w:hint="eastAsia"/>
        </w:rPr>
        <w:t>)</w:t>
      </w:r>
      <w:r w:rsidRPr="00A8658E">
        <w:rPr>
          <w:rFonts w:hint="eastAsia"/>
        </w:rPr>
        <w:t>決策邊界</w:t>
      </w:r>
      <w:r>
        <w:rPr>
          <w:rFonts w:hint="eastAsia"/>
        </w:rPr>
        <w:t>示意圖</w:t>
      </w:r>
    </w:p>
    <w:p w14:paraId="170E5A9C" w14:textId="1CB6D8A8" w:rsidR="00387442" w:rsidRDefault="00387442"/>
    <w:p w14:paraId="78802C6C" w14:textId="1400B5CF" w:rsidR="00387442" w:rsidRDefault="00E53F18">
      <w:r w:rsidRPr="00E53F18">
        <w:rPr>
          <w:rFonts w:hint="eastAsia"/>
        </w:rPr>
        <w:t>在第三個教學環節中，首先總結一下整個過程</w:t>
      </w:r>
      <w:r>
        <w:rPr>
          <w:rFonts w:hint="eastAsia"/>
        </w:rPr>
        <w:t>，</w:t>
      </w:r>
      <w:r w:rsidRPr="00E53F18">
        <w:rPr>
          <w:rFonts w:hint="eastAsia"/>
        </w:rPr>
        <w:t>並以「</w:t>
      </w:r>
      <w:r w:rsidRPr="00E53F18">
        <w:rPr>
          <w:rFonts w:hint="eastAsia"/>
        </w:rPr>
        <w:t>Face ID</w:t>
      </w:r>
      <w:r w:rsidRPr="00E53F18">
        <w:rPr>
          <w:rFonts w:hint="eastAsia"/>
        </w:rPr>
        <w:t>」為例，針對</w:t>
      </w:r>
      <w:r w:rsidRPr="00E53F18">
        <w:rPr>
          <w:rFonts w:hint="eastAsia"/>
        </w:rPr>
        <w:t>AI</w:t>
      </w:r>
      <w:r w:rsidRPr="00E53F18">
        <w:rPr>
          <w:rFonts w:hint="eastAsia"/>
        </w:rPr>
        <w:t>形成的過程做出</w:t>
      </w:r>
      <w:r>
        <w:rPr>
          <w:rFonts w:hint="eastAsia"/>
        </w:rPr>
        <w:t>課程</w:t>
      </w:r>
      <w:r w:rsidRPr="00E53F18">
        <w:rPr>
          <w:rFonts w:hint="eastAsia"/>
        </w:rPr>
        <w:t>複習。當我想解鎖手機時，需要手機的鏡頭對準臉，讓手機便能辨識當前對象是否為手機的主人，進而解鎖</w:t>
      </w:r>
      <w:r w:rsidRPr="00E53F18">
        <w:rPr>
          <w:rFonts w:hint="eastAsia"/>
        </w:rPr>
        <w:t>(</w:t>
      </w:r>
      <w:r w:rsidRPr="00E53F18">
        <w:rPr>
          <w:rFonts w:hint="eastAsia"/>
        </w:rPr>
        <w:t>見</w:t>
      </w:r>
      <w:r w:rsidR="00AE2E89">
        <w:fldChar w:fldCharType="begin"/>
      </w:r>
      <w:r w:rsidR="00AE2E89">
        <w:instrText xml:space="preserve"> </w:instrText>
      </w:r>
      <w:r w:rsidR="00AE2E89">
        <w:rPr>
          <w:rFonts w:hint="eastAsia"/>
        </w:rPr>
        <w:instrText>REF _Ref171711190 \h</w:instrText>
      </w:r>
      <w:r w:rsidR="00AE2E89">
        <w:instrText xml:space="preserve"> </w:instrText>
      </w:r>
      <w:r w:rsidR="00AE2E89">
        <w:fldChar w:fldCharType="separate"/>
      </w:r>
      <w:r w:rsidR="00103878">
        <w:t xml:space="preserve">Fig </w:t>
      </w:r>
      <w:r w:rsidR="00103878">
        <w:rPr>
          <w:noProof/>
        </w:rPr>
        <w:t>7</w:t>
      </w:r>
      <w:r w:rsidR="00AE2E89">
        <w:fldChar w:fldCharType="end"/>
      </w:r>
      <w:r w:rsidRPr="00E53F18">
        <w:rPr>
          <w:rFonts w:hint="eastAsia"/>
        </w:rPr>
        <w:t>)</w:t>
      </w:r>
      <w:r w:rsidRPr="00E53F18">
        <w:rPr>
          <w:rFonts w:hint="eastAsia"/>
        </w:rPr>
        <w:t>。通過以上例子，讓學生了解，所謂的</w:t>
      </w:r>
      <w:r w:rsidRPr="00E53F18">
        <w:rPr>
          <w:rFonts w:hint="eastAsia"/>
        </w:rPr>
        <w:t>AI</w:t>
      </w:r>
      <w:r w:rsidRPr="00E53F18">
        <w:rPr>
          <w:rFonts w:hint="eastAsia"/>
        </w:rPr>
        <w:t>，只是由數據、算法和電腦程式組合而成的，讓學生能夠正確理解和運用人工智能，並認識到它是如何被建立出來的。</w:t>
      </w:r>
    </w:p>
    <w:p w14:paraId="4ADEED26" w14:textId="3163BE5E" w:rsidR="00E53F18" w:rsidRDefault="009E4FB4" w:rsidP="00E53F18">
      <w:pPr>
        <w:keepNext/>
      </w:pPr>
      <w:r>
        <w:rPr>
          <w:noProof/>
        </w:rPr>
        <w:drawing>
          <wp:inline distT="0" distB="0" distL="0" distR="0" wp14:anchorId="516EB8F1" wp14:editId="12F4F4DE">
            <wp:extent cx="6120130" cy="251206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512060"/>
                    </a:xfrm>
                    <a:prstGeom prst="rect">
                      <a:avLst/>
                    </a:prstGeom>
                    <a:noFill/>
                    <a:ln>
                      <a:noFill/>
                    </a:ln>
                  </pic:spPr>
                </pic:pic>
              </a:graphicData>
            </a:graphic>
          </wp:inline>
        </w:drawing>
      </w:r>
    </w:p>
    <w:p w14:paraId="5A93DC39" w14:textId="5BABAEB2" w:rsidR="00387442" w:rsidRDefault="00E53F18" w:rsidP="00E53F18">
      <w:pPr>
        <w:pStyle w:val="a8"/>
        <w:jc w:val="center"/>
      </w:pPr>
      <w:bookmarkStart w:id="7" w:name="_Ref171711190"/>
      <w:r>
        <w:t xml:space="preserve">Fig </w:t>
      </w:r>
      <w:fldSimple w:instr=" SEQ Fig \* ARABIC ">
        <w:r w:rsidR="00103878">
          <w:rPr>
            <w:noProof/>
          </w:rPr>
          <w:t>7</w:t>
        </w:r>
      </w:fldSimple>
      <w:bookmarkEnd w:id="7"/>
      <w:r>
        <w:rPr>
          <w:rFonts w:hint="eastAsia"/>
        </w:rPr>
        <w:t>：</w:t>
      </w:r>
      <w:r w:rsidRPr="00944C94">
        <w:rPr>
          <w:rFonts w:hint="eastAsia"/>
        </w:rPr>
        <w:t>回顧步驟示意圖</w:t>
      </w:r>
    </w:p>
    <w:p w14:paraId="0DC0D450" w14:textId="399DCADE" w:rsidR="00387442" w:rsidRDefault="00387442"/>
    <w:p w14:paraId="05E1AC13" w14:textId="77777777" w:rsidR="003539E7" w:rsidRDefault="003539E7" w:rsidP="00423781">
      <w:pPr>
        <w:pStyle w:val="2"/>
      </w:pPr>
      <w:r>
        <w:rPr>
          <w:rFonts w:hint="eastAsia"/>
        </w:rPr>
        <w:t>研究結果</w:t>
      </w:r>
    </w:p>
    <w:p w14:paraId="3D930A54" w14:textId="1FAD5C5E" w:rsidR="003539E7" w:rsidRDefault="003539E7" w:rsidP="003539E7">
      <w:pPr>
        <w:pStyle w:val="3"/>
      </w:pPr>
      <w:r>
        <w:rPr>
          <w:rFonts w:hint="eastAsia"/>
        </w:rPr>
        <w:t>描述性統計</w:t>
      </w:r>
      <w:r>
        <w:rPr>
          <w:rFonts w:hint="eastAsia"/>
        </w:rPr>
        <w:t>(Descriptive Statistics)</w:t>
      </w:r>
    </w:p>
    <w:p w14:paraId="4CFFFF8C" w14:textId="77777777" w:rsidR="003539E7" w:rsidRDefault="003539E7" w:rsidP="003539E7">
      <w:r>
        <w:rPr>
          <w:rFonts w:hint="eastAsia"/>
        </w:rPr>
        <w:t>本研究參與者為臺灣南部某小學的高年級學生，他們在電腦課中接受了</w:t>
      </w:r>
      <w:r>
        <w:rPr>
          <w:rFonts w:hint="eastAsia"/>
        </w:rPr>
        <w:t>AI</w:t>
      </w:r>
      <w:r>
        <w:rPr>
          <w:rFonts w:hint="eastAsia"/>
        </w:rPr>
        <w:t>簡介的教學。共涉及</w:t>
      </w:r>
      <w:r>
        <w:rPr>
          <w:rFonts w:hint="eastAsia"/>
        </w:rPr>
        <w:t>8</w:t>
      </w:r>
      <w:r>
        <w:rPr>
          <w:rFonts w:hint="eastAsia"/>
        </w:rPr>
        <w:t>個班級，每班</w:t>
      </w:r>
      <w:r>
        <w:rPr>
          <w:rFonts w:hint="eastAsia"/>
        </w:rPr>
        <w:t>23</w:t>
      </w:r>
      <w:r>
        <w:rPr>
          <w:rFonts w:hint="eastAsia"/>
        </w:rPr>
        <w:t>人，總計</w:t>
      </w:r>
      <w:r>
        <w:rPr>
          <w:rFonts w:hint="eastAsia"/>
        </w:rPr>
        <w:t>184</w:t>
      </w:r>
      <w:r>
        <w:rPr>
          <w:rFonts w:hint="eastAsia"/>
        </w:rPr>
        <w:t>名學生參與了本次調查。調查連結保存在研究者的</w:t>
      </w:r>
      <w:r>
        <w:rPr>
          <w:rFonts w:hint="eastAsia"/>
        </w:rPr>
        <w:t>Microsoft forms</w:t>
      </w:r>
      <w:r>
        <w:rPr>
          <w:rFonts w:hint="eastAsia"/>
        </w:rPr>
        <w:t>上，並通過班級教師分發給學生。所有</w:t>
      </w:r>
      <w:r>
        <w:rPr>
          <w:rFonts w:hint="eastAsia"/>
        </w:rPr>
        <w:t>184</w:t>
      </w:r>
      <w:r>
        <w:rPr>
          <w:rFonts w:hint="eastAsia"/>
        </w:rPr>
        <w:t>名參與者都對其人工智慧素養的</w:t>
      </w:r>
      <w:r>
        <w:rPr>
          <w:rFonts w:hint="eastAsia"/>
        </w:rPr>
        <w:lastRenderedPageBreak/>
        <w:t>理解作出了回應。由於資料是通過</w:t>
      </w:r>
      <w:r>
        <w:rPr>
          <w:rFonts w:hint="eastAsia"/>
        </w:rPr>
        <w:t>Microsoft forms</w:t>
      </w:r>
      <w:r>
        <w:rPr>
          <w:rFonts w:hint="eastAsia"/>
        </w:rPr>
        <w:t>收集，所有問題都被設置為必填項，因此沒有缺失資料。</w:t>
      </w:r>
    </w:p>
    <w:p w14:paraId="13FB7F32" w14:textId="77777777" w:rsidR="003539E7" w:rsidRDefault="003539E7" w:rsidP="003539E7"/>
    <w:p w14:paraId="757C7D43" w14:textId="0A795B75" w:rsidR="00387442" w:rsidRDefault="003539E7" w:rsidP="003539E7">
      <w:r>
        <w:rPr>
          <w:rFonts w:hint="eastAsia"/>
        </w:rPr>
        <w:t>首先對量表進行了描述性分析，如</w:t>
      </w:r>
      <w:r w:rsidR="00A17E6F">
        <w:fldChar w:fldCharType="begin"/>
      </w:r>
      <w:r w:rsidR="00A17E6F">
        <w:instrText xml:space="preserve"> </w:instrText>
      </w:r>
      <w:r w:rsidR="00A17E6F">
        <w:rPr>
          <w:rFonts w:hint="eastAsia"/>
        </w:rPr>
        <w:instrText>REF _Ref171711271 \h</w:instrText>
      </w:r>
      <w:r w:rsidR="00A17E6F">
        <w:instrText xml:space="preserve"> </w:instrText>
      </w:r>
      <w:r w:rsidR="00A17E6F">
        <w:fldChar w:fldCharType="separate"/>
      </w:r>
      <w:r w:rsidR="00103878">
        <w:t xml:space="preserve">table </w:t>
      </w:r>
      <w:r w:rsidR="00103878">
        <w:rPr>
          <w:noProof/>
        </w:rPr>
        <w:t>3</w:t>
      </w:r>
      <w:r w:rsidR="00A17E6F">
        <w:fldChar w:fldCharType="end"/>
      </w:r>
      <w:r>
        <w:rPr>
          <w:rFonts w:hint="eastAsia"/>
        </w:rPr>
        <w:t>所示。所有變量的平均值都在</w:t>
      </w:r>
      <w:r>
        <w:rPr>
          <w:rFonts w:hint="eastAsia"/>
        </w:rPr>
        <w:t>3.44</w:t>
      </w:r>
      <w:r>
        <w:rPr>
          <w:rFonts w:hint="eastAsia"/>
        </w:rPr>
        <w:t>到</w:t>
      </w:r>
      <w:r>
        <w:rPr>
          <w:rFonts w:hint="eastAsia"/>
        </w:rPr>
        <w:t>3.54</w:t>
      </w:r>
      <w:r>
        <w:rPr>
          <w:rFonts w:hint="eastAsia"/>
        </w:rPr>
        <w:t>之間，略高於中間值。中位數全部為</w:t>
      </w:r>
      <w:r>
        <w:rPr>
          <w:rFonts w:hint="eastAsia"/>
        </w:rPr>
        <w:t>4</w:t>
      </w:r>
      <w:r>
        <w:rPr>
          <w:rFonts w:hint="eastAsia"/>
        </w:rPr>
        <w:t>，表示大多數回答偏向正面。偏度分佈略微右偏</w:t>
      </w:r>
      <w:r w:rsidR="00077478">
        <w:rPr>
          <w:rFonts w:hint="eastAsia"/>
        </w:rPr>
        <w:t>(</w:t>
      </w:r>
      <w:r>
        <w:rPr>
          <w:rFonts w:hint="eastAsia"/>
        </w:rPr>
        <w:t>-0.713~-0.877</w:t>
      </w:r>
      <w:r w:rsidR="00077478">
        <w:rPr>
          <w:rFonts w:hint="eastAsia"/>
        </w:rPr>
        <w:t>)</w:t>
      </w:r>
      <w:r>
        <w:rPr>
          <w:rFonts w:hint="eastAsia"/>
        </w:rPr>
        <w:t>。標準差在</w:t>
      </w:r>
      <w:r>
        <w:rPr>
          <w:rFonts w:hint="eastAsia"/>
        </w:rPr>
        <w:t>1.118</w:t>
      </w:r>
      <w:r>
        <w:rPr>
          <w:rFonts w:hint="eastAsia"/>
        </w:rPr>
        <w:t>到</w:t>
      </w:r>
      <w:r>
        <w:rPr>
          <w:rFonts w:hint="eastAsia"/>
        </w:rPr>
        <w:t>1.210</w:t>
      </w:r>
      <w:r>
        <w:rPr>
          <w:rFonts w:hint="eastAsia"/>
        </w:rPr>
        <w:t>之間，表示數據分散程度相對一致且適中。峰度分佈形態接近正態分佈</w:t>
      </w:r>
      <w:r w:rsidR="007E4B23">
        <w:rPr>
          <w:rFonts w:hint="eastAsia"/>
        </w:rPr>
        <w:t>(</w:t>
      </w:r>
      <w:r>
        <w:rPr>
          <w:rFonts w:hint="eastAsia"/>
        </w:rPr>
        <w:t>-0.342~0.214</w:t>
      </w:r>
      <w:r w:rsidR="007E4B23">
        <w:rPr>
          <w:rFonts w:hint="eastAsia"/>
        </w:rPr>
        <w:t>)</w:t>
      </w:r>
      <w:r>
        <w:rPr>
          <w:rFonts w:hint="eastAsia"/>
        </w:rPr>
        <w:t>，因此可以應用大多數統計分析方法於本研究的模型。</w:t>
      </w:r>
    </w:p>
    <w:p w14:paraId="47E0EECB" w14:textId="1B35CD32" w:rsidR="00387442" w:rsidRDefault="00387442"/>
    <w:p w14:paraId="14DEB198" w14:textId="00A282BD" w:rsidR="000F4F64" w:rsidRDefault="000F4F64" w:rsidP="000F4F64">
      <w:pPr>
        <w:pStyle w:val="a8"/>
        <w:keepNext/>
      </w:pPr>
      <w:bookmarkStart w:id="8" w:name="_Ref171711271"/>
      <w:r>
        <w:t xml:space="preserve">table </w:t>
      </w:r>
      <w:fldSimple w:instr=" SEQ table \* ARABIC ">
        <w:r w:rsidR="00103878">
          <w:rPr>
            <w:noProof/>
          </w:rPr>
          <w:t>3</w:t>
        </w:r>
      </w:fldSimple>
      <w:bookmarkEnd w:id="8"/>
      <w:r>
        <w:rPr>
          <w:rFonts w:hint="eastAsia"/>
        </w:rPr>
        <w:t>：描述性統計</w:t>
      </w:r>
    </w:p>
    <w:tbl>
      <w:tblPr>
        <w:tblW w:w="5000" w:type="pct"/>
        <w:tblCellMar>
          <w:top w:w="15" w:type="dxa"/>
          <w:left w:w="28" w:type="dxa"/>
          <w:bottom w:w="15" w:type="dxa"/>
          <w:right w:w="28" w:type="dxa"/>
        </w:tblCellMar>
        <w:tblLook w:val="04A0" w:firstRow="1" w:lastRow="0" w:firstColumn="1" w:lastColumn="0" w:noHBand="0" w:noVBand="1"/>
      </w:tblPr>
      <w:tblGrid>
        <w:gridCol w:w="1571"/>
        <w:gridCol w:w="1141"/>
        <w:gridCol w:w="1496"/>
        <w:gridCol w:w="865"/>
        <w:gridCol w:w="1874"/>
        <w:gridCol w:w="2691"/>
      </w:tblGrid>
      <w:tr w:rsidR="000F4F64" w:rsidRPr="00DB1EE1" w14:paraId="6B859D8D" w14:textId="77777777" w:rsidTr="00293029">
        <w:trPr>
          <w:trHeight w:val="315"/>
        </w:trPr>
        <w:tc>
          <w:tcPr>
            <w:tcW w:w="815" w:type="pct"/>
            <w:tcBorders>
              <w:top w:val="single" w:sz="4" w:space="0" w:color="000000"/>
              <w:left w:val="nil"/>
              <w:bottom w:val="single" w:sz="4" w:space="0" w:color="000000"/>
              <w:right w:val="nil"/>
            </w:tcBorders>
            <w:noWrap/>
            <w:vAlign w:val="bottom"/>
            <w:hideMark/>
          </w:tcPr>
          <w:p w14:paraId="0C87415D" w14:textId="77777777" w:rsidR="000F4F64" w:rsidRPr="00DB1EE1" w:rsidRDefault="000F4F64" w:rsidP="00293029">
            <w:pPr>
              <w:snapToGrid w:val="0"/>
              <w:jc w:val="center"/>
              <w:rPr>
                <w:rFonts w:cs="新細明體"/>
                <w:kern w:val="0"/>
                <w:szCs w:val="24"/>
              </w:rPr>
            </w:pPr>
          </w:p>
        </w:tc>
        <w:tc>
          <w:tcPr>
            <w:tcW w:w="592" w:type="pct"/>
            <w:tcBorders>
              <w:top w:val="single" w:sz="4" w:space="0" w:color="000000"/>
              <w:left w:val="nil"/>
              <w:bottom w:val="single" w:sz="4" w:space="0" w:color="000000"/>
              <w:right w:val="nil"/>
            </w:tcBorders>
            <w:noWrap/>
            <w:vAlign w:val="bottom"/>
            <w:hideMark/>
          </w:tcPr>
          <w:p w14:paraId="3BE3557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Mean</w:t>
            </w:r>
          </w:p>
        </w:tc>
        <w:tc>
          <w:tcPr>
            <w:tcW w:w="776" w:type="pct"/>
            <w:tcBorders>
              <w:top w:val="single" w:sz="4" w:space="0" w:color="000000"/>
              <w:left w:val="nil"/>
              <w:bottom w:val="single" w:sz="4" w:space="0" w:color="000000"/>
              <w:right w:val="nil"/>
            </w:tcBorders>
            <w:noWrap/>
            <w:vAlign w:val="bottom"/>
            <w:hideMark/>
          </w:tcPr>
          <w:p w14:paraId="1B52976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Median</w:t>
            </w:r>
          </w:p>
        </w:tc>
        <w:tc>
          <w:tcPr>
            <w:tcW w:w="449" w:type="pct"/>
            <w:tcBorders>
              <w:top w:val="single" w:sz="4" w:space="0" w:color="000000"/>
              <w:left w:val="nil"/>
              <w:bottom w:val="single" w:sz="4" w:space="0" w:color="000000"/>
              <w:right w:val="nil"/>
            </w:tcBorders>
            <w:noWrap/>
            <w:vAlign w:val="bottom"/>
            <w:hideMark/>
          </w:tcPr>
          <w:p w14:paraId="4A878789"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Min</w:t>
            </w:r>
          </w:p>
        </w:tc>
        <w:tc>
          <w:tcPr>
            <w:tcW w:w="972" w:type="pct"/>
            <w:tcBorders>
              <w:top w:val="single" w:sz="4" w:space="0" w:color="000000"/>
              <w:left w:val="nil"/>
              <w:bottom w:val="single" w:sz="4" w:space="0" w:color="000000"/>
              <w:right w:val="nil"/>
            </w:tcBorders>
            <w:noWrap/>
            <w:vAlign w:val="bottom"/>
            <w:hideMark/>
          </w:tcPr>
          <w:p w14:paraId="4C677E4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Max</w:t>
            </w:r>
          </w:p>
        </w:tc>
        <w:tc>
          <w:tcPr>
            <w:tcW w:w="1396" w:type="pct"/>
            <w:tcBorders>
              <w:top w:val="single" w:sz="4" w:space="0" w:color="000000"/>
              <w:left w:val="nil"/>
              <w:bottom w:val="single" w:sz="4" w:space="0" w:color="000000"/>
              <w:right w:val="nil"/>
            </w:tcBorders>
            <w:noWrap/>
            <w:vAlign w:val="bottom"/>
            <w:hideMark/>
          </w:tcPr>
          <w:p w14:paraId="3964CFD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Standard Deviation</w:t>
            </w:r>
          </w:p>
        </w:tc>
      </w:tr>
      <w:tr w:rsidR="000F4F64" w:rsidRPr="00DB1EE1" w14:paraId="5610546A" w14:textId="77777777" w:rsidTr="00293029">
        <w:trPr>
          <w:trHeight w:val="315"/>
        </w:trPr>
        <w:tc>
          <w:tcPr>
            <w:tcW w:w="815" w:type="pct"/>
            <w:tcBorders>
              <w:top w:val="nil"/>
              <w:left w:val="nil"/>
              <w:bottom w:val="nil"/>
              <w:right w:val="nil"/>
            </w:tcBorders>
            <w:noWrap/>
            <w:vAlign w:val="bottom"/>
            <w:hideMark/>
          </w:tcPr>
          <w:p w14:paraId="7FFA2A7F" w14:textId="005BFB56" w:rsidR="000F4F64" w:rsidRPr="00DB1EE1" w:rsidRDefault="000F4F64" w:rsidP="00293029">
            <w:pPr>
              <w:snapToGrid w:val="0"/>
              <w:jc w:val="center"/>
              <w:rPr>
                <w:rFonts w:cs="新細明體"/>
                <w:kern w:val="0"/>
                <w:szCs w:val="24"/>
              </w:rPr>
            </w:pPr>
            <w:r w:rsidRPr="00DB1EE1">
              <w:rPr>
                <w:rFonts w:ascii="Tahoma" w:hAnsi="Tahoma" w:cs="Tahoma"/>
                <w:kern w:val="0"/>
                <w:szCs w:val="24"/>
              </w:rPr>
              <w:t>﻿</w:t>
            </w:r>
            <w:r w:rsidRPr="00DB1EE1">
              <w:rPr>
                <w:rFonts w:cs="新細明體" w:hint="eastAsia"/>
                <w:kern w:val="0"/>
                <w:szCs w:val="24"/>
              </w:rPr>
              <w:t>PA</w:t>
            </w:r>
            <w:r w:rsidR="00C3204F">
              <w:rPr>
                <w:rFonts w:cs="新細明體" w:hint="eastAsia"/>
                <w:kern w:val="0"/>
                <w:szCs w:val="24"/>
              </w:rPr>
              <w:t>GL</w:t>
            </w:r>
            <w:r w:rsidRPr="00DB1EE1">
              <w:rPr>
                <w:rFonts w:cs="新細明體" w:hint="eastAsia"/>
                <w:kern w:val="0"/>
                <w:szCs w:val="24"/>
              </w:rPr>
              <w:t>1</w:t>
            </w:r>
          </w:p>
        </w:tc>
        <w:tc>
          <w:tcPr>
            <w:tcW w:w="592" w:type="pct"/>
            <w:tcBorders>
              <w:top w:val="nil"/>
              <w:left w:val="nil"/>
              <w:bottom w:val="nil"/>
              <w:right w:val="nil"/>
            </w:tcBorders>
            <w:noWrap/>
            <w:vAlign w:val="bottom"/>
            <w:hideMark/>
          </w:tcPr>
          <w:p w14:paraId="3B3D492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3.457</w:t>
            </w:r>
          </w:p>
        </w:tc>
        <w:tc>
          <w:tcPr>
            <w:tcW w:w="776" w:type="pct"/>
            <w:tcBorders>
              <w:top w:val="nil"/>
              <w:left w:val="nil"/>
              <w:bottom w:val="nil"/>
              <w:right w:val="nil"/>
            </w:tcBorders>
            <w:noWrap/>
            <w:vAlign w:val="bottom"/>
            <w:hideMark/>
          </w:tcPr>
          <w:p w14:paraId="392BBF6C"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5E5B67CD"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73AA0DF1"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5DE5DB06"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1.169</w:t>
            </w:r>
          </w:p>
        </w:tc>
      </w:tr>
      <w:tr w:rsidR="000F4F64" w:rsidRPr="00DB1EE1" w14:paraId="5D91D647" w14:textId="77777777" w:rsidTr="00293029">
        <w:trPr>
          <w:trHeight w:val="315"/>
        </w:trPr>
        <w:tc>
          <w:tcPr>
            <w:tcW w:w="815" w:type="pct"/>
            <w:tcBorders>
              <w:top w:val="nil"/>
              <w:left w:val="nil"/>
              <w:bottom w:val="nil"/>
              <w:right w:val="nil"/>
            </w:tcBorders>
            <w:noWrap/>
            <w:vAlign w:val="bottom"/>
            <w:hideMark/>
          </w:tcPr>
          <w:p w14:paraId="4B833B2D" w14:textId="34FCD87E" w:rsidR="000F4F64" w:rsidRPr="00DB1EE1" w:rsidRDefault="000F4F64" w:rsidP="00293029">
            <w:pPr>
              <w:snapToGrid w:val="0"/>
              <w:jc w:val="center"/>
              <w:rPr>
                <w:rFonts w:cs="新細明體"/>
                <w:kern w:val="0"/>
                <w:szCs w:val="24"/>
              </w:rPr>
            </w:pPr>
            <w:r w:rsidRPr="00DB1EE1">
              <w:rPr>
                <w:rFonts w:cs="新細明體" w:hint="eastAsia"/>
                <w:kern w:val="0"/>
                <w:szCs w:val="24"/>
              </w:rPr>
              <w:t>PAG</w:t>
            </w:r>
            <w:r w:rsidR="00C3204F">
              <w:rPr>
                <w:rFonts w:cs="新細明體" w:hint="eastAsia"/>
                <w:kern w:val="0"/>
                <w:szCs w:val="24"/>
              </w:rPr>
              <w:t>L</w:t>
            </w:r>
            <w:r w:rsidRPr="00DB1EE1">
              <w:rPr>
                <w:rFonts w:cs="新細明體" w:hint="eastAsia"/>
                <w:kern w:val="0"/>
                <w:szCs w:val="24"/>
              </w:rPr>
              <w:t>2</w:t>
            </w:r>
          </w:p>
        </w:tc>
        <w:tc>
          <w:tcPr>
            <w:tcW w:w="592" w:type="pct"/>
            <w:tcBorders>
              <w:top w:val="nil"/>
              <w:left w:val="nil"/>
              <w:bottom w:val="nil"/>
              <w:right w:val="nil"/>
            </w:tcBorders>
            <w:noWrap/>
            <w:vAlign w:val="bottom"/>
            <w:hideMark/>
          </w:tcPr>
          <w:p w14:paraId="048210E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3.467</w:t>
            </w:r>
          </w:p>
        </w:tc>
        <w:tc>
          <w:tcPr>
            <w:tcW w:w="776" w:type="pct"/>
            <w:tcBorders>
              <w:top w:val="nil"/>
              <w:left w:val="nil"/>
              <w:bottom w:val="nil"/>
              <w:right w:val="nil"/>
            </w:tcBorders>
            <w:noWrap/>
            <w:vAlign w:val="bottom"/>
            <w:hideMark/>
          </w:tcPr>
          <w:p w14:paraId="0CD03D4D"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2BCC6759"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5BA599E5"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7B0DDAD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1.161</w:t>
            </w:r>
          </w:p>
        </w:tc>
      </w:tr>
      <w:tr w:rsidR="000F4F64" w:rsidRPr="00DB1EE1" w14:paraId="3868A514" w14:textId="77777777" w:rsidTr="00293029">
        <w:trPr>
          <w:trHeight w:val="315"/>
        </w:trPr>
        <w:tc>
          <w:tcPr>
            <w:tcW w:w="815" w:type="pct"/>
            <w:tcBorders>
              <w:top w:val="nil"/>
              <w:left w:val="nil"/>
              <w:bottom w:val="nil"/>
              <w:right w:val="nil"/>
            </w:tcBorders>
            <w:noWrap/>
            <w:vAlign w:val="bottom"/>
            <w:hideMark/>
          </w:tcPr>
          <w:p w14:paraId="3ED65003" w14:textId="06FBEFB6" w:rsidR="000F4F64" w:rsidRPr="00DB1EE1" w:rsidRDefault="00C3204F" w:rsidP="00293029">
            <w:pPr>
              <w:snapToGrid w:val="0"/>
              <w:jc w:val="center"/>
              <w:rPr>
                <w:rFonts w:cs="新細明體"/>
                <w:kern w:val="0"/>
                <w:szCs w:val="24"/>
              </w:rPr>
            </w:pPr>
            <w:r>
              <w:rPr>
                <w:rFonts w:cs="新細明體" w:hint="eastAsia"/>
                <w:kern w:val="0"/>
                <w:szCs w:val="24"/>
              </w:rPr>
              <w:t>PAGL</w:t>
            </w:r>
            <w:r w:rsidR="000F4F64" w:rsidRPr="00DB1EE1">
              <w:rPr>
                <w:rFonts w:cs="新細明體" w:hint="eastAsia"/>
                <w:kern w:val="0"/>
                <w:szCs w:val="24"/>
              </w:rPr>
              <w:t>3</w:t>
            </w:r>
          </w:p>
        </w:tc>
        <w:tc>
          <w:tcPr>
            <w:tcW w:w="592" w:type="pct"/>
            <w:tcBorders>
              <w:top w:val="nil"/>
              <w:left w:val="nil"/>
              <w:bottom w:val="nil"/>
              <w:right w:val="nil"/>
            </w:tcBorders>
            <w:noWrap/>
            <w:vAlign w:val="bottom"/>
            <w:hideMark/>
          </w:tcPr>
          <w:p w14:paraId="3EC86459"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3.5</w:t>
            </w:r>
          </w:p>
        </w:tc>
        <w:tc>
          <w:tcPr>
            <w:tcW w:w="776" w:type="pct"/>
            <w:tcBorders>
              <w:top w:val="nil"/>
              <w:left w:val="nil"/>
              <w:bottom w:val="nil"/>
              <w:right w:val="nil"/>
            </w:tcBorders>
            <w:noWrap/>
            <w:vAlign w:val="bottom"/>
            <w:hideMark/>
          </w:tcPr>
          <w:p w14:paraId="28BE7B55"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2E8E2CE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1F5E005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743F3888"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1.17</w:t>
            </w:r>
          </w:p>
        </w:tc>
      </w:tr>
      <w:tr w:rsidR="000F4F64" w:rsidRPr="00DB1EE1" w14:paraId="2BAEF086" w14:textId="77777777" w:rsidTr="00293029">
        <w:trPr>
          <w:trHeight w:val="315"/>
        </w:trPr>
        <w:tc>
          <w:tcPr>
            <w:tcW w:w="815" w:type="pct"/>
            <w:tcBorders>
              <w:top w:val="nil"/>
              <w:left w:val="nil"/>
              <w:bottom w:val="nil"/>
              <w:right w:val="nil"/>
            </w:tcBorders>
            <w:noWrap/>
            <w:vAlign w:val="bottom"/>
            <w:hideMark/>
          </w:tcPr>
          <w:p w14:paraId="2191CAD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RS1</w:t>
            </w:r>
          </w:p>
        </w:tc>
        <w:tc>
          <w:tcPr>
            <w:tcW w:w="592" w:type="pct"/>
            <w:tcBorders>
              <w:top w:val="nil"/>
              <w:left w:val="nil"/>
              <w:bottom w:val="nil"/>
              <w:right w:val="nil"/>
            </w:tcBorders>
            <w:noWrap/>
            <w:vAlign w:val="bottom"/>
            <w:hideMark/>
          </w:tcPr>
          <w:p w14:paraId="711FFE2F"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3.484</w:t>
            </w:r>
          </w:p>
        </w:tc>
        <w:tc>
          <w:tcPr>
            <w:tcW w:w="776" w:type="pct"/>
            <w:tcBorders>
              <w:top w:val="nil"/>
              <w:left w:val="nil"/>
              <w:bottom w:val="nil"/>
              <w:right w:val="nil"/>
            </w:tcBorders>
            <w:noWrap/>
            <w:vAlign w:val="bottom"/>
            <w:hideMark/>
          </w:tcPr>
          <w:p w14:paraId="73674DF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5D27683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4BD6756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7D61CAD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1.118</w:t>
            </w:r>
          </w:p>
        </w:tc>
      </w:tr>
      <w:tr w:rsidR="000F4F64" w:rsidRPr="00DB1EE1" w14:paraId="02838F67" w14:textId="77777777" w:rsidTr="00293029">
        <w:trPr>
          <w:trHeight w:val="315"/>
        </w:trPr>
        <w:tc>
          <w:tcPr>
            <w:tcW w:w="815" w:type="pct"/>
            <w:tcBorders>
              <w:top w:val="nil"/>
              <w:left w:val="nil"/>
              <w:bottom w:val="nil"/>
              <w:right w:val="nil"/>
            </w:tcBorders>
            <w:noWrap/>
            <w:vAlign w:val="bottom"/>
            <w:hideMark/>
          </w:tcPr>
          <w:p w14:paraId="714DFF7F"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RS2</w:t>
            </w:r>
          </w:p>
        </w:tc>
        <w:tc>
          <w:tcPr>
            <w:tcW w:w="592" w:type="pct"/>
            <w:tcBorders>
              <w:top w:val="nil"/>
              <w:left w:val="nil"/>
              <w:bottom w:val="nil"/>
              <w:right w:val="nil"/>
            </w:tcBorders>
            <w:noWrap/>
            <w:vAlign w:val="bottom"/>
            <w:hideMark/>
          </w:tcPr>
          <w:p w14:paraId="584F9B8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3.446</w:t>
            </w:r>
          </w:p>
        </w:tc>
        <w:tc>
          <w:tcPr>
            <w:tcW w:w="776" w:type="pct"/>
            <w:tcBorders>
              <w:top w:val="nil"/>
              <w:left w:val="nil"/>
              <w:bottom w:val="nil"/>
              <w:right w:val="nil"/>
            </w:tcBorders>
            <w:noWrap/>
            <w:vAlign w:val="bottom"/>
            <w:hideMark/>
          </w:tcPr>
          <w:p w14:paraId="010E759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22C10841"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6266718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0F1DBA5F"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1.136</w:t>
            </w:r>
          </w:p>
        </w:tc>
      </w:tr>
      <w:tr w:rsidR="000F4F64" w:rsidRPr="00DB1EE1" w14:paraId="38FD6AFA" w14:textId="77777777" w:rsidTr="00293029">
        <w:trPr>
          <w:trHeight w:val="315"/>
        </w:trPr>
        <w:tc>
          <w:tcPr>
            <w:tcW w:w="815" w:type="pct"/>
            <w:tcBorders>
              <w:top w:val="nil"/>
              <w:left w:val="nil"/>
              <w:bottom w:val="nil"/>
              <w:right w:val="nil"/>
            </w:tcBorders>
            <w:noWrap/>
            <w:vAlign w:val="bottom"/>
            <w:hideMark/>
          </w:tcPr>
          <w:p w14:paraId="0C21217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RS3</w:t>
            </w:r>
          </w:p>
        </w:tc>
        <w:tc>
          <w:tcPr>
            <w:tcW w:w="592" w:type="pct"/>
            <w:tcBorders>
              <w:top w:val="nil"/>
              <w:left w:val="nil"/>
              <w:bottom w:val="nil"/>
              <w:right w:val="nil"/>
            </w:tcBorders>
            <w:noWrap/>
            <w:vAlign w:val="bottom"/>
            <w:hideMark/>
          </w:tcPr>
          <w:p w14:paraId="6E0C6FF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3.516</w:t>
            </w:r>
          </w:p>
        </w:tc>
        <w:tc>
          <w:tcPr>
            <w:tcW w:w="776" w:type="pct"/>
            <w:tcBorders>
              <w:top w:val="nil"/>
              <w:left w:val="nil"/>
              <w:bottom w:val="nil"/>
              <w:right w:val="nil"/>
            </w:tcBorders>
            <w:noWrap/>
            <w:vAlign w:val="bottom"/>
            <w:hideMark/>
          </w:tcPr>
          <w:p w14:paraId="6E2F98D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3306ECBC"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2BB4BB8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4F8B95C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1.132</w:t>
            </w:r>
          </w:p>
        </w:tc>
      </w:tr>
      <w:tr w:rsidR="000F4F64" w:rsidRPr="00DB1EE1" w14:paraId="4879754C" w14:textId="77777777" w:rsidTr="00293029">
        <w:trPr>
          <w:trHeight w:val="315"/>
        </w:trPr>
        <w:tc>
          <w:tcPr>
            <w:tcW w:w="815" w:type="pct"/>
            <w:tcBorders>
              <w:top w:val="nil"/>
              <w:left w:val="nil"/>
              <w:bottom w:val="nil"/>
              <w:right w:val="nil"/>
            </w:tcBorders>
            <w:noWrap/>
            <w:vAlign w:val="bottom"/>
            <w:hideMark/>
          </w:tcPr>
          <w:p w14:paraId="6CFDCC7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IC1</w:t>
            </w:r>
          </w:p>
        </w:tc>
        <w:tc>
          <w:tcPr>
            <w:tcW w:w="592" w:type="pct"/>
            <w:tcBorders>
              <w:top w:val="nil"/>
              <w:left w:val="nil"/>
              <w:bottom w:val="nil"/>
              <w:right w:val="nil"/>
            </w:tcBorders>
            <w:noWrap/>
            <w:vAlign w:val="bottom"/>
            <w:hideMark/>
          </w:tcPr>
          <w:p w14:paraId="5F98D9CC"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3.467</w:t>
            </w:r>
          </w:p>
        </w:tc>
        <w:tc>
          <w:tcPr>
            <w:tcW w:w="776" w:type="pct"/>
            <w:tcBorders>
              <w:top w:val="nil"/>
              <w:left w:val="nil"/>
              <w:bottom w:val="nil"/>
              <w:right w:val="nil"/>
            </w:tcBorders>
            <w:noWrap/>
            <w:vAlign w:val="bottom"/>
            <w:hideMark/>
          </w:tcPr>
          <w:p w14:paraId="05E863B8"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3F463FF1"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050FDFF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4D0EB66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1.174</w:t>
            </w:r>
          </w:p>
        </w:tc>
      </w:tr>
      <w:tr w:rsidR="000F4F64" w:rsidRPr="00DB1EE1" w14:paraId="57900425" w14:textId="77777777" w:rsidTr="00293029">
        <w:trPr>
          <w:trHeight w:val="315"/>
        </w:trPr>
        <w:tc>
          <w:tcPr>
            <w:tcW w:w="815" w:type="pct"/>
            <w:tcBorders>
              <w:top w:val="nil"/>
              <w:left w:val="nil"/>
              <w:bottom w:val="nil"/>
              <w:right w:val="nil"/>
            </w:tcBorders>
            <w:noWrap/>
            <w:vAlign w:val="bottom"/>
            <w:hideMark/>
          </w:tcPr>
          <w:p w14:paraId="7695CE8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IC2</w:t>
            </w:r>
          </w:p>
        </w:tc>
        <w:tc>
          <w:tcPr>
            <w:tcW w:w="592" w:type="pct"/>
            <w:tcBorders>
              <w:top w:val="nil"/>
              <w:left w:val="nil"/>
              <w:bottom w:val="nil"/>
              <w:right w:val="nil"/>
            </w:tcBorders>
            <w:noWrap/>
            <w:vAlign w:val="bottom"/>
            <w:hideMark/>
          </w:tcPr>
          <w:p w14:paraId="6C2217A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3.467</w:t>
            </w:r>
          </w:p>
        </w:tc>
        <w:tc>
          <w:tcPr>
            <w:tcW w:w="776" w:type="pct"/>
            <w:tcBorders>
              <w:top w:val="nil"/>
              <w:left w:val="nil"/>
              <w:bottom w:val="nil"/>
              <w:right w:val="nil"/>
            </w:tcBorders>
            <w:noWrap/>
            <w:vAlign w:val="bottom"/>
            <w:hideMark/>
          </w:tcPr>
          <w:p w14:paraId="72F1EAB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45C7076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7F7339C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027B845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1.179</w:t>
            </w:r>
          </w:p>
        </w:tc>
      </w:tr>
      <w:tr w:rsidR="000F4F64" w:rsidRPr="00DB1EE1" w14:paraId="304648C1" w14:textId="77777777" w:rsidTr="00293029">
        <w:trPr>
          <w:trHeight w:val="315"/>
        </w:trPr>
        <w:tc>
          <w:tcPr>
            <w:tcW w:w="815" w:type="pct"/>
            <w:tcBorders>
              <w:top w:val="nil"/>
              <w:left w:val="nil"/>
              <w:bottom w:val="nil"/>
              <w:right w:val="nil"/>
            </w:tcBorders>
            <w:noWrap/>
            <w:vAlign w:val="bottom"/>
            <w:hideMark/>
          </w:tcPr>
          <w:p w14:paraId="4AFBEEC9"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IC3</w:t>
            </w:r>
          </w:p>
        </w:tc>
        <w:tc>
          <w:tcPr>
            <w:tcW w:w="592" w:type="pct"/>
            <w:tcBorders>
              <w:top w:val="nil"/>
              <w:left w:val="nil"/>
              <w:bottom w:val="nil"/>
              <w:right w:val="nil"/>
            </w:tcBorders>
            <w:noWrap/>
            <w:vAlign w:val="bottom"/>
            <w:hideMark/>
          </w:tcPr>
          <w:p w14:paraId="3E0482B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3.538</w:t>
            </w:r>
          </w:p>
        </w:tc>
        <w:tc>
          <w:tcPr>
            <w:tcW w:w="776" w:type="pct"/>
            <w:tcBorders>
              <w:top w:val="nil"/>
              <w:left w:val="nil"/>
              <w:bottom w:val="nil"/>
              <w:right w:val="nil"/>
            </w:tcBorders>
            <w:noWrap/>
            <w:vAlign w:val="bottom"/>
            <w:hideMark/>
          </w:tcPr>
          <w:p w14:paraId="4E177D5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762FA0A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1C324BA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508C452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1.174</w:t>
            </w:r>
          </w:p>
        </w:tc>
      </w:tr>
      <w:tr w:rsidR="000F4F64" w:rsidRPr="00DB1EE1" w14:paraId="0A238650" w14:textId="77777777" w:rsidTr="00293029">
        <w:trPr>
          <w:trHeight w:val="315"/>
        </w:trPr>
        <w:tc>
          <w:tcPr>
            <w:tcW w:w="815" w:type="pct"/>
            <w:tcBorders>
              <w:top w:val="nil"/>
              <w:left w:val="nil"/>
              <w:bottom w:val="nil"/>
              <w:right w:val="nil"/>
            </w:tcBorders>
            <w:noWrap/>
            <w:vAlign w:val="bottom"/>
            <w:hideMark/>
          </w:tcPr>
          <w:p w14:paraId="1361EE8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FU1</w:t>
            </w:r>
          </w:p>
        </w:tc>
        <w:tc>
          <w:tcPr>
            <w:tcW w:w="592" w:type="pct"/>
            <w:tcBorders>
              <w:top w:val="nil"/>
              <w:left w:val="nil"/>
              <w:bottom w:val="nil"/>
              <w:right w:val="nil"/>
            </w:tcBorders>
            <w:noWrap/>
            <w:vAlign w:val="bottom"/>
            <w:hideMark/>
          </w:tcPr>
          <w:p w14:paraId="2F097A4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3.44</w:t>
            </w:r>
          </w:p>
        </w:tc>
        <w:tc>
          <w:tcPr>
            <w:tcW w:w="776" w:type="pct"/>
            <w:tcBorders>
              <w:top w:val="nil"/>
              <w:left w:val="nil"/>
              <w:bottom w:val="nil"/>
              <w:right w:val="nil"/>
            </w:tcBorders>
            <w:noWrap/>
            <w:vAlign w:val="bottom"/>
            <w:hideMark/>
          </w:tcPr>
          <w:p w14:paraId="19A4D49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637C02FC"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278B79D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2CCE8726"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1.21</w:t>
            </w:r>
          </w:p>
        </w:tc>
      </w:tr>
      <w:tr w:rsidR="000F4F64" w:rsidRPr="00DB1EE1" w14:paraId="6CC59C98" w14:textId="77777777" w:rsidTr="00293029">
        <w:trPr>
          <w:trHeight w:val="315"/>
        </w:trPr>
        <w:tc>
          <w:tcPr>
            <w:tcW w:w="815" w:type="pct"/>
            <w:tcBorders>
              <w:top w:val="nil"/>
              <w:left w:val="nil"/>
              <w:bottom w:val="nil"/>
              <w:right w:val="nil"/>
            </w:tcBorders>
            <w:noWrap/>
            <w:vAlign w:val="bottom"/>
            <w:hideMark/>
          </w:tcPr>
          <w:p w14:paraId="0FE465CF"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FU2</w:t>
            </w:r>
          </w:p>
        </w:tc>
        <w:tc>
          <w:tcPr>
            <w:tcW w:w="592" w:type="pct"/>
            <w:tcBorders>
              <w:top w:val="nil"/>
              <w:left w:val="nil"/>
              <w:bottom w:val="nil"/>
              <w:right w:val="nil"/>
            </w:tcBorders>
            <w:noWrap/>
            <w:vAlign w:val="bottom"/>
            <w:hideMark/>
          </w:tcPr>
          <w:p w14:paraId="4822794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3.467</w:t>
            </w:r>
          </w:p>
        </w:tc>
        <w:tc>
          <w:tcPr>
            <w:tcW w:w="776" w:type="pct"/>
            <w:tcBorders>
              <w:top w:val="nil"/>
              <w:left w:val="nil"/>
              <w:bottom w:val="nil"/>
              <w:right w:val="nil"/>
            </w:tcBorders>
            <w:noWrap/>
            <w:vAlign w:val="bottom"/>
            <w:hideMark/>
          </w:tcPr>
          <w:p w14:paraId="6D92C89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332747F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05009E3C"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03C30C9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1.156</w:t>
            </w:r>
          </w:p>
        </w:tc>
      </w:tr>
      <w:tr w:rsidR="000F4F64" w:rsidRPr="00DB1EE1" w14:paraId="778AC7BD" w14:textId="77777777" w:rsidTr="00293029">
        <w:trPr>
          <w:trHeight w:val="315"/>
        </w:trPr>
        <w:tc>
          <w:tcPr>
            <w:tcW w:w="815" w:type="pct"/>
            <w:tcBorders>
              <w:top w:val="nil"/>
              <w:left w:val="nil"/>
              <w:bottom w:val="nil"/>
              <w:right w:val="nil"/>
            </w:tcBorders>
            <w:noWrap/>
            <w:vAlign w:val="bottom"/>
            <w:hideMark/>
          </w:tcPr>
          <w:p w14:paraId="74155A78"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FU3</w:t>
            </w:r>
          </w:p>
        </w:tc>
        <w:tc>
          <w:tcPr>
            <w:tcW w:w="592" w:type="pct"/>
            <w:tcBorders>
              <w:top w:val="nil"/>
              <w:left w:val="nil"/>
              <w:bottom w:val="nil"/>
              <w:right w:val="nil"/>
            </w:tcBorders>
            <w:noWrap/>
            <w:vAlign w:val="bottom"/>
            <w:hideMark/>
          </w:tcPr>
          <w:p w14:paraId="723C931E"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3.533</w:t>
            </w:r>
          </w:p>
        </w:tc>
        <w:tc>
          <w:tcPr>
            <w:tcW w:w="776" w:type="pct"/>
            <w:tcBorders>
              <w:top w:val="nil"/>
              <w:left w:val="nil"/>
              <w:bottom w:val="nil"/>
              <w:right w:val="nil"/>
            </w:tcBorders>
            <w:noWrap/>
            <w:vAlign w:val="bottom"/>
            <w:hideMark/>
          </w:tcPr>
          <w:p w14:paraId="18E4EAE6"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21143CE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2071C22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473280F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1.156</w:t>
            </w:r>
          </w:p>
        </w:tc>
      </w:tr>
      <w:tr w:rsidR="000F4F64" w:rsidRPr="00DB1EE1" w14:paraId="369ABD38" w14:textId="77777777" w:rsidTr="00293029">
        <w:trPr>
          <w:trHeight w:val="315"/>
        </w:trPr>
        <w:tc>
          <w:tcPr>
            <w:tcW w:w="815" w:type="pct"/>
            <w:tcBorders>
              <w:top w:val="nil"/>
              <w:left w:val="nil"/>
              <w:bottom w:val="nil"/>
              <w:right w:val="nil"/>
            </w:tcBorders>
            <w:noWrap/>
            <w:vAlign w:val="bottom"/>
            <w:hideMark/>
          </w:tcPr>
          <w:p w14:paraId="221DA475"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EALG1</w:t>
            </w:r>
          </w:p>
        </w:tc>
        <w:tc>
          <w:tcPr>
            <w:tcW w:w="592" w:type="pct"/>
            <w:tcBorders>
              <w:top w:val="nil"/>
              <w:left w:val="nil"/>
              <w:bottom w:val="nil"/>
              <w:right w:val="nil"/>
            </w:tcBorders>
            <w:noWrap/>
            <w:vAlign w:val="bottom"/>
            <w:hideMark/>
          </w:tcPr>
          <w:p w14:paraId="663AEDA6"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3.44</w:t>
            </w:r>
          </w:p>
        </w:tc>
        <w:tc>
          <w:tcPr>
            <w:tcW w:w="776" w:type="pct"/>
            <w:tcBorders>
              <w:top w:val="nil"/>
              <w:left w:val="nil"/>
              <w:bottom w:val="nil"/>
              <w:right w:val="nil"/>
            </w:tcBorders>
            <w:noWrap/>
            <w:vAlign w:val="bottom"/>
            <w:hideMark/>
          </w:tcPr>
          <w:p w14:paraId="7DBBEEA4"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2DBEF4A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11BC73E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05B61D9D"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1.201</w:t>
            </w:r>
          </w:p>
        </w:tc>
      </w:tr>
      <w:tr w:rsidR="000F4F64" w:rsidRPr="00DB1EE1" w14:paraId="3252E6B0" w14:textId="77777777" w:rsidTr="00293029">
        <w:trPr>
          <w:trHeight w:val="315"/>
        </w:trPr>
        <w:tc>
          <w:tcPr>
            <w:tcW w:w="815" w:type="pct"/>
            <w:tcBorders>
              <w:top w:val="nil"/>
              <w:left w:val="nil"/>
              <w:bottom w:val="nil"/>
              <w:right w:val="nil"/>
            </w:tcBorders>
            <w:noWrap/>
            <w:vAlign w:val="bottom"/>
            <w:hideMark/>
          </w:tcPr>
          <w:p w14:paraId="6959D51F"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EALG2</w:t>
            </w:r>
          </w:p>
        </w:tc>
        <w:tc>
          <w:tcPr>
            <w:tcW w:w="592" w:type="pct"/>
            <w:tcBorders>
              <w:top w:val="nil"/>
              <w:left w:val="nil"/>
              <w:bottom w:val="nil"/>
              <w:right w:val="nil"/>
            </w:tcBorders>
            <w:noWrap/>
            <w:vAlign w:val="bottom"/>
            <w:hideMark/>
          </w:tcPr>
          <w:p w14:paraId="365206E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3.462</w:t>
            </w:r>
          </w:p>
        </w:tc>
        <w:tc>
          <w:tcPr>
            <w:tcW w:w="776" w:type="pct"/>
            <w:tcBorders>
              <w:top w:val="nil"/>
              <w:left w:val="nil"/>
              <w:bottom w:val="nil"/>
              <w:right w:val="nil"/>
            </w:tcBorders>
            <w:noWrap/>
            <w:vAlign w:val="bottom"/>
            <w:hideMark/>
          </w:tcPr>
          <w:p w14:paraId="03E01421"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nil"/>
              <w:right w:val="nil"/>
            </w:tcBorders>
            <w:noWrap/>
            <w:vAlign w:val="bottom"/>
            <w:hideMark/>
          </w:tcPr>
          <w:p w14:paraId="4670F6A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nil"/>
              <w:right w:val="nil"/>
            </w:tcBorders>
            <w:noWrap/>
            <w:vAlign w:val="bottom"/>
            <w:hideMark/>
          </w:tcPr>
          <w:p w14:paraId="76B33523"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nil"/>
              <w:right w:val="nil"/>
            </w:tcBorders>
            <w:noWrap/>
            <w:vAlign w:val="bottom"/>
            <w:hideMark/>
          </w:tcPr>
          <w:p w14:paraId="540A831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1.188</w:t>
            </w:r>
          </w:p>
        </w:tc>
      </w:tr>
      <w:tr w:rsidR="000F4F64" w:rsidRPr="00DB1EE1" w14:paraId="5C93DFA6" w14:textId="77777777" w:rsidTr="00293029">
        <w:trPr>
          <w:trHeight w:val="315"/>
        </w:trPr>
        <w:tc>
          <w:tcPr>
            <w:tcW w:w="815" w:type="pct"/>
            <w:tcBorders>
              <w:top w:val="nil"/>
              <w:left w:val="nil"/>
              <w:bottom w:val="single" w:sz="4" w:space="0" w:color="000000"/>
              <w:right w:val="nil"/>
            </w:tcBorders>
            <w:noWrap/>
            <w:vAlign w:val="bottom"/>
            <w:hideMark/>
          </w:tcPr>
          <w:p w14:paraId="3168BAAA"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EALG3</w:t>
            </w:r>
          </w:p>
        </w:tc>
        <w:tc>
          <w:tcPr>
            <w:tcW w:w="592" w:type="pct"/>
            <w:tcBorders>
              <w:top w:val="nil"/>
              <w:left w:val="nil"/>
              <w:bottom w:val="single" w:sz="4" w:space="0" w:color="000000"/>
              <w:right w:val="nil"/>
            </w:tcBorders>
            <w:noWrap/>
            <w:vAlign w:val="bottom"/>
            <w:hideMark/>
          </w:tcPr>
          <w:p w14:paraId="19CDE599"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3.527</w:t>
            </w:r>
          </w:p>
        </w:tc>
        <w:tc>
          <w:tcPr>
            <w:tcW w:w="776" w:type="pct"/>
            <w:tcBorders>
              <w:top w:val="nil"/>
              <w:left w:val="nil"/>
              <w:bottom w:val="single" w:sz="4" w:space="0" w:color="000000"/>
              <w:right w:val="nil"/>
            </w:tcBorders>
            <w:noWrap/>
            <w:vAlign w:val="bottom"/>
            <w:hideMark/>
          </w:tcPr>
          <w:p w14:paraId="0AEDF042"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4</w:t>
            </w:r>
          </w:p>
        </w:tc>
        <w:tc>
          <w:tcPr>
            <w:tcW w:w="449" w:type="pct"/>
            <w:tcBorders>
              <w:top w:val="nil"/>
              <w:left w:val="nil"/>
              <w:bottom w:val="single" w:sz="4" w:space="0" w:color="000000"/>
              <w:right w:val="nil"/>
            </w:tcBorders>
            <w:noWrap/>
            <w:vAlign w:val="bottom"/>
            <w:hideMark/>
          </w:tcPr>
          <w:p w14:paraId="6526C700"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w:t>
            </w:r>
          </w:p>
        </w:tc>
        <w:tc>
          <w:tcPr>
            <w:tcW w:w="972" w:type="pct"/>
            <w:tcBorders>
              <w:top w:val="nil"/>
              <w:left w:val="nil"/>
              <w:bottom w:val="single" w:sz="4" w:space="0" w:color="000000"/>
              <w:right w:val="nil"/>
            </w:tcBorders>
            <w:noWrap/>
            <w:vAlign w:val="bottom"/>
            <w:hideMark/>
          </w:tcPr>
          <w:p w14:paraId="1BAD3F97"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5</w:t>
            </w:r>
          </w:p>
        </w:tc>
        <w:tc>
          <w:tcPr>
            <w:tcW w:w="1396" w:type="pct"/>
            <w:tcBorders>
              <w:top w:val="nil"/>
              <w:left w:val="nil"/>
              <w:bottom w:val="single" w:sz="4" w:space="0" w:color="000000"/>
              <w:right w:val="nil"/>
            </w:tcBorders>
            <w:noWrap/>
            <w:vAlign w:val="bottom"/>
            <w:hideMark/>
          </w:tcPr>
          <w:p w14:paraId="606D4F9B" w14:textId="77777777" w:rsidR="000F4F64" w:rsidRPr="00DB1EE1" w:rsidRDefault="000F4F64" w:rsidP="00293029">
            <w:pPr>
              <w:snapToGrid w:val="0"/>
              <w:jc w:val="center"/>
              <w:rPr>
                <w:rFonts w:cs="新細明體"/>
                <w:kern w:val="0"/>
                <w:szCs w:val="24"/>
              </w:rPr>
            </w:pPr>
            <w:r w:rsidRPr="00DB1EE1">
              <w:rPr>
                <w:rFonts w:cs="新細明體" w:hint="eastAsia"/>
                <w:kern w:val="0"/>
                <w:szCs w:val="24"/>
              </w:rPr>
              <w:t>1.151</w:t>
            </w:r>
          </w:p>
        </w:tc>
      </w:tr>
    </w:tbl>
    <w:p w14:paraId="7A0DBCC5" w14:textId="7C0FC7F3" w:rsidR="00387442" w:rsidRDefault="00387442"/>
    <w:p w14:paraId="0476B52F" w14:textId="3065F213" w:rsidR="00387442" w:rsidRDefault="00777ADD" w:rsidP="00777ADD">
      <w:pPr>
        <w:pStyle w:val="3"/>
      </w:pPr>
      <w:r w:rsidRPr="00777ADD">
        <w:rPr>
          <w:rFonts w:hint="eastAsia"/>
        </w:rPr>
        <w:t>信度與效度分析</w:t>
      </w:r>
      <w:r w:rsidRPr="00777ADD">
        <w:rPr>
          <w:rFonts w:hint="eastAsia"/>
        </w:rPr>
        <w:t>(Reliability and Validity Analysis)</w:t>
      </w:r>
    </w:p>
    <w:p w14:paraId="0FB311C2" w14:textId="390EFFEB" w:rsidR="00387442" w:rsidRDefault="00777ADD">
      <w:r w:rsidRPr="00777ADD">
        <w:rPr>
          <w:rFonts w:hint="eastAsia"/>
        </w:rPr>
        <w:t>本研究採用偏最小二乘結構方程模型（</w:t>
      </w:r>
      <w:r w:rsidRPr="00777ADD">
        <w:rPr>
          <w:rFonts w:hint="eastAsia"/>
        </w:rPr>
        <w:t>PLS-SEM</w:t>
      </w:r>
      <w:r w:rsidRPr="00777ADD">
        <w:rPr>
          <w:rFonts w:hint="eastAsia"/>
        </w:rPr>
        <w:t>）進行數據分析，以評估測量模型的信度和效度，首先是信度分析：本研究使用</w:t>
      </w:r>
      <w:r w:rsidRPr="00777ADD">
        <w:rPr>
          <w:rFonts w:hint="eastAsia"/>
        </w:rPr>
        <w:t>Cronbach's Alpha</w:t>
      </w:r>
      <w:r w:rsidRPr="00777ADD">
        <w:rPr>
          <w:rFonts w:hint="eastAsia"/>
        </w:rPr>
        <w:t>、</w:t>
      </w:r>
      <w:r w:rsidRPr="00777ADD">
        <w:rPr>
          <w:rFonts w:hint="eastAsia"/>
        </w:rPr>
        <w:t>rho_A</w:t>
      </w:r>
      <w:r w:rsidRPr="00777ADD">
        <w:rPr>
          <w:rFonts w:hint="eastAsia"/>
        </w:rPr>
        <w:t>和組合信度</w:t>
      </w:r>
      <w:r w:rsidRPr="00777ADD">
        <w:rPr>
          <w:rFonts w:hint="eastAsia"/>
        </w:rPr>
        <w:t>(CR)</w:t>
      </w:r>
      <w:r w:rsidRPr="00777ADD">
        <w:rPr>
          <w:rFonts w:hint="eastAsia"/>
        </w:rPr>
        <w:t>來評估構念的內部一致性信度。如</w:t>
      </w:r>
      <w:r w:rsidR="009717E5">
        <w:fldChar w:fldCharType="begin"/>
      </w:r>
      <w:r w:rsidR="009717E5">
        <w:instrText xml:space="preserve"> </w:instrText>
      </w:r>
      <w:r w:rsidR="009717E5">
        <w:rPr>
          <w:rFonts w:hint="eastAsia"/>
        </w:rPr>
        <w:instrText>REF _Ref171711425 \h</w:instrText>
      </w:r>
      <w:r w:rsidR="009717E5">
        <w:instrText xml:space="preserve"> </w:instrText>
      </w:r>
      <w:r w:rsidR="009717E5">
        <w:fldChar w:fldCharType="separate"/>
      </w:r>
      <w:r w:rsidR="00103878">
        <w:t xml:space="preserve">table </w:t>
      </w:r>
      <w:r w:rsidR="00103878">
        <w:rPr>
          <w:noProof/>
        </w:rPr>
        <w:t>4</w:t>
      </w:r>
      <w:r w:rsidR="009717E5">
        <w:fldChar w:fldCharType="end"/>
      </w:r>
      <w:r w:rsidRPr="00777ADD">
        <w:rPr>
          <w:rFonts w:hint="eastAsia"/>
        </w:rPr>
        <w:t>所示，所有構念的</w:t>
      </w:r>
      <w:r w:rsidRPr="00777ADD">
        <w:rPr>
          <w:rFonts w:hint="eastAsia"/>
        </w:rPr>
        <w:t>Cronbach's Alpha</w:t>
      </w:r>
      <w:r w:rsidRPr="00777ADD">
        <w:rPr>
          <w:rFonts w:hint="eastAsia"/>
        </w:rPr>
        <w:t>值介於</w:t>
      </w:r>
      <w:r w:rsidRPr="00777ADD">
        <w:rPr>
          <w:rFonts w:hint="eastAsia"/>
        </w:rPr>
        <w:t>0.905</w:t>
      </w:r>
      <w:r w:rsidRPr="00777ADD">
        <w:rPr>
          <w:rFonts w:hint="eastAsia"/>
        </w:rPr>
        <w:t>到</w:t>
      </w:r>
      <w:r w:rsidRPr="00777ADD">
        <w:rPr>
          <w:rFonts w:hint="eastAsia"/>
        </w:rPr>
        <w:t>0.951</w:t>
      </w:r>
      <w:r w:rsidRPr="00777ADD">
        <w:rPr>
          <w:rFonts w:hint="eastAsia"/>
        </w:rPr>
        <w:t>之間，</w:t>
      </w:r>
      <w:r w:rsidRPr="00777ADD">
        <w:rPr>
          <w:rFonts w:hint="eastAsia"/>
        </w:rPr>
        <w:t>rho_A</w:t>
      </w:r>
      <w:r w:rsidRPr="00777ADD">
        <w:rPr>
          <w:rFonts w:hint="eastAsia"/>
        </w:rPr>
        <w:t>值介於</w:t>
      </w:r>
      <w:r w:rsidRPr="00777ADD">
        <w:rPr>
          <w:rFonts w:hint="eastAsia"/>
        </w:rPr>
        <w:t>0.906</w:t>
      </w:r>
      <w:r w:rsidRPr="00777ADD">
        <w:rPr>
          <w:rFonts w:hint="eastAsia"/>
        </w:rPr>
        <w:t>到</w:t>
      </w:r>
      <w:r w:rsidRPr="00777ADD">
        <w:rPr>
          <w:rFonts w:hint="eastAsia"/>
        </w:rPr>
        <w:t>0.951</w:t>
      </w:r>
      <w:r w:rsidRPr="00777ADD">
        <w:rPr>
          <w:rFonts w:hint="eastAsia"/>
        </w:rPr>
        <w:t>之間，</w:t>
      </w:r>
      <w:r w:rsidRPr="00777ADD">
        <w:rPr>
          <w:rFonts w:hint="eastAsia"/>
        </w:rPr>
        <w:t>CR</w:t>
      </w:r>
      <w:r w:rsidRPr="00777ADD">
        <w:rPr>
          <w:rFonts w:hint="eastAsia"/>
        </w:rPr>
        <w:t>值介於</w:t>
      </w:r>
      <w:r w:rsidRPr="00777ADD">
        <w:rPr>
          <w:rFonts w:hint="eastAsia"/>
        </w:rPr>
        <w:t>0.941</w:t>
      </w:r>
      <w:r w:rsidRPr="00777ADD">
        <w:rPr>
          <w:rFonts w:hint="eastAsia"/>
        </w:rPr>
        <w:t>到</w:t>
      </w:r>
      <w:r w:rsidRPr="00777ADD">
        <w:rPr>
          <w:rFonts w:hint="eastAsia"/>
        </w:rPr>
        <w:t>0.968</w:t>
      </w:r>
      <w:r w:rsidRPr="00777ADD">
        <w:rPr>
          <w:rFonts w:hint="eastAsia"/>
        </w:rPr>
        <w:t>之間。這些值均遠高於建議的</w:t>
      </w:r>
      <w:r w:rsidRPr="00777ADD">
        <w:rPr>
          <w:rFonts w:hint="eastAsia"/>
        </w:rPr>
        <w:t>0.7</w:t>
      </w:r>
      <w:r w:rsidRPr="00777ADD">
        <w:rPr>
          <w:rFonts w:hint="eastAsia"/>
        </w:rPr>
        <w:t>閾值，表明所有構念均具有優秀的內部一致性信度。</w:t>
      </w:r>
      <w:r w:rsidR="009717E5">
        <w:fldChar w:fldCharType="begin"/>
      </w:r>
      <w:r w:rsidR="009717E5">
        <w:instrText xml:space="preserve"> </w:instrText>
      </w:r>
      <w:r w:rsidR="009717E5">
        <w:rPr>
          <w:rFonts w:hint="eastAsia"/>
        </w:rPr>
        <w:instrText>REF _Ref171711437 \h</w:instrText>
      </w:r>
      <w:r w:rsidR="009717E5">
        <w:instrText xml:space="preserve"> </w:instrText>
      </w:r>
      <w:r w:rsidR="009717E5">
        <w:fldChar w:fldCharType="separate"/>
      </w:r>
      <w:r w:rsidR="00103878">
        <w:t xml:space="preserve">table </w:t>
      </w:r>
      <w:r w:rsidR="00103878">
        <w:rPr>
          <w:noProof/>
        </w:rPr>
        <w:t>5</w:t>
      </w:r>
      <w:r w:rsidR="009717E5">
        <w:fldChar w:fldCharType="end"/>
      </w:r>
      <w:r w:rsidRPr="00777ADD">
        <w:rPr>
          <w:rFonts w:hint="eastAsia"/>
        </w:rPr>
        <w:t>表示收斂效度通過因素負荷量和平均變異抽取量（</w:t>
      </w:r>
      <w:r w:rsidRPr="00777ADD">
        <w:rPr>
          <w:rFonts w:hint="eastAsia"/>
        </w:rPr>
        <w:t>AVE</w:t>
      </w:r>
      <w:r w:rsidRPr="00777ADD">
        <w:rPr>
          <w:rFonts w:hint="eastAsia"/>
        </w:rPr>
        <w:t>）進行評估。所有題項的因素負荷量均在</w:t>
      </w:r>
      <w:r w:rsidRPr="00777ADD">
        <w:rPr>
          <w:rFonts w:hint="eastAsia"/>
        </w:rPr>
        <w:t>0.894</w:t>
      </w:r>
      <w:r w:rsidRPr="00777ADD">
        <w:rPr>
          <w:rFonts w:hint="eastAsia"/>
        </w:rPr>
        <w:t>到</w:t>
      </w:r>
      <w:r w:rsidRPr="00777ADD">
        <w:rPr>
          <w:rFonts w:hint="eastAsia"/>
        </w:rPr>
        <w:t>0.960</w:t>
      </w:r>
      <w:r w:rsidRPr="00777ADD">
        <w:rPr>
          <w:rFonts w:hint="eastAsia"/>
        </w:rPr>
        <w:t>之間，遠高於</w:t>
      </w:r>
      <w:r w:rsidRPr="00777ADD">
        <w:rPr>
          <w:rFonts w:hint="eastAsia"/>
        </w:rPr>
        <w:t>0.7</w:t>
      </w:r>
      <w:r w:rsidRPr="00777ADD">
        <w:rPr>
          <w:rFonts w:hint="eastAsia"/>
        </w:rPr>
        <w:t>的建議閾值。此外，所有構念的</w:t>
      </w:r>
      <w:r w:rsidRPr="00777ADD">
        <w:rPr>
          <w:rFonts w:hint="eastAsia"/>
        </w:rPr>
        <w:t>AVE</w:t>
      </w:r>
      <w:r w:rsidRPr="00777ADD">
        <w:rPr>
          <w:rFonts w:hint="eastAsia"/>
        </w:rPr>
        <w:t>值介於</w:t>
      </w:r>
      <w:r w:rsidRPr="00777ADD">
        <w:rPr>
          <w:rFonts w:hint="eastAsia"/>
        </w:rPr>
        <w:t>0.841</w:t>
      </w:r>
      <w:r w:rsidRPr="00777ADD">
        <w:rPr>
          <w:rFonts w:hint="eastAsia"/>
        </w:rPr>
        <w:t>到</w:t>
      </w:r>
      <w:r w:rsidRPr="00777ADD">
        <w:rPr>
          <w:rFonts w:hint="eastAsia"/>
        </w:rPr>
        <w:t>0.910</w:t>
      </w:r>
      <w:r w:rsidRPr="00777ADD">
        <w:rPr>
          <w:rFonts w:hint="eastAsia"/>
        </w:rPr>
        <w:t>之間，大幅超過</w:t>
      </w:r>
      <w:r w:rsidRPr="00777ADD">
        <w:rPr>
          <w:rFonts w:hint="eastAsia"/>
        </w:rPr>
        <w:t>0.5</w:t>
      </w:r>
      <w:r w:rsidRPr="00777ADD">
        <w:rPr>
          <w:rFonts w:hint="eastAsia"/>
        </w:rPr>
        <w:t>的建議標準。這些結果表明本研究的所有構念均具有良好的收斂效度。</w:t>
      </w:r>
    </w:p>
    <w:p w14:paraId="164E7314" w14:textId="5AA178FE" w:rsidR="00777ADD" w:rsidRDefault="00777ADD"/>
    <w:p w14:paraId="7B07CD76" w14:textId="6D9B98E3" w:rsidR="00777ADD" w:rsidRDefault="00777ADD" w:rsidP="00777ADD">
      <w:pPr>
        <w:pStyle w:val="a8"/>
        <w:keepNext/>
      </w:pPr>
      <w:bookmarkStart w:id="9" w:name="_Ref171711425"/>
      <w:r>
        <w:t xml:space="preserve">table </w:t>
      </w:r>
      <w:fldSimple w:instr=" SEQ table \* ARABIC ">
        <w:r w:rsidR="00103878">
          <w:rPr>
            <w:noProof/>
          </w:rPr>
          <w:t>4</w:t>
        </w:r>
      </w:fldSimple>
      <w:bookmarkEnd w:id="9"/>
      <w:r>
        <w:rPr>
          <w:rFonts w:hint="eastAsia"/>
        </w:rPr>
        <w:t>：信效度分析</w:t>
      </w:r>
    </w:p>
    <w:tbl>
      <w:tblPr>
        <w:tblW w:w="4992" w:type="pct"/>
        <w:tblCellMar>
          <w:left w:w="28" w:type="dxa"/>
          <w:right w:w="28" w:type="dxa"/>
        </w:tblCellMar>
        <w:tblLook w:val="04A0" w:firstRow="1" w:lastRow="0" w:firstColumn="1" w:lastColumn="0" w:noHBand="0" w:noVBand="1"/>
      </w:tblPr>
      <w:tblGrid>
        <w:gridCol w:w="1102"/>
        <w:gridCol w:w="1103"/>
        <w:gridCol w:w="1592"/>
        <w:gridCol w:w="1630"/>
        <w:gridCol w:w="1105"/>
        <w:gridCol w:w="1994"/>
        <w:gridCol w:w="1097"/>
      </w:tblGrid>
      <w:tr w:rsidR="00777ADD" w:rsidRPr="00DB1EE1" w14:paraId="30177131" w14:textId="77777777" w:rsidTr="00777ADD">
        <w:trPr>
          <w:trHeight w:val="256"/>
        </w:trPr>
        <w:tc>
          <w:tcPr>
            <w:tcW w:w="573" w:type="pct"/>
            <w:tcBorders>
              <w:top w:val="single" w:sz="4" w:space="0" w:color="auto"/>
              <w:left w:val="nil"/>
              <w:bottom w:val="single" w:sz="4" w:space="0" w:color="auto"/>
              <w:right w:val="nil"/>
            </w:tcBorders>
            <w:shd w:val="clear" w:color="auto" w:fill="auto"/>
            <w:noWrap/>
            <w:vAlign w:val="center"/>
            <w:hideMark/>
          </w:tcPr>
          <w:p w14:paraId="17B72AE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Construct</w:t>
            </w:r>
          </w:p>
        </w:tc>
        <w:tc>
          <w:tcPr>
            <w:tcW w:w="573" w:type="pct"/>
            <w:tcBorders>
              <w:top w:val="single" w:sz="4" w:space="0" w:color="auto"/>
              <w:left w:val="nil"/>
              <w:bottom w:val="single" w:sz="4" w:space="0" w:color="auto"/>
              <w:right w:val="nil"/>
            </w:tcBorders>
            <w:shd w:val="clear" w:color="auto" w:fill="auto"/>
            <w:noWrap/>
            <w:vAlign w:val="center"/>
            <w:hideMark/>
          </w:tcPr>
          <w:p w14:paraId="68F4953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item</w:t>
            </w:r>
          </w:p>
        </w:tc>
        <w:tc>
          <w:tcPr>
            <w:tcW w:w="827" w:type="pct"/>
            <w:tcBorders>
              <w:top w:val="single" w:sz="4" w:space="0" w:color="auto"/>
              <w:left w:val="nil"/>
              <w:bottom w:val="single" w:sz="4" w:space="0" w:color="auto"/>
              <w:right w:val="nil"/>
            </w:tcBorders>
            <w:shd w:val="clear" w:color="auto" w:fill="auto"/>
            <w:noWrap/>
            <w:vAlign w:val="center"/>
            <w:hideMark/>
          </w:tcPr>
          <w:p w14:paraId="0A0E120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Outlier Loading</w:t>
            </w:r>
          </w:p>
        </w:tc>
        <w:tc>
          <w:tcPr>
            <w:tcW w:w="847" w:type="pct"/>
            <w:tcBorders>
              <w:top w:val="single" w:sz="4" w:space="0" w:color="auto"/>
              <w:left w:val="nil"/>
              <w:bottom w:val="single" w:sz="4" w:space="0" w:color="auto"/>
              <w:right w:val="nil"/>
            </w:tcBorders>
            <w:shd w:val="clear" w:color="auto" w:fill="auto"/>
            <w:noWrap/>
            <w:vAlign w:val="center"/>
            <w:hideMark/>
          </w:tcPr>
          <w:p w14:paraId="58D6CB0B"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Cronbach's Alpha</w:t>
            </w:r>
          </w:p>
        </w:tc>
        <w:tc>
          <w:tcPr>
            <w:tcW w:w="574" w:type="pct"/>
            <w:tcBorders>
              <w:top w:val="single" w:sz="4" w:space="0" w:color="auto"/>
              <w:left w:val="nil"/>
              <w:bottom w:val="single" w:sz="4" w:space="0" w:color="auto"/>
              <w:right w:val="nil"/>
            </w:tcBorders>
            <w:shd w:val="clear" w:color="auto" w:fill="auto"/>
            <w:noWrap/>
            <w:vAlign w:val="center"/>
            <w:hideMark/>
          </w:tcPr>
          <w:p w14:paraId="433854C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rho_A</w:t>
            </w:r>
          </w:p>
        </w:tc>
        <w:tc>
          <w:tcPr>
            <w:tcW w:w="1036" w:type="pct"/>
            <w:tcBorders>
              <w:top w:val="single" w:sz="4" w:space="0" w:color="auto"/>
              <w:left w:val="nil"/>
              <w:bottom w:val="single" w:sz="4" w:space="0" w:color="auto"/>
              <w:right w:val="nil"/>
            </w:tcBorders>
            <w:shd w:val="clear" w:color="auto" w:fill="auto"/>
            <w:noWrap/>
            <w:vAlign w:val="center"/>
            <w:hideMark/>
          </w:tcPr>
          <w:p w14:paraId="6319A385"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Composite Reliability</w:t>
            </w:r>
          </w:p>
        </w:tc>
        <w:tc>
          <w:tcPr>
            <w:tcW w:w="572" w:type="pct"/>
            <w:tcBorders>
              <w:top w:val="single" w:sz="4" w:space="0" w:color="auto"/>
              <w:left w:val="nil"/>
              <w:bottom w:val="single" w:sz="4" w:space="0" w:color="auto"/>
              <w:right w:val="nil"/>
            </w:tcBorders>
            <w:shd w:val="clear" w:color="auto" w:fill="auto"/>
            <w:noWrap/>
            <w:vAlign w:val="center"/>
            <w:hideMark/>
          </w:tcPr>
          <w:p w14:paraId="69A312D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AVE</w:t>
            </w:r>
          </w:p>
        </w:tc>
      </w:tr>
      <w:tr w:rsidR="00777ADD" w:rsidRPr="00DB1EE1" w14:paraId="21080C72" w14:textId="77777777" w:rsidTr="00777ADD">
        <w:trPr>
          <w:trHeight w:val="256"/>
        </w:trPr>
        <w:tc>
          <w:tcPr>
            <w:tcW w:w="573" w:type="pct"/>
            <w:vMerge w:val="restart"/>
            <w:tcBorders>
              <w:top w:val="nil"/>
              <w:left w:val="nil"/>
              <w:bottom w:val="single" w:sz="4" w:space="0" w:color="000000"/>
              <w:right w:val="nil"/>
            </w:tcBorders>
            <w:shd w:val="clear" w:color="auto" w:fill="auto"/>
            <w:noWrap/>
            <w:vAlign w:val="center"/>
            <w:hideMark/>
          </w:tcPr>
          <w:p w14:paraId="0E5E3487" w14:textId="26C64062"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PAG</w:t>
            </w:r>
            <w:r w:rsidR="00A6077B">
              <w:rPr>
                <w:rFonts w:cs="Times New Roman" w:hint="eastAsia"/>
                <w:color w:val="000000"/>
                <w:kern w:val="0"/>
                <w:sz w:val="22"/>
              </w:rPr>
              <w:t>L</w:t>
            </w:r>
          </w:p>
        </w:tc>
        <w:tc>
          <w:tcPr>
            <w:tcW w:w="573" w:type="pct"/>
            <w:tcBorders>
              <w:top w:val="nil"/>
              <w:left w:val="nil"/>
              <w:bottom w:val="single" w:sz="4" w:space="0" w:color="auto"/>
              <w:right w:val="nil"/>
            </w:tcBorders>
            <w:shd w:val="clear" w:color="auto" w:fill="auto"/>
            <w:noWrap/>
            <w:vAlign w:val="center"/>
            <w:hideMark/>
          </w:tcPr>
          <w:p w14:paraId="4F11DCB5" w14:textId="1854702C" w:rsidR="00777ADD" w:rsidRPr="00DB1EE1" w:rsidRDefault="00777ADD" w:rsidP="00293029">
            <w:pPr>
              <w:widowControl/>
              <w:jc w:val="center"/>
              <w:rPr>
                <w:rFonts w:cs="Times New Roman"/>
                <w:color w:val="000000"/>
                <w:kern w:val="0"/>
                <w:sz w:val="22"/>
              </w:rPr>
            </w:pPr>
            <w:r w:rsidRPr="00DB1EE1">
              <w:rPr>
                <w:rFonts w:ascii="Tahoma" w:hAnsi="Tahoma" w:cs="Tahoma"/>
                <w:color w:val="000000"/>
                <w:kern w:val="0"/>
                <w:sz w:val="22"/>
              </w:rPr>
              <w:t>﻿</w:t>
            </w:r>
            <w:r w:rsidRPr="00DB1EE1">
              <w:rPr>
                <w:rFonts w:cs="Times New Roman"/>
                <w:color w:val="000000"/>
                <w:kern w:val="0"/>
                <w:sz w:val="22"/>
              </w:rPr>
              <w:t>PAG</w:t>
            </w:r>
            <w:r w:rsidR="00987827">
              <w:rPr>
                <w:rFonts w:cs="Times New Roman" w:hint="eastAsia"/>
                <w:color w:val="000000"/>
                <w:kern w:val="0"/>
                <w:sz w:val="22"/>
              </w:rPr>
              <w:t>L</w:t>
            </w:r>
            <w:r w:rsidRPr="00DB1EE1">
              <w:rPr>
                <w:rFonts w:cs="Times New Roman"/>
                <w:color w:val="000000"/>
                <w:kern w:val="0"/>
                <w:sz w:val="22"/>
              </w:rPr>
              <w:t>1</w:t>
            </w:r>
          </w:p>
        </w:tc>
        <w:tc>
          <w:tcPr>
            <w:tcW w:w="827" w:type="pct"/>
            <w:tcBorders>
              <w:top w:val="nil"/>
              <w:left w:val="nil"/>
              <w:bottom w:val="single" w:sz="4" w:space="0" w:color="auto"/>
              <w:right w:val="nil"/>
            </w:tcBorders>
            <w:shd w:val="clear" w:color="auto" w:fill="auto"/>
            <w:noWrap/>
            <w:vAlign w:val="center"/>
            <w:hideMark/>
          </w:tcPr>
          <w:p w14:paraId="7B4CF866"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0.949</w:t>
            </w:r>
          </w:p>
        </w:tc>
        <w:tc>
          <w:tcPr>
            <w:tcW w:w="847" w:type="pct"/>
            <w:vMerge w:val="restart"/>
            <w:tcBorders>
              <w:top w:val="nil"/>
              <w:left w:val="nil"/>
              <w:bottom w:val="single" w:sz="4" w:space="0" w:color="000000"/>
              <w:right w:val="nil"/>
            </w:tcBorders>
            <w:shd w:val="clear" w:color="auto" w:fill="auto"/>
            <w:noWrap/>
            <w:vAlign w:val="center"/>
            <w:hideMark/>
          </w:tcPr>
          <w:p w14:paraId="52E2496E"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0.905</w:t>
            </w:r>
          </w:p>
        </w:tc>
        <w:tc>
          <w:tcPr>
            <w:tcW w:w="574" w:type="pct"/>
            <w:vMerge w:val="restart"/>
            <w:tcBorders>
              <w:top w:val="nil"/>
              <w:left w:val="nil"/>
              <w:bottom w:val="single" w:sz="4" w:space="0" w:color="000000"/>
              <w:right w:val="nil"/>
            </w:tcBorders>
            <w:shd w:val="clear" w:color="auto" w:fill="auto"/>
            <w:noWrap/>
            <w:vAlign w:val="center"/>
            <w:hideMark/>
          </w:tcPr>
          <w:p w14:paraId="4E27DBD9"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0.906</w:t>
            </w:r>
          </w:p>
        </w:tc>
        <w:tc>
          <w:tcPr>
            <w:tcW w:w="1036" w:type="pct"/>
            <w:vMerge w:val="restart"/>
            <w:tcBorders>
              <w:top w:val="nil"/>
              <w:left w:val="nil"/>
              <w:bottom w:val="single" w:sz="4" w:space="0" w:color="000000"/>
              <w:right w:val="nil"/>
            </w:tcBorders>
            <w:shd w:val="clear" w:color="auto" w:fill="auto"/>
            <w:noWrap/>
            <w:vAlign w:val="center"/>
            <w:hideMark/>
          </w:tcPr>
          <w:p w14:paraId="6A29FA55"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0.941</w:t>
            </w:r>
          </w:p>
        </w:tc>
        <w:tc>
          <w:tcPr>
            <w:tcW w:w="572" w:type="pct"/>
            <w:vMerge w:val="restart"/>
            <w:tcBorders>
              <w:top w:val="nil"/>
              <w:left w:val="nil"/>
              <w:bottom w:val="single" w:sz="4" w:space="0" w:color="000000"/>
              <w:right w:val="nil"/>
            </w:tcBorders>
            <w:shd w:val="clear" w:color="auto" w:fill="auto"/>
            <w:noWrap/>
            <w:vAlign w:val="center"/>
            <w:hideMark/>
          </w:tcPr>
          <w:p w14:paraId="67757B4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0.841</w:t>
            </w:r>
          </w:p>
        </w:tc>
      </w:tr>
      <w:tr w:rsidR="00777ADD" w:rsidRPr="00DB1EE1" w14:paraId="2E142C92" w14:textId="77777777" w:rsidTr="00777ADD">
        <w:trPr>
          <w:trHeight w:val="256"/>
        </w:trPr>
        <w:tc>
          <w:tcPr>
            <w:tcW w:w="573" w:type="pct"/>
            <w:vMerge/>
            <w:tcBorders>
              <w:top w:val="nil"/>
              <w:left w:val="nil"/>
              <w:bottom w:val="single" w:sz="4" w:space="0" w:color="000000"/>
              <w:right w:val="nil"/>
            </w:tcBorders>
            <w:vAlign w:val="center"/>
            <w:hideMark/>
          </w:tcPr>
          <w:p w14:paraId="4CD2323A"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36DDB97B" w14:textId="500AC65B"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PAG</w:t>
            </w:r>
            <w:r w:rsidR="00987827">
              <w:rPr>
                <w:rFonts w:cs="Times New Roman" w:hint="eastAsia"/>
                <w:color w:val="000000"/>
                <w:kern w:val="0"/>
                <w:sz w:val="22"/>
              </w:rPr>
              <w:t>L</w:t>
            </w:r>
            <w:r w:rsidRPr="00DB1EE1">
              <w:rPr>
                <w:rFonts w:cs="Times New Roman"/>
                <w:color w:val="000000"/>
                <w:kern w:val="0"/>
                <w:sz w:val="22"/>
              </w:rPr>
              <w:t>2</w:t>
            </w:r>
          </w:p>
        </w:tc>
        <w:tc>
          <w:tcPr>
            <w:tcW w:w="827" w:type="pct"/>
            <w:tcBorders>
              <w:top w:val="nil"/>
              <w:left w:val="nil"/>
              <w:bottom w:val="single" w:sz="4" w:space="0" w:color="auto"/>
              <w:right w:val="nil"/>
            </w:tcBorders>
            <w:shd w:val="clear" w:color="auto" w:fill="auto"/>
            <w:noWrap/>
            <w:vAlign w:val="center"/>
            <w:hideMark/>
          </w:tcPr>
          <w:p w14:paraId="7321786D"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0.953</w:t>
            </w:r>
          </w:p>
        </w:tc>
        <w:tc>
          <w:tcPr>
            <w:tcW w:w="847" w:type="pct"/>
            <w:vMerge/>
            <w:tcBorders>
              <w:top w:val="nil"/>
              <w:left w:val="nil"/>
              <w:bottom w:val="single" w:sz="4" w:space="0" w:color="000000"/>
              <w:right w:val="nil"/>
            </w:tcBorders>
            <w:vAlign w:val="center"/>
            <w:hideMark/>
          </w:tcPr>
          <w:p w14:paraId="6615D825"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6F11E8AB"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1D17D12C"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35C051F0" w14:textId="77777777" w:rsidR="00777ADD" w:rsidRPr="00DB1EE1" w:rsidRDefault="00777ADD" w:rsidP="00293029">
            <w:pPr>
              <w:widowControl/>
              <w:rPr>
                <w:rFonts w:cs="Times New Roman"/>
                <w:color w:val="000000"/>
                <w:kern w:val="0"/>
                <w:sz w:val="22"/>
              </w:rPr>
            </w:pPr>
          </w:p>
        </w:tc>
      </w:tr>
      <w:tr w:rsidR="00777ADD" w:rsidRPr="00DB1EE1" w14:paraId="4B686F49" w14:textId="77777777" w:rsidTr="00777ADD">
        <w:trPr>
          <w:trHeight w:val="256"/>
        </w:trPr>
        <w:tc>
          <w:tcPr>
            <w:tcW w:w="573" w:type="pct"/>
            <w:vMerge/>
            <w:tcBorders>
              <w:top w:val="nil"/>
              <w:left w:val="nil"/>
              <w:bottom w:val="single" w:sz="4" w:space="0" w:color="000000"/>
              <w:right w:val="nil"/>
            </w:tcBorders>
            <w:vAlign w:val="center"/>
            <w:hideMark/>
          </w:tcPr>
          <w:p w14:paraId="56FEA259"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01A70AD9" w14:textId="6AF0732B"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PAG</w:t>
            </w:r>
            <w:r w:rsidR="00987827">
              <w:rPr>
                <w:rFonts w:cs="Times New Roman" w:hint="eastAsia"/>
                <w:color w:val="000000"/>
                <w:kern w:val="0"/>
                <w:sz w:val="22"/>
              </w:rPr>
              <w:t>L</w:t>
            </w:r>
            <w:r w:rsidRPr="00DB1EE1">
              <w:rPr>
                <w:rFonts w:cs="Times New Roman"/>
                <w:color w:val="000000"/>
                <w:kern w:val="0"/>
                <w:sz w:val="22"/>
              </w:rPr>
              <w:t>3</w:t>
            </w:r>
          </w:p>
        </w:tc>
        <w:tc>
          <w:tcPr>
            <w:tcW w:w="827" w:type="pct"/>
            <w:tcBorders>
              <w:top w:val="nil"/>
              <w:left w:val="nil"/>
              <w:bottom w:val="single" w:sz="4" w:space="0" w:color="auto"/>
              <w:right w:val="nil"/>
            </w:tcBorders>
            <w:shd w:val="clear" w:color="auto" w:fill="auto"/>
            <w:noWrap/>
            <w:vAlign w:val="center"/>
            <w:hideMark/>
          </w:tcPr>
          <w:p w14:paraId="0057EA7F"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0.936</w:t>
            </w:r>
          </w:p>
        </w:tc>
        <w:tc>
          <w:tcPr>
            <w:tcW w:w="847" w:type="pct"/>
            <w:vMerge/>
            <w:tcBorders>
              <w:top w:val="nil"/>
              <w:left w:val="nil"/>
              <w:bottom w:val="single" w:sz="4" w:space="0" w:color="000000"/>
              <w:right w:val="nil"/>
            </w:tcBorders>
            <w:vAlign w:val="center"/>
            <w:hideMark/>
          </w:tcPr>
          <w:p w14:paraId="47CBBE70"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6E55ABC8"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67AC0AF8"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4E2DBAEA" w14:textId="77777777" w:rsidR="00777ADD" w:rsidRPr="00DB1EE1" w:rsidRDefault="00777ADD" w:rsidP="00293029">
            <w:pPr>
              <w:widowControl/>
              <w:rPr>
                <w:rFonts w:cs="Times New Roman"/>
                <w:color w:val="000000"/>
                <w:kern w:val="0"/>
                <w:sz w:val="22"/>
              </w:rPr>
            </w:pPr>
          </w:p>
        </w:tc>
      </w:tr>
      <w:tr w:rsidR="00777ADD" w:rsidRPr="00DB1EE1" w14:paraId="17B5A978" w14:textId="77777777" w:rsidTr="00777ADD">
        <w:trPr>
          <w:trHeight w:val="256"/>
        </w:trPr>
        <w:tc>
          <w:tcPr>
            <w:tcW w:w="573" w:type="pct"/>
            <w:vMerge w:val="restart"/>
            <w:tcBorders>
              <w:top w:val="nil"/>
              <w:left w:val="nil"/>
              <w:bottom w:val="single" w:sz="4" w:space="0" w:color="000000"/>
              <w:right w:val="nil"/>
            </w:tcBorders>
            <w:shd w:val="clear" w:color="auto" w:fill="auto"/>
            <w:noWrap/>
            <w:vAlign w:val="center"/>
            <w:hideMark/>
          </w:tcPr>
          <w:p w14:paraId="008219EB"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RS</w:t>
            </w:r>
          </w:p>
        </w:tc>
        <w:tc>
          <w:tcPr>
            <w:tcW w:w="573" w:type="pct"/>
            <w:tcBorders>
              <w:top w:val="nil"/>
              <w:left w:val="nil"/>
              <w:bottom w:val="single" w:sz="4" w:space="0" w:color="auto"/>
              <w:right w:val="nil"/>
            </w:tcBorders>
            <w:shd w:val="clear" w:color="auto" w:fill="auto"/>
            <w:noWrap/>
            <w:vAlign w:val="center"/>
            <w:hideMark/>
          </w:tcPr>
          <w:p w14:paraId="1A28EA0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RS1</w:t>
            </w:r>
          </w:p>
        </w:tc>
        <w:tc>
          <w:tcPr>
            <w:tcW w:w="827" w:type="pct"/>
            <w:tcBorders>
              <w:top w:val="nil"/>
              <w:left w:val="nil"/>
              <w:bottom w:val="single" w:sz="4" w:space="0" w:color="auto"/>
              <w:right w:val="nil"/>
            </w:tcBorders>
            <w:shd w:val="clear" w:color="auto" w:fill="auto"/>
            <w:noWrap/>
            <w:vAlign w:val="center"/>
            <w:hideMark/>
          </w:tcPr>
          <w:p w14:paraId="2EA77F24"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0.920</w:t>
            </w:r>
          </w:p>
        </w:tc>
        <w:tc>
          <w:tcPr>
            <w:tcW w:w="847" w:type="pct"/>
            <w:vMerge w:val="restart"/>
            <w:tcBorders>
              <w:top w:val="nil"/>
              <w:left w:val="nil"/>
              <w:bottom w:val="single" w:sz="4" w:space="0" w:color="000000"/>
              <w:right w:val="nil"/>
            </w:tcBorders>
            <w:shd w:val="clear" w:color="auto" w:fill="auto"/>
            <w:noWrap/>
            <w:vAlign w:val="center"/>
            <w:hideMark/>
          </w:tcPr>
          <w:p w14:paraId="6AC55092"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0.951</w:t>
            </w:r>
          </w:p>
        </w:tc>
        <w:tc>
          <w:tcPr>
            <w:tcW w:w="574" w:type="pct"/>
            <w:vMerge w:val="restart"/>
            <w:tcBorders>
              <w:top w:val="nil"/>
              <w:left w:val="nil"/>
              <w:bottom w:val="single" w:sz="4" w:space="0" w:color="000000"/>
              <w:right w:val="nil"/>
            </w:tcBorders>
            <w:shd w:val="clear" w:color="auto" w:fill="auto"/>
            <w:noWrap/>
            <w:vAlign w:val="center"/>
            <w:hideMark/>
          </w:tcPr>
          <w:p w14:paraId="2EB0D3F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0.951</w:t>
            </w:r>
          </w:p>
        </w:tc>
        <w:tc>
          <w:tcPr>
            <w:tcW w:w="1036" w:type="pct"/>
            <w:vMerge w:val="restart"/>
            <w:tcBorders>
              <w:top w:val="nil"/>
              <w:left w:val="nil"/>
              <w:bottom w:val="single" w:sz="4" w:space="0" w:color="000000"/>
              <w:right w:val="nil"/>
            </w:tcBorders>
            <w:shd w:val="clear" w:color="auto" w:fill="auto"/>
            <w:noWrap/>
            <w:vAlign w:val="center"/>
            <w:hideMark/>
          </w:tcPr>
          <w:p w14:paraId="50C12BCF"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0.968</w:t>
            </w:r>
          </w:p>
        </w:tc>
        <w:tc>
          <w:tcPr>
            <w:tcW w:w="572" w:type="pct"/>
            <w:vMerge w:val="restart"/>
            <w:tcBorders>
              <w:top w:val="nil"/>
              <w:left w:val="nil"/>
              <w:bottom w:val="single" w:sz="4" w:space="0" w:color="000000"/>
              <w:right w:val="nil"/>
            </w:tcBorders>
            <w:shd w:val="clear" w:color="auto" w:fill="auto"/>
            <w:noWrap/>
            <w:vAlign w:val="center"/>
            <w:hideMark/>
          </w:tcPr>
          <w:p w14:paraId="1DBA860F"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0.910</w:t>
            </w:r>
          </w:p>
        </w:tc>
      </w:tr>
      <w:tr w:rsidR="00777ADD" w:rsidRPr="00DB1EE1" w14:paraId="15D3264D" w14:textId="77777777" w:rsidTr="00777ADD">
        <w:trPr>
          <w:trHeight w:val="256"/>
        </w:trPr>
        <w:tc>
          <w:tcPr>
            <w:tcW w:w="573" w:type="pct"/>
            <w:vMerge/>
            <w:tcBorders>
              <w:top w:val="nil"/>
              <w:left w:val="nil"/>
              <w:bottom w:val="single" w:sz="4" w:space="0" w:color="000000"/>
              <w:right w:val="nil"/>
            </w:tcBorders>
            <w:vAlign w:val="center"/>
            <w:hideMark/>
          </w:tcPr>
          <w:p w14:paraId="2F332707"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586D077E"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RS2</w:t>
            </w:r>
          </w:p>
        </w:tc>
        <w:tc>
          <w:tcPr>
            <w:tcW w:w="827" w:type="pct"/>
            <w:tcBorders>
              <w:top w:val="nil"/>
              <w:left w:val="nil"/>
              <w:bottom w:val="single" w:sz="4" w:space="0" w:color="auto"/>
              <w:right w:val="nil"/>
            </w:tcBorders>
            <w:shd w:val="clear" w:color="auto" w:fill="auto"/>
            <w:noWrap/>
            <w:vAlign w:val="center"/>
            <w:hideMark/>
          </w:tcPr>
          <w:p w14:paraId="69C53F58"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0.923</w:t>
            </w:r>
          </w:p>
        </w:tc>
        <w:tc>
          <w:tcPr>
            <w:tcW w:w="847" w:type="pct"/>
            <w:vMerge/>
            <w:tcBorders>
              <w:top w:val="nil"/>
              <w:left w:val="nil"/>
              <w:bottom w:val="single" w:sz="4" w:space="0" w:color="000000"/>
              <w:right w:val="nil"/>
            </w:tcBorders>
            <w:vAlign w:val="center"/>
            <w:hideMark/>
          </w:tcPr>
          <w:p w14:paraId="4F1BF340"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7E4FC7BF"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55AEE0FF"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30FA8528" w14:textId="77777777" w:rsidR="00777ADD" w:rsidRPr="00DB1EE1" w:rsidRDefault="00777ADD" w:rsidP="00293029">
            <w:pPr>
              <w:widowControl/>
              <w:rPr>
                <w:rFonts w:cs="Times New Roman"/>
                <w:color w:val="000000"/>
                <w:kern w:val="0"/>
                <w:sz w:val="22"/>
              </w:rPr>
            </w:pPr>
          </w:p>
        </w:tc>
      </w:tr>
      <w:tr w:rsidR="00777ADD" w:rsidRPr="00DB1EE1" w14:paraId="5586FAD4" w14:textId="77777777" w:rsidTr="00777ADD">
        <w:trPr>
          <w:trHeight w:val="256"/>
        </w:trPr>
        <w:tc>
          <w:tcPr>
            <w:tcW w:w="573" w:type="pct"/>
            <w:vMerge/>
            <w:tcBorders>
              <w:top w:val="nil"/>
              <w:left w:val="nil"/>
              <w:bottom w:val="single" w:sz="4" w:space="0" w:color="000000"/>
              <w:right w:val="nil"/>
            </w:tcBorders>
            <w:vAlign w:val="center"/>
            <w:hideMark/>
          </w:tcPr>
          <w:p w14:paraId="6071187C"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6DC535F2"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RS3</w:t>
            </w:r>
          </w:p>
        </w:tc>
        <w:tc>
          <w:tcPr>
            <w:tcW w:w="827" w:type="pct"/>
            <w:tcBorders>
              <w:top w:val="nil"/>
              <w:left w:val="nil"/>
              <w:bottom w:val="single" w:sz="4" w:space="0" w:color="auto"/>
              <w:right w:val="nil"/>
            </w:tcBorders>
            <w:shd w:val="clear" w:color="auto" w:fill="auto"/>
            <w:noWrap/>
            <w:vAlign w:val="center"/>
            <w:hideMark/>
          </w:tcPr>
          <w:p w14:paraId="41B36A24"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0.930</w:t>
            </w:r>
          </w:p>
        </w:tc>
        <w:tc>
          <w:tcPr>
            <w:tcW w:w="847" w:type="pct"/>
            <w:vMerge/>
            <w:tcBorders>
              <w:top w:val="nil"/>
              <w:left w:val="nil"/>
              <w:bottom w:val="single" w:sz="4" w:space="0" w:color="000000"/>
              <w:right w:val="nil"/>
            </w:tcBorders>
            <w:vAlign w:val="center"/>
            <w:hideMark/>
          </w:tcPr>
          <w:p w14:paraId="1AFBD035"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496F2EA9"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495DE615"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3250818E" w14:textId="77777777" w:rsidR="00777ADD" w:rsidRPr="00DB1EE1" w:rsidRDefault="00777ADD" w:rsidP="00293029">
            <w:pPr>
              <w:widowControl/>
              <w:rPr>
                <w:rFonts w:cs="Times New Roman"/>
                <w:color w:val="000000"/>
                <w:kern w:val="0"/>
                <w:sz w:val="22"/>
              </w:rPr>
            </w:pPr>
          </w:p>
        </w:tc>
      </w:tr>
      <w:tr w:rsidR="00777ADD" w:rsidRPr="00DB1EE1" w14:paraId="3416A8AE" w14:textId="77777777" w:rsidTr="00777ADD">
        <w:trPr>
          <w:trHeight w:val="256"/>
        </w:trPr>
        <w:tc>
          <w:tcPr>
            <w:tcW w:w="573" w:type="pct"/>
            <w:vMerge w:val="restart"/>
            <w:tcBorders>
              <w:top w:val="nil"/>
              <w:left w:val="nil"/>
              <w:bottom w:val="single" w:sz="4" w:space="0" w:color="000000"/>
              <w:right w:val="nil"/>
            </w:tcBorders>
            <w:shd w:val="clear" w:color="auto" w:fill="auto"/>
            <w:noWrap/>
            <w:vAlign w:val="center"/>
            <w:hideMark/>
          </w:tcPr>
          <w:p w14:paraId="3651737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IC</w:t>
            </w:r>
          </w:p>
        </w:tc>
        <w:tc>
          <w:tcPr>
            <w:tcW w:w="573" w:type="pct"/>
            <w:tcBorders>
              <w:top w:val="nil"/>
              <w:left w:val="nil"/>
              <w:bottom w:val="single" w:sz="4" w:space="0" w:color="auto"/>
              <w:right w:val="nil"/>
            </w:tcBorders>
            <w:shd w:val="clear" w:color="auto" w:fill="auto"/>
            <w:noWrap/>
            <w:vAlign w:val="center"/>
            <w:hideMark/>
          </w:tcPr>
          <w:p w14:paraId="6DC7EEB4"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IC1</w:t>
            </w:r>
          </w:p>
        </w:tc>
        <w:tc>
          <w:tcPr>
            <w:tcW w:w="827" w:type="pct"/>
            <w:tcBorders>
              <w:top w:val="nil"/>
              <w:left w:val="nil"/>
              <w:bottom w:val="single" w:sz="4" w:space="0" w:color="auto"/>
              <w:right w:val="nil"/>
            </w:tcBorders>
            <w:shd w:val="clear" w:color="auto" w:fill="auto"/>
            <w:noWrap/>
            <w:vAlign w:val="center"/>
            <w:hideMark/>
          </w:tcPr>
          <w:p w14:paraId="2A1D51FF"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0.942</w:t>
            </w:r>
          </w:p>
        </w:tc>
        <w:tc>
          <w:tcPr>
            <w:tcW w:w="847" w:type="pct"/>
            <w:vMerge w:val="restart"/>
            <w:tcBorders>
              <w:top w:val="nil"/>
              <w:left w:val="nil"/>
              <w:bottom w:val="single" w:sz="4" w:space="0" w:color="000000"/>
              <w:right w:val="nil"/>
            </w:tcBorders>
            <w:shd w:val="clear" w:color="auto" w:fill="auto"/>
            <w:noWrap/>
            <w:vAlign w:val="center"/>
            <w:hideMark/>
          </w:tcPr>
          <w:p w14:paraId="41DF7EF9"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0.935</w:t>
            </w:r>
          </w:p>
        </w:tc>
        <w:tc>
          <w:tcPr>
            <w:tcW w:w="574" w:type="pct"/>
            <w:vMerge w:val="restart"/>
            <w:tcBorders>
              <w:top w:val="nil"/>
              <w:left w:val="nil"/>
              <w:bottom w:val="single" w:sz="4" w:space="0" w:color="000000"/>
              <w:right w:val="nil"/>
            </w:tcBorders>
            <w:shd w:val="clear" w:color="auto" w:fill="auto"/>
            <w:noWrap/>
            <w:vAlign w:val="center"/>
            <w:hideMark/>
          </w:tcPr>
          <w:p w14:paraId="36170068"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0.936</w:t>
            </w:r>
          </w:p>
        </w:tc>
        <w:tc>
          <w:tcPr>
            <w:tcW w:w="1036" w:type="pct"/>
            <w:vMerge w:val="restart"/>
            <w:tcBorders>
              <w:top w:val="nil"/>
              <w:left w:val="nil"/>
              <w:bottom w:val="single" w:sz="4" w:space="0" w:color="000000"/>
              <w:right w:val="nil"/>
            </w:tcBorders>
            <w:shd w:val="clear" w:color="auto" w:fill="auto"/>
            <w:noWrap/>
            <w:vAlign w:val="center"/>
            <w:hideMark/>
          </w:tcPr>
          <w:p w14:paraId="2B77697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0.959</w:t>
            </w:r>
          </w:p>
        </w:tc>
        <w:tc>
          <w:tcPr>
            <w:tcW w:w="572" w:type="pct"/>
            <w:vMerge w:val="restart"/>
            <w:tcBorders>
              <w:top w:val="nil"/>
              <w:left w:val="nil"/>
              <w:bottom w:val="single" w:sz="4" w:space="0" w:color="000000"/>
              <w:right w:val="nil"/>
            </w:tcBorders>
            <w:shd w:val="clear" w:color="auto" w:fill="auto"/>
            <w:noWrap/>
            <w:vAlign w:val="center"/>
            <w:hideMark/>
          </w:tcPr>
          <w:p w14:paraId="1F16430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0.886</w:t>
            </w:r>
          </w:p>
        </w:tc>
      </w:tr>
      <w:tr w:rsidR="00777ADD" w:rsidRPr="00DB1EE1" w14:paraId="70898902" w14:textId="77777777" w:rsidTr="00777ADD">
        <w:trPr>
          <w:trHeight w:val="256"/>
        </w:trPr>
        <w:tc>
          <w:tcPr>
            <w:tcW w:w="573" w:type="pct"/>
            <w:vMerge/>
            <w:tcBorders>
              <w:top w:val="nil"/>
              <w:left w:val="nil"/>
              <w:bottom w:val="single" w:sz="4" w:space="0" w:color="000000"/>
              <w:right w:val="nil"/>
            </w:tcBorders>
            <w:vAlign w:val="center"/>
            <w:hideMark/>
          </w:tcPr>
          <w:p w14:paraId="6451F114"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369A6C4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IC2</w:t>
            </w:r>
          </w:p>
        </w:tc>
        <w:tc>
          <w:tcPr>
            <w:tcW w:w="827" w:type="pct"/>
            <w:tcBorders>
              <w:top w:val="nil"/>
              <w:left w:val="nil"/>
              <w:bottom w:val="single" w:sz="4" w:space="0" w:color="auto"/>
              <w:right w:val="nil"/>
            </w:tcBorders>
            <w:shd w:val="clear" w:color="auto" w:fill="auto"/>
            <w:noWrap/>
            <w:vAlign w:val="center"/>
            <w:hideMark/>
          </w:tcPr>
          <w:p w14:paraId="5D37A0E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0.957</w:t>
            </w:r>
          </w:p>
        </w:tc>
        <w:tc>
          <w:tcPr>
            <w:tcW w:w="847" w:type="pct"/>
            <w:vMerge/>
            <w:tcBorders>
              <w:top w:val="nil"/>
              <w:left w:val="nil"/>
              <w:bottom w:val="single" w:sz="4" w:space="0" w:color="000000"/>
              <w:right w:val="nil"/>
            </w:tcBorders>
            <w:vAlign w:val="center"/>
            <w:hideMark/>
          </w:tcPr>
          <w:p w14:paraId="3A23921C"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01A902C2"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4BDB83FF"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3F63BE55" w14:textId="77777777" w:rsidR="00777ADD" w:rsidRPr="00DB1EE1" w:rsidRDefault="00777ADD" w:rsidP="00293029">
            <w:pPr>
              <w:widowControl/>
              <w:rPr>
                <w:rFonts w:cs="Times New Roman"/>
                <w:color w:val="000000"/>
                <w:kern w:val="0"/>
                <w:sz w:val="22"/>
              </w:rPr>
            </w:pPr>
          </w:p>
        </w:tc>
      </w:tr>
      <w:tr w:rsidR="00777ADD" w:rsidRPr="00DB1EE1" w14:paraId="0BBA8FAD" w14:textId="77777777" w:rsidTr="00777ADD">
        <w:trPr>
          <w:trHeight w:val="256"/>
        </w:trPr>
        <w:tc>
          <w:tcPr>
            <w:tcW w:w="573" w:type="pct"/>
            <w:vMerge/>
            <w:tcBorders>
              <w:top w:val="nil"/>
              <w:left w:val="nil"/>
              <w:bottom w:val="single" w:sz="4" w:space="0" w:color="000000"/>
              <w:right w:val="nil"/>
            </w:tcBorders>
            <w:vAlign w:val="center"/>
            <w:hideMark/>
          </w:tcPr>
          <w:p w14:paraId="675A1287"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0585A82D"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IC3</w:t>
            </w:r>
          </w:p>
        </w:tc>
        <w:tc>
          <w:tcPr>
            <w:tcW w:w="827" w:type="pct"/>
            <w:tcBorders>
              <w:top w:val="nil"/>
              <w:left w:val="nil"/>
              <w:bottom w:val="single" w:sz="4" w:space="0" w:color="auto"/>
              <w:right w:val="nil"/>
            </w:tcBorders>
            <w:shd w:val="clear" w:color="auto" w:fill="auto"/>
            <w:noWrap/>
            <w:vAlign w:val="center"/>
            <w:hideMark/>
          </w:tcPr>
          <w:p w14:paraId="739185B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0.924</w:t>
            </w:r>
          </w:p>
        </w:tc>
        <w:tc>
          <w:tcPr>
            <w:tcW w:w="847" w:type="pct"/>
            <w:vMerge/>
            <w:tcBorders>
              <w:top w:val="nil"/>
              <w:left w:val="nil"/>
              <w:bottom w:val="single" w:sz="4" w:space="0" w:color="000000"/>
              <w:right w:val="nil"/>
            </w:tcBorders>
            <w:vAlign w:val="center"/>
            <w:hideMark/>
          </w:tcPr>
          <w:p w14:paraId="30C470C3"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7B26BF3B"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188324D6"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7A28D684" w14:textId="77777777" w:rsidR="00777ADD" w:rsidRPr="00DB1EE1" w:rsidRDefault="00777ADD" w:rsidP="00293029">
            <w:pPr>
              <w:widowControl/>
              <w:rPr>
                <w:rFonts w:cs="Times New Roman"/>
                <w:color w:val="000000"/>
                <w:kern w:val="0"/>
                <w:sz w:val="22"/>
              </w:rPr>
            </w:pPr>
          </w:p>
        </w:tc>
      </w:tr>
      <w:tr w:rsidR="00777ADD" w:rsidRPr="00DB1EE1" w14:paraId="57A854C1" w14:textId="77777777" w:rsidTr="00777ADD">
        <w:trPr>
          <w:trHeight w:val="256"/>
        </w:trPr>
        <w:tc>
          <w:tcPr>
            <w:tcW w:w="573" w:type="pct"/>
            <w:vMerge w:val="restart"/>
            <w:tcBorders>
              <w:top w:val="nil"/>
              <w:left w:val="nil"/>
              <w:bottom w:val="single" w:sz="4" w:space="0" w:color="000000"/>
              <w:right w:val="nil"/>
            </w:tcBorders>
            <w:shd w:val="clear" w:color="auto" w:fill="auto"/>
            <w:noWrap/>
            <w:vAlign w:val="center"/>
            <w:hideMark/>
          </w:tcPr>
          <w:p w14:paraId="0F268DEF"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FU</w:t>
            </w:r>
          </w:p>
        </w:tc>
        <w:tc>
          <w:tcPr>
            <w:tcW w:w="573" w:type="pct"/>
            <w:tcBorders>
              <w:top w:val="nil"/>
              <w:left w:val="nil"/>
              <w:bottom w:val="single" w:sz="4" w:space="0" w:color="auto"/>
              <w:right w:val="nil"/>
            </w:tcBorders>
            <w:shd w:val="clear" w:color="auto" w:fill="auto"/>
            <w:noWrap/>
            <w:vAlign w:val="center"/>
            <w:hideMark/>
          </w:tcPr>
          <w:p w14:paraId="551FB222"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FU1</w:t>
            </w:r>
          </w:p>
        </w:tc>
        <w:tc>
          <w:tcPr>
            <w:tcW w:w="827" w:type="pct"/>
            <w:tcBorders>
              <w:top w:val="nil"/>
              <w:left w:val="nil"/>
              <w:bottom w:val="single" w:sz="4" w:space="0" w:color="auto"/>
              <w:right w:val="nil"/>
            </w:tcBorders>
            <w:shd w:val="clear" w:color="auto" w:fill="auto"/>
            <w:noWrap/>
            <w:vAlign w:val="center"/>
            <w:hideMark/>
          </w:tcPr>
          <w:p w14:paraId="3C01B7E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0.953</w:t>
            </w:r>
          </w:p>
        </w:tc>
        <w:tc>
          <w:tcPr>
            <w:tcW w:w="847" w:type="pct"/>
            <w:vMerge w:val="restart"/>
            <w:tcBorders>
              <w:top w:val="nil"/>
              <w:left w:val="nil"/>
              <w:bottom w:val="single" w:sz="4" w:space="0" w:color="000000"/>
              <w:right w:val="nil"/>
            </w:tcBorders>
            <w:shd w:val="clear" w:color="auto" w:fill="auto"/>
            <w:noWrap/>
            <w:vAlign w:val="center"/>
            <w:hideMark/>
          </w:tcPr>
          <w:p w14:paraId="28F965A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0.941</w:t>
            </w:r>
          </w:p>
        </w:tc>
        <w:tc>
          <w:tcPr>
            <w:tcW w:w="574" w:type="pct"/>
            <w:vMerge w:val="restart"/>
            <w:tcBorders>
              <w:top w:val="nil"/>
              <w:left w:val="nil"/>
              <w:bottom w:val="single" w:sz="4" w:space="0" w:color="000000"/>
              <w:right w:val="nil"/>
            </w:tcBorders>
            <w:shd w:val="clear" w:color="auto" w:fill="auto"/>
            <w:noWrap/>
            <w:vAlign w:val="center"/>
            <w:hideMark/>
          </w:tcPr>
          <w:p w14:paraId="02BC67E5"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0.942</w:t>
            </w:r>
          </w:p>
        </w:tc>
        <w:tc>
          <w:tcPr>
            <w:tcW w:w="1036" w:type="pct"/>
            <w:vMerge w:val="restart"/>
            <w:tcBorders>
              <w:top w:val="nil"/>
              <w:left w:val="nil"/>
              <w:bottom w:val="single" w:sz="4" w:space="0" w:color="000000"/>
              <w:right w:val="nil"/>
            </w:tcBorders>
            <w:shd w:val="clear" w:color="auto" w:fill="auto"/>
            <w:noWrap/>
            <w:vAlign w:val="center"/>
            <w:hideMark/>
          </w:tcPr>
          <w:p w14:paraId="10EA7B95"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0.962</w:t>
            </w:r>
          </w:p>
        </w:tc>
        <w:tc>
          <w:tcPr>
            <w:tcW w:w="572" w:type="pct"/>
            <w:vMerge w:val="restart"/>
            <w:tcBorders>
              <w:top w:val="nil"/>
              <w:left w:val="nil"/>
              <w:bottom w:val="single" w:sz="4" w:space="0" w:color="000000"/>
              <w:right w:val="nil"/>
            </w:tcBorders>
            <w:shd w:val="clear" w:color="auto" w:fill="auto"/>
            <w:noWrap/>
            <w:vAlign w:val="center"/>
            <w:hideMark/>
          </w:tcPr>
          <w:p w14:paraId="0E93D03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0.895</w:t>
            </w:r>
          </w:p>
        </w:tc>
      </w:tr>
      <w:tr w:rsidR="00777ADD" w:rsidRPr="00DB1EE1" w14:paraId="30381941" w14:textId="77777777" w:rsidTr="00777ADD">
        <w:trPr>
          <w:trHeight w:val="256"/>
        </w:trPr>
        <w:tc>
          <w:tcPr>
            <w:tcW w:w="573" w:type="pct"/>
            <w:vMerge/>
            <w:tcBorders>
              <w:top w:val="nil"/>
              <w:left w:val="nil"/>
              <w:bottom w:val="single" w:sz="4" w:space="0" w:color="000000"/>
              <w:right w:val="nil"/>
            </w:tcBorders>
            <w:vAlign w:val="center"/>
            <w:hideMark/>
          </w:tcPr>
          <w:p w14:paraId="6FC84A79"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71DE0668"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FU2</w:t>
            </w:r>
          </w:p>
        </w:tc>
        <w:tc>
          <w:tcPr>
            <w:tcW w:w="827" w:type="pct"/>
            <w:tcBorders>
              <w:top w:val="nil"/>
              <w:left w:val="nil"/>
              <w:bottom w:val="single" w:sz="4" w:space="0" w:color="auto"/>
              <w:right w:val="nil"/>
            </w:tcBorders>
            <w:shd w:val="clear" w:color="auto" w:fill="auto"/>
            <w:noWrap/>
            <w:vAlign w:val="center"/>
            <w:hideMark/>
          </w:tcPr>
          <w:p w14:paraId="6DA8A6C2"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0.960</w:t>
            </w:r>
          </w:p>
        </w:tc>
        <w:tc>
          <w:tcPr>
            <w:tcW w:w="847" w:type="pct"/>
            <w:vMerge/>
            <w:tcBorders>
              <w:top w:val="nil"/>
              <w:left w:val="nil"/>
              <w:bottom w:val="single" w:sz="4" w:space="0" w:color="000000"/>
              <w:right w:val="nil"/>
            </w:tcBorders>
            <w:vAlign w:val="center"/>
            <w:hideMark/>
          </w:tcPr>
          <w:p w14:paraId="7A125EBA"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2DC90852"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14510A48"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0404337E" w14:textId="77777777" w:rsidR="00777ADD" w:rsidRPr="00DB1EE1" w:rsidRDefault="00777ADD" w:rsidP="00293029">
            <w:pPr>
              <w:widowControl/>
              <w:rPr>
                <w:rFonts w:cs="Times New Roman"/>
                <w:color w:val="000000"/>
                <w:kern w:val="0"/>
                <w:sz w:val="22"/>
              </w:rPr>
            </w:pPr>
          </w:p>
        </w:tc>
      </w:tr>
      <w:tr w:rsidR="00777ADD" w:rsidRPr="00DB1EE1" w14:paraId="254CE3BF" w14:textId="77777777" w:rsidTr="00777ADD">
        <w:trPr>
          <w:trHeight w:val="256"/>
        </w:trPr>
        <w:tc>
          <w:tcPr>
            <w:tcW w:w="573" w:type="pct"/>
            <w:vMerge/>
            <w:tcBorders>
              <w:top w:val="nil"/>
              <w:left w:val="nil"/>
              <w:bottom w:val="single" w:sz="4" w:space="0" w:color="000000"/>
              <w:right w:val="nil"/>
            </w:tcBorders>
            <w:vAlign w:val="center"/>
            <w:hideMark/>
          </w:tcPr>
          <w:p w14:paraId="732D9A18"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377D6F8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FU3</w:t>
            </w:r>
          </w:p>
        </w:tc>
        <w:tc>
          <w:tcPr>
            <w:tcW w:w="827" w:type="pct"/>
            <w:tcBorders>
              <w:top w:val="nil"/>
              <w:left w:val="nil"/>
              <w:bottom w:val="single" w:sz="4" w:space="0" w:color="auto"/>
              <w:right w:val="nil"/>
            </w:tcBorders>
            <w:shd w:val="clear" w:color="auto" w:fill="auto"/>
            <w:noWrap/>
            <w:vAlign w:val="center"/>
            <w:hideMark/>
          </w:tcPr>
          <w:p w14:paraId="622B40D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0.950</w:t>
            </w:r>
          </w:p>
        </w:tc>
        <w:tc>
          <w:tcPr>
            <w:tcW w:w="847" w:type="pct"/>
            <w:vMerge/>
            <w:tcBorders>
              <w:top w:val="nil"/>
              <w:left w:val="nil"/>
              <w:bottom w:val="single" w:sz="4" w:space="0" w:color="000000"/>
              <w:right w:val="nil"/>
            </w:tcBorders>
            <w:vAlign w:val="center"/>
            <w:hideMark/>
          </w:tcPr>
          <w:p w14:paraId="3062580F"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47D911E3"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6D901485"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4B70111A" w14:textId="77777777" w:rsidR="00777ADD" w:rsidRPr="00DB1EE1" w:rsidRDefault="00777ADD" w:rsidP="00293029">
            <w:pPr>
              <w:widowControl/>
              <w:rPr>
                <w:rFonts w:cs="Times New Roman"/>
                <w:color w:val="000000"/>
                <w:kern w:val="0"/>
                <w:sz w:val="22"/>
              </w:rPr>
            </w:pPr>
          </w:p>
        </w:tc>
      </w:tr>
      <w:tr w:rsidR="00777ADD" w:rsidRPr="00DB1EE1" w14:paraId="6DCBA188" w14:textId="77777777" w:rsidTr="00777ADD">
        <w:trPr>
          <w:trHeight w:val="256"/>
        </w:trPr>
        <w:tc>
          <w:tcPr>
            <w:tcW w:w="573" w:type="pct"/>
            <w:vMerge w:val="restart"/>
            <w:tcBorders>
              <w:top w:val="nil"/>
              <w:left w:val="nil"/>
              <w:bottom w:val="single" w:sz="4" w:space="0" w:color="000000"/>
              <w:right w:val="nil"/>
            </w:tcBorders>
            <w:shd w:val="clear" w:color="auto" w:fill="auto"/>
            <w:noWrap/>
            <w:vAlign w:val="center"/>
            <w:hideMark/>
          </w:tcPr>
          <w:p w14:paraId="11C9CCF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EALG</w:t>
            </w:r>
          </w:p>
        </w:tc>
        <w:tc>
          <w:tcPr>
            <w:tcW w:w="573" w:type="pct"/>
            <w:tcBorders>
              <w:top w:val="nil"/>
              <w:left w:val="nil"/>
              <w:bottom w:val="single" w:sz="4" w:space="0" w:color="auto"/>
              <w:right w:val="nil"/>
            </w:tcBorders>
            <w:shd w:val="clear" w:color="auto" w:fill="auto"/>
            <w:noWrap/>
            <w:vAlign w:val="center"/>
            <w:hideMark/>
          </w:tcPr>
          <w:p w14:paraId="05C7CFA9"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EALG1</w:t>
            </w:r>
          </w:p>
        </w:tc>
        <w:tc>
          <w:tcPr>
            <w:tcW w:w="827" w:type="pct"/>
            <w:tcBorders>
              <w:top w:val="nil"/>
              <w:left w:val="nil"/>
              <w:bottom w:val="single" w:sz="4" w:space="0" w:color="auto"/>
              <w:right w:val="nil"/>
            </w:tcBorders>
            <w:shd w:val="clear" w:color="auto" w:fill="auto"/>
            <w:noWrap/>
            <w:vAlign w:val="center"/>
            <w:hideMark/>
          </w:tcPr>
          <w:p w14:paraId="5D7629E9"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0.936</w:t>
            </w:r>
          </w:p>
        </w:tc>
        <w:tc>
          <w:tcPr>
            <w:tcW w:w="847" w:type="pct"/>
            <w:vMerge w:val="restart"/>
            <w:tcBorders>
              <w:top w:val="nil"/>
              <w:left w:val="nil"/>
              <w:bottom w:val="single" w:sz="4" w:space="0" w:color="000000"/>
              <w:right w:val="nil"/>
            </w:tcBorders>
            <w:shd w:val="clear" w:color="auto" w:fill="auto"/>
            <w:noWrap/>
            <w:vAlign w:val="center"/>
            <w:hideMark/>
          </w:tcPr>
          <w:p w14:paraId="1932AD3C"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0.915</w:t>
            </w:r>
          </w:p>
        </w:tc>
        <w:tc>
          <w:tcPr>
            <w:tcW w:w="574" w:type="pct"/>
            <w:vMerge w:val="restart"/>
            <w:tcBorders>
              <w:top w:val="nil"/>
              <w:left w:val="nil"/>
              <w:bottom w:val="single" w:sz="4" w:space="0" w:color="000000"/>
              <w:right w:val="nil"/>
            </w:tcBorders>
            <w:shd w:val="clear" w:color="auto" w:fill="auto"/>
            <w:noWrap/>
            <w:vAlign w:val="center"/>
            <w:hideMark/>
          </w:tcPr>
          <w:p w14:paraId="482C8541"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0.916</w:t>
            </w:r>
          </w:p>
        </w:tc>
        <w:tc>
          <w:tcPr>
            <w:tcW w:w="1036" w:type="pct"/>
            <w:vMerge w:val="restart"/>
            <w:tcBorders>
              <w:top w:val="nil"/>
              <w:left w:val="nil"/>
              <w:bottom w:val="single" w:sz="4" w:space="0" w:color="000000"/>
              <w:right w:val="nil"/>
            </w:tcBorders>
            <w:shd w:val="clear" w:color="auto" w:fill="auto"/>
            <w:noWrap/>
            <w:vAlign w:val="center"/>
            <w:hideMark/>
          </w:tcPr>
          <w:p w14:paraId="6F00D9C4"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0.946</w:t>
            </w:r>
          </w:p>
        </w:tc>
        <w:tc>
          <w:tcPr>
            <w:tcW w:w="572" w:type="pct"/>
            <w:vMerge w:val="restart"/>
            <w:tcBorders>
              <w:top w:val="nil"/>
              <w:left w:val="nil"/>
              <w:bottom w:val="single" w:sz="4" w:space="0" w:color="000000"/>
              <w:right w:val="nil"/>
            </w:tcBorders>
            <w:shd w:val="clear" w:color="auto" w:fill="auto"/>
            <w:noWrap/>
            <w:vAlign w:val="center"/>
            <w:hideMark/>
          </w:tcPr>
          <w:p w14:paraId="0EAF152A"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0.855</w:t>
            </w:r>
          </w:p>
        </w:tc>
      </w:tr>
      <w:tr w:rsidR="00777ADD" w:rsidRPr="00DB1EE1" w14:paraId="551BE51D" w14:textId="77777777" w:rsidTr="00777ADD">
        <w:trPr>
          <w:trHeight w:val="256"/>
        </w:trPr>
        <w:tc>
          <w:tcPr>
            <w:tcW w:w="573" w:type="pct"/>
            <w:vMerge/>
            <w:tcBorders>
              <w:top w:val="nil"/>
              <w:left w:val="nil"/>
              <w:bottom w:val="single" w:sz="4" w:space="0" w:color="000000"/>
              <w:right w:val="nil"/>
            </w:tcBorders>
            <w:vAlign w:val="center"/>
            <w:hideMark/>
          </w:tcPr>
          <w:p w14:paraId="3800BDDE"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0F80B103"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EALG2</w:t>
            </w:r>
          </w:p>
        </w:tc>
        <w:tc>
          <w:tcPr>
            <w:tcW w:w="827" w:type="pct"/>
            <w:tcBorders>
              <w:top w:val="nil"/>
              <w:left w:val="nil"/>
              <w:bottom w:val="single" w:sz="4" w:space="0" w:color="auto"/>
              <w:right w:val="nil"/>
            </w:tcBorders>
            <w:shd w:val="clear" w:color="auto" w:fill="auto"/>
            <w:noWrap/>
            <w:vAlign w:val="center"/>
            <w:hideMark/>
          </w:tcPr>
          <w:p w14:paraId="57137EE1"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0.894</w:t>
            </w:r>
          </w:p>
        </w:tc>
        <w:tc>
          <w:tcPr>
            <w:tcW w:w="847" w:type="pct"/>
            <w:vMerge/>
            <w:tcBorders>
              <w:top w:val="nil"/>
              <w:left w:val="nil"/>
              <w:bottom w:val="single" w:sz="4" w:space="0" w:color="000000"/>
              <w:right w:val="nil"/>
            </w:tcBorders>
            <w:vAlign w:val="center"/>
            <w:hideMark/>
          </w:tcPr>
          <w:p w14:paraId="21F75FD2"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2A23CC37"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3A5E140D"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463407CC" w14:textId="77777777" w:rsidR="00777ADD" w:rsidRPr="00DB1EE1" w:rsidRDefault="00777ADD" w:rsidP="00293029">
            <w:pPr>
              <w:widowControl/>
              <w:rPr>
                <w:rFonts w:cs="Times New Roman"/>
                <w:color w:val="000000"/>
                <w:kern w:val="0"/>
                <w:sz w:val="22"/>
              </w:rPr>
            </w:pPr>
          </w:p>
        </w:tc>
      </w:tr>
      <w:tr w:rsidR="00777ADD" w:rsidRPr="00DB1EE1" w14:paraId="2E1E573D" w14:textId="77777777" w:rsidTr="00777ADD">
        <w:trPr>
          <w:trHeight w:val="256"/>
        </w:trPr>
        <w:tc>
          <w:tcPr>
            <w:tcW w:w="573" w:type="pct"/>
            <w:vMerge/>
            <w:tcBorders>
              <w:top w:val="nil"/>
              <w:left w:val="nil"/>
              <w:bottom w:val="single" w:sz="4" w:space="0" w:color="000000"/>
              <w:right w:val="nil"/>
            </w:tcBorders>
            <w:vAlign w:val="center"/>
            <w:hideMark/>
          </w:tcPr>
          <w:p w14:paraId="2A3178BB" w14:textId="77777777" w:rsidR="00777ADD" w:rsidRPr="00DB1EE1" w:rsidRDefault="00777ADD" w:rsidP="00293029">
            <w:pPr>
              <w:widowControl/>
              <w:rPr>
                <w:rFonts w:cs="Times New Roman"/>
                <w:color w:val="000000"/>
                <w:kern w:val="0"/>
                <w:sz w:val="22"/>
              </w:rPr>
            </w:pPr>
          </w:p>
        </w:tc>
        <w:tc>
          <w:tcPr>
            <w:tcW w:w="573" w:type="pct"/>
            <w:tcBorders>
              <w:top w:val="nil"/>
              <w:left w:val="nil"/>
              <w:bottom w:val="single" w:sz="4" w:space="0" w:color="auto"/>
              <w:right w:val="nil"/>
            </w:tcBorders>
            <w:shd w:val="clear" w:color="auto" w:fill="auto"/>
            <w:noWrap/>
            <w:vAlign w:val="center"/>
            <w:hideMark/>
          </w:tcPr>
          <w:p w14:paraId="46F166B0"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EALG3</w:t>
            </w:r>
          </w:p>
        </w:tc>
        <w:tc>
          <w:tcPr>
            <w:tcW w:w="827" w:type="pct"/>
            <w:tcBorders>
              <w:top w:val="nil"/>
              <w:left w:val="nil"/>
              <w:bottom w:val="single" w:sz="4" w:space="0" w:color="auto"/>
              <w:right w:val="nil"/>
            </w:tcBorders>
            <w:shd w:val="clear" w:color="auto" w:fill="auto"/>
            <w:noWrap/>
            <w:vAlign w:val="center"/>
            <w:hideMark/>
          </w:tcPr>
          <w:p w14:paraId="35FD5617" w14:textId="77777777" w:rsidR="00777ADD" w:rsidRPr="00DB1EE1" w:rsidRDefault="00777ADD" w:rsidP="00293029">
            <w:pPr>
              <w:widowControl/>
              <w:jc w:val="center"/>
              <w:rPr>
                <w:rFonts w:cs="Times New Roman"/>
                <w:color w:val="000000"/>
                <w:kern w:val="0"/>
                <w:sz w:val="22"/>
              </w:rPr>
            </w:pPr>
            <w:r w:rsidRPr="00DB1EE1">
              <w:rPr>
                <w:rFonts w:cs="Times New Roman"/>
                <w:color w:val="000000"/>
                <w:kern w:val="0"/>
                <w:sz w:val="22"/>
              </w:rPr>
              <w:t>0.921</w:t>
            </w:r>
          </w:p>
        </w:tc>
        <w:tc>
          <w:tcPr>
            <w:tcW w:w="847" w:type="pct"/>
            <w:vMerge/>
            <w:tcBorders>
              <w:top w:val="nil"/>
              <w:left w:val="nil"/>
              <w:bottom w:val="single" w:sz="4" w:space="0" w:color="000000"/>
              <w:right w:val="nil"/>
            </w:tcBorders>
            <w:vAlign w:val="center"/>
            <w:hideMark/>
          </w:tcPr>
          <w:p w14:paraId="52DC7643" w14:textId="77777777" w:rsidR="00777ADD" w:rsidRPr="00DB1EE1" w:rsidRDefault="00777ADD" w:rsidP="00293029">
            <w:pPr>
              <w:widowControl/>
              <w:rPr>
                <w:rFonts w:cs="Times New Roman"/>
                <w:color w:val="000000"/>
                <w:kern w:val="0"/>
                <w:sz w:val="22"/>
              </w:rPr>
            </w:pPr>
          </w:p>
        </w:tc>
        <w:tc>
          <w:tcPr>
            <w:tcW w:w="574" w:type="pct"/>
            <w:vMerge/>
            <w:tcBorders>
              <w:top w:val="nil"/>
              <w:left w:val="nil"/>
              <w:bottom w:val="single" w:sz="4" w:space="0" w:color="000000"/>
              <w:right w:val="nil"/>
            </w:tcBorders>
            <w:vAlign w:val="center"/>
            <w:hideMark/>
          </w:tcPr>
          <w:p w14:paraId="6EB1D43C" w14:textId="77777777" w:rsidR="00777ADD" w:rsidRPr="00DB1EE1" w:rsidRDefault="00777ADD" w:rsidP="00293029">
            <w:pPr>
              <w:widowControl/>
              <w:rPr>
                <w:rFonts w:cs="Times New Roman"/>
                <w:color w:val="000000"/>
                <w:kern w:val="0"/>
                <w:sz w:val="22"/>
              </w:rPr>
            </w:pPr>
          </w:p>
        </w:tc>
        <w:tc>
          <w:tcPr>
            <w:tcW w:w="1036" w:type="pct"/>
            <w:vMerge/>
            <w:tcBorders>
              <w:top w:val="nil"/>
              <w:left w:val="nil"/>
              <w:bottom w:val="single" w:sz="4" w:space="0" w:color="000000"/>
              <w:right w:val="nil"/>
            </w:tcBorders>
            <w:vAlign w:val="center"/>
            <w:hideMark/>
          </w:tcPr>
          <w:p w14:paraId="3727F137" w14:textId="77777777" w:rsidR="00777ADD" w:rsidRPr="00DB1EE1" w:rsidRDefault="00777ADD" w:rsidP="00293029">
            <w:pPr>
              <w:widowControl/>
              <w:rPr>
                <w:rFonts w:cs="Times New Roman"/>
                <w:color w:val="000000"/>
                <w:kern w:val="0"/>
                <w:sz w:val="22"/>
              </w:rPr>
            </w:pPr>
          </w:p>
        </w:tc>
        <w:tc>
          <w:tcPr>
            <w:tcW w:w="572" w:type="pct"/>
            <w:vMerge/>
            <w:tcBorders>
              <w:top w:val="nil"/>
              <w:left w:val="nil"/>
              <w:bottom w:val="single" w:sz="4" w:space="0" w:color="000000"/>
              <w:right w:val="nil"/>
            </w:tcBorders>
            <w:vAlign w:val="center"/>
            <w:hideMark/>
          </w:tcPr>
          <w:p w14:paraId="125DA8B8" w14:textId="77777777" w:rsidR="00777ADD" w:rsidRPr="00DB1EE1" w:rsidRDefault="00777ADD" w:rsidP="00293029">
            <w:pPr>
              <w:widowControl/>
              <w:rPr>
                <w:rFonts w:cs="Times New Roman"/>
                <w:color w:val="000000"/>
                <w:kern w:val="0"/>
                <w:sz w:val="22"/>
              </w:rPr>
            </w:pPr>
          </w:p>
        </w:tc>
      </w:tr>
    </w:tbl>
    <w:p w14:paraId="7FAB80FC" w14:textId="71804625" w:rsidR="00777ADD" w:rsidRDefault="00777ADD"/>
    <w:p w14:paraId="610FEA5B" w14:textId="3A9E9B12" w:rsidR="00777ADD" w:rsidRDefault="00777ADD"/>
    <w:p w14:paraId="2817C284" w14:textId="3BD063DF" w:rsidR="00777ADD" w:rsidRDefault="00777ADD" w:rsidP="00777ADD">
      <w:pPr>
        <w:pStyle w:val="a8"/>
        <w:keepNext/>
      </w:pPr>
      <w:bookmarkStart w:id="10" w:name="_Ref171711437"/>
      <w:r>
        <w:t xml:space="preserve">table </w:t>
      </w:r>
      <w:fldSimple w:instr=" SEQ table \* ARABIC ">
        <w:r w:rsidR="00103878">
          <w:rPr>
            <w:noProof/>
          </w:rPr>
          <w:t>5</w:t>
        </w:r>
      </w:fldSimple>
      <w:bookmarkEnd w:id="10"/>
      <w:r>
        <w:rPr>
          <w:rFonts w:hint="eastAsia"/>
        </w:rPr>
        <w:t>：區別效度分析</w:t>
      </w:r>
    </w:p>
    <w:tbl>
      <w:tblPr>
        <w:tblW w:w="5000" w:type="pct"/>
        <w:tblCellMar>
          <w:top w:w="15" w:type="dxa"/>
          <w:left w:w="28" w:type="dxa"/>
          <w:bottom w:w="15" w:type="dxa"/>
          <w:right w:w="28" w:type="dxa"/>
        </w:tblCellMar>
        <w:tblLook w:val="04A0" w:firstRow="1" w:lastRow="0" w:firstColumn="1" w:lastColumn="0" w:noHBand="0" w:noVBand="1"/>
      </w:tblPr>
      <w:tblGrid>
        <w:gridCol w:w="1607"/>
        <w:gridCol w:w="1607"/>
        <w:gridCol w:w="1606"/>
        <w:gridCol w:w="1606"/>
        <w:gridCol w:w="1606"/>
        <w:gridCol w:w="1606"/>
      </w:tblGrid>
      <w:tr w:rsidR="00777ADD" w:rsidRPr="00DB1EE1" w14:paraId="4E50FF21" w14:textId="77777777" w:rsidTr="00777ADD">
        <w:trPr>
          <w:trHeight w:val="315"/>
        </w:trPr>
        <w:tc>
          <w:tcPr>
            <w:tcW w:w="834" w:type="pct"/>
            <w:tcBorders>
              <w:top w:val="single" w:sz="4" w:space="0" w:color="000000"/>
              <w:left w:val="nil"/>
              <w:bottom w:val="single" w:sz="4" w:space="0" w:color="000000"/>
              <w:right w:val="nil"/>
            </w:tcBorders>
            <w:noWrap/>
            <w:vAlign w:val="bottom"/>
            <w:hideMark/>
          </w:tcPr>
          <w:p w14:paraId="77E0E004" w14:textId="77777777" w:rsidR="00777ADD" w:rsidRPr="00DB1EE1" w:rsidRDefault="00777ADD" w:rsidP="00293029">
            <w:pPr>
              <w:widowControl/>
              <w:rPr>
                <w:rFonts w:cs="Times New Roman"/>
                <w:kern w:val="0"/>
                <w:szCs w:val="24"/>
              </w:rPr>
            </w:pPr>
          </w:p>
        </w:tc>
        <w:tc>
          <w:tcPr>
            <w:tcW w:w="834" w:type="pct"/>
            <w:tcBorders>
              <w:top w:val="single" w:sz="4" w:space="0" w:color="000000"/>
              <w:left w:val="nil"/>
              <w:bottom w:val="single" w:sz="4" w:space="0" w:color="000000"/>
              <w:right w:val="nil"/>
            </w:tcBorders>
            <w:noWrap/>
            <w:vAlign w:val="bottom"/>
            <w:hideMark/>
          </w:tcPr>
          <w:p w14:paraId="08FEE128"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EALG</w:t>
            </w:r>
          </w:p>
        </w:tc>
        <w:tc>
          <w:tcPr>
            <w:tcW w:w="833" w:type="pct"/>
            <w:tcBorders>
              <w:top w:val="single" w:sz="4" w:space="0" w:color="000000"/>
              <w:left w:val="nil"/>
              <w:bottom w:val="single" w:sz="4" w:space="0" w:color="000000"/>
              <w:right w:val="nil"/>
            </w:tcBorders>
            <w:noWrap/>
            <w:vAlign w:val="bottom"/>
            <w:hideMark/>
          </w:tcPr>
          <w:p w14:paraId="35107DFE"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FU_</w:t>
            </w:r>
          </w:p>
        </w:tc>
        <w:tc>
          <w:tcPr>
            <w:tcW w:w="833" w:type="pct"/>
            <w:tcBorders>
              <w:top w:val="single" w:sz="4" w:space="0" w:color="000000"/>
              <w:left w:val="nil"/>
              <w:bottom w:val="single" w:sz="4" w:space="0" w:color="000000"/>
              <w:right w:val="nil"/>
            </w:tcBorders>
            <w:noWrap/>
            <w:vAlign w:val="bottom"/>
            <w:hideMark/>
          </w:tcPr>
          <w:p w14:paraId="54BE5788"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IC</w:t>
            </w:r>
          </w:p>
        </w:tc>
        <w:tc>
          <w:tcPr>
            <w:tcW w:w="833" w:type="pct"/>
            <w:tcBorders>
              <w:top w:val="single" w:sz="4" w:space="0" w:color="000000"/>
              <w:left w:val="nil"/>
              <w:bottom w:val="single" w:sz="4" w:space="0" w:color="000000"/>
              <w:right w:val="nil"/>
            </w:tcBorders>
            <w:noWrap/>
            <w:vAlign w:val="bottom"/>
            <w:hideMark/>
          </w:tcPr>
          <w:p w14:paraId="2530E994" w14:textId="7AF9BFA4"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PAG</w:t>
            </w:r>
            <w:r w:rsidR="00F65AB9">
              <w:rPr>
                <w:rFonts w:cs="Times New Roman" w:hint="eastAsia"/>
                <w:color w:val="000000"/>
                <w:kern w:val="0"/>
                <w:szCs w:val="24"/>
              </w:rPr>
              <w:t>L</w:t>
            </w:r>
          </w:p>
        </w:tc>
        <w:tc>
          <w:tcPr>
            <w:tcW w:w="833" w:type="pct"/>
            <w:tcBorders>
              <w:top w:val="single" w:sz="4" w:space="0" w:color="000000"/>
              <w:left w:val="nil"/>
              <w:bottom w:val="single" w:sz="4" w:space="0" w:color="000000"/>
              <w:right w:val="nil"/>
            </w:tcBorders>
            <w:noWrap/>
            <w:vAlign w:val="bottom"/>
            <w:hideMark/>
          </w:tcPr>
          <w:p w14:paraId="607D9F31"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RS</w:t>
            </w:r>
          </w:p>
        </w:tc>
      </w:tr>
      <w:tr w:rsidR="00777ADD" w:rsidRPr="00DB1EE1" w14:paraId="64A56C17" w14:textId="77777777" w:rsidTr="00777ADD">
        <w:trPr>
          <w:trHeight w:val="330"/>
        </w:trPr>
        <w:tc>
          <w:tcPr>
            <w:tcW w:w="834" w:type="pct"/>
            <w:tcBorders>
              <w:top w:val="nil"/>
              <w:left w:val="nil"/>
              <w:bottom w:val="nil"/>
              <w:right w:val="nil"/>
            </w:tcBorders>
            <w:noWrap/>
            <w:vAlign w:val="bottom"/>
            <w:hideMark/>
          </w:tcPr>
          <w:p w14:paraId="14587726" w14:textId="77777777" w:rsidR="00777ADD" w:rsidRPr="00DB1EE1" w:rsidRDefault="00777ADD" w:rsidP="00293029">
            <w:pPr>
              <w:widowControl/>
              <w:rPr>
                <w:rFonts w:cs="Times New Roman"/>
                <w:color w:val="000000"/>
                <w:kern w:val="0"/>
                <w:szCs w:val="24"/>
              </w:rPr>
            </w:pPr>
            <w:r w:rsidRPr="00DB1EE1">
              <w:rPr>
                <w:rFonts w:cs="Times New Roman"/>
                <w:color w:val="000000"/>
                <w:kern w:val="0"/>
                <w:szCs w:val="24"/>
              </w:rPr>
              <w:t>EALG</w:t>
            </w:r>
          </w:p>
        </w:tc>
        <w:tc>
          <w:tcPr>
            <w:tcW w:w="834" w:type="pct"/>
            <w:tcBorders>
              <w:top w:val="nil"/>
              <w:left w:val="nil"/>
              <w:bottom w:val="nil"/>
              <w:right w:val="nil"/>
            </w:tcBorders>
            <w:noWrap/>
            <w:vAlign w:val="bottom"/>
            <w:hideMark/>
          </w:tcPr>
          <w:p w14:paraId="20DF9E56" w14:textId="77777777" w:rsidR="00777ADD" w:rsidRPr="00DB1EE1" w:rsidRDefault="00777ADD" w:rsidP="00293029">
            <w:pPr>
              <w:widowControl/>
              <w:jc w:val="center"/>
              <w:rPr>
                <w:rFonts w:cs="Times New Roman"/>
                <w:b/>
                <w:bCs/>
                <w:color w:val="000000"/>
                <w:kern w:val="0"/>
                <w:szCs w:val="24"/>
              </w:rPr>
            </w:pPr>
            <w:r w:rsidRPr="00DB1EE1">
              <w:rPr>
                <w:rFonts w:cs="Times New Roman"/>
                <w:b/>
                <w:bCs/>
                <w:color w:val="000000"/>
                <w:kern w:val="0"/>
                <w:szCs w:val="24"/>
              </w:rPr>
              <w:t>0.917</w:t>
            </w:r>
          </w:p>
        </w:tc>
        <w:tc>
          <w:tcPr>
            <w:tcW w:w="833" w:type="pct"/>
            <w:tcBorders>
              <w:top w:val="nil"/>
              <w:left w:val="nil"/>
              <w:bottom w:val="nil"/>
              <w:right w:val="nil"/>
            </w:tcBorders>
            <w:noWrap/>
            <w:vAlign w:val="bottom"/>
            <w:hideMark/>
          </w:tcPr>
          <w:p w14:paraId="3DC9FF31" w14:textId="77777777" w:rsidR="00777ADD" w:rsidRPr="00DB1EE1" w:rsidRDefault="00777ADD" w:rsidP="00293029">
            <w:pPr>
              <w:widowControl/>
              <w:jc w:val="center"/>
              <w:rPr>
                <w:rFonts w:cs="Times New Roman"/>
                <w:b/>
                <w:bCs/>
                <w:color w:val="000000"/>
                <w:kern w:val="0"/>
                <w:szCs w:val="24"/>
              </w:rPr>
            </w:pPr>
          </w:p>
        </w:tc>
        <w:tc>
          <w:tcPr>
            <w:tcW w:w="833" w:type="pct"/>
            <w:tcBorders>
              <w:top w:val="nil"/>
              <w:left w:val="nil"/>
              <w:bottom w:val="nil"/>
              <w:right w:val="nil"/>
            </w:tcBorders>
            <w:noWrap/>
            <w:vAlign w:val="bottom"/>
            <w:hideMark/>
          </w:tcPr>
          <w:p w14:paraId="094FCC40" w14:textId="77777777" w:rsidR="00777ADD" w:rsidRPr="00DB1EE1" w:rsidRDefault="00777ADD" w:rsidP="00293029">
            <w:pPr>
              <w:widowControl/>
              <w:jc w:val="center"/>
              <w:rPr>
                <w:rFonts w:cs="Times New Roman"/>
                <w:kern w:val="0"/>
                <w:sz w:val="20"/>
                <w:szCs w:val="20"/>
              </w:rPr>
            </w:pPr>
          </w:p>
        </w:tc>
        <w:tc>
          <w:tcPr>
            <w:tcW w:w="833" w:type="pct"/>
            <w:tcBorders>
              <w:top w:val="nil"/>
              <w:left w:val="nil"/>
              <w:bottom w:val="nil"/>
              <w:right w:val="nil"/>
            </w:tcBorders>
            <w:noWrap/>
            <w:vAlign w:val="bottom"/>
            <w:hideMark/>
          </w:tcPr>
          <w:p w14:paraId="555B77BC" w14:textId="77777777" w:rsidR="00777ADD" w:rsidRPr="00DB1EE1" w:rsidRDefault="00777ADD" w:rsidP="00293029">
            <w:pPr>
              <w:widowControl/>
              <w:jc w:val="center"/>
              <w:rPr>
                <w:rFonts w:cs="Times New Roman"/>
                <w:kern w:val="0"/>
                <w:sz w:val="20"/>
                <w:szCs w:val="20"/>
              </w:rPr>
            </w:pPr>
          </w:p>
        </w:tc>
        <w:tc>
          <w:tcPr>
            <w:tcW w:w="833" w:type="pct"/>
            <w:tcBorders>
              <w:top w:val="nil"/>
              <w:left w:val="nil"/>
              <w:bottom w:val="nil"/>
              <w:right w:val="nil"/>
            </w:tcBorders>
            <w:noWrap/>
            <w:vAlign w:val="bottom"/>
            <w:hideMark/>
          </w:tcPr>
          <w:p w14:paraId="310D41E3" w14:textId="77777777" w:rsidR="00777ADD" w:rsidRPr="00DB1EE1" w:rsidRDefault="00777ADD" w:rsidP="00293029">
            <w:pPr>
              <w:widowControl/>
              <w:jc w:val="center"/>
              <w:rPr>
                <w:rFonts w:cs="Times New Roman"/>
                <w:kern w:val="0"/>
                <w:sz w:val="20"/>
                <w:szCs w:val="20"/>
              </w:rPr>
            </w:pPr>
          </w:p>
        </w:tc>
      </w:tr>
      <w:tr w:rsidR="00777ADD" w:rsidRPr="00DB1EE1" w14:paraId="4C251D49" w14:textId="77777777" w:rsidTr="00777ADD">
        <w:trPr>
          <w:trHeight w:val="330"/>
        </w:trPr>
        <w:tc>
          <w:tcPr>
            <w:tcW w:w="834" w:type="pct"/>
            <w:tcBorders>
              <w:top w:val="nil"/>
              <w:left w:val="nil"/>
              <w:bottom w:val="nil"/>
              <w:right w:val="nil"/>
            </w:tcBorders>
            <w:noWrap/>
            <w:vAlign w:val="bottom"/>
            <w:hideMark/>
          </w:tcPr>
          <w:p w14:paraId="3930AB43" w14:textId="77777777" w:rsidR="00777ADD" w:rsidRPr="00DB1EE1" w:rsidRDefault="00777ADD" w:rsidP="00293029">
            <w:pPr>
              <w:widowControl/>
              <w:rPr>
                <w:rFonts w:cs="Times New Roman"/>
                <w:color w:val="000000"/>
                <w:kern w:val="0"/>
                <w:szCs w:val="24"/>
              </w:rPr>
            </w:pPr>
            <w:r w:rsidRPr="00DB1EE1">
              <w:rPr>
                <w:rFonts w:cs="Times New Roman"/>
                <w:color w:val="000000"/>
                <w:kern w:val="0"/>
                <w:szCs w:val="24"/>
              </w:rPr>
              <w:t>FU_</w:t>
            </w:r>
          </w:p>
        </w:tc>
        <w:tc>
          <w:tcPr>
            <w:tcW w:w="834" w:type="pct"/>
            <w:tcBorders>
              <w:top w:val="nil"/>
              <w:left w:val="nil"/>
              <w:bottom w:val="nil"/>
              <w:right w:val="nil"/>
            </w:tcBorders>
            <w:noWrap/>
            <w:vAlign w:val="bottom"/>
            <w:hideMark/>
          </w:tcPr>
          <w:p w14:paraId="1B26FB50"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0.885</w:t>
            </w:r>
          </w:p>
        </w:tc>
        <w:tc>
          <w:tcPr>
            <w:tcW w:w="833" w:type="pct"/>
            <w:tcBorders>
              <w:top w:val="nil"/>
              <w:left w:val="nil"/>
              <w:bottom w:val="nil"/>
              <w:right w:val="nil"/>
            </w:tcBorders>
            <w:noWrap/>
            <w:vAlign w:val="bottom"/>
            <w:hideMark/>
          </w:tcPr>
          <w:p w14:paraId="4183FAF6" w14:textId="77777777" w:rsidR="00777ADD" w:rsidRPr="00DB1EE1" w:rsidRDefault="00777ADD" w:rsidP="00293029">
            <w:pPr>
              <w:widowControl/>
              <w:jc w:val="center"/>
              <w:rPr>
                <w:rFonts w:cs="Times New Roman"/>
                <w:b/>
                <w:bCs/>
                <w:color w:val="000000"/>
                <w:kern w:val="0"/>
                <w:szCs w:val="24"/>
              </w:rPr>
            </w:pPr>
            <w:r w:rsidRPr="00DB1EE1">
              <w:rPr>
                <w:rFonts w:cs="Times New Roman"/>
                <w:b/>
                <w:bCs/>
                <w:color w:val="000000"/>
                <w:kern w:val="0"/>
                <w:szCs w:val="24"/>
              </w:rPr>
              <w:t>0.954</w:t>
            </w:r>
          </w:p>
        </w:tc>
        <w:tc>
          <w:tcPr>
            <w:tcW w:w="833" w:type="pct"/>
            <w:tcBorders>
              <w:top w:val="nil"/>
              <w:left w:val="nil"/>
              <w:bottom w:val="nil"/>
              <w:right w:val="nil"/>
            </w:tcBorders>
            <w:noWrap/>
            <w:vAlign w:val="bottom"/>
            <w:hideMark/>
          </w:tcPr>
          <w:p w14:paraId="7F3F9378" w14:textId="77777777" w:rsidR="00777ADD" w:rsidRPr="00DB1EE1" w:rsidRDefault="00777ADD" w:rsidP="00293029">
            <w:pPr>
              <w:widowControl/>
              <w:jc w:val="center"/>
              <w:rPr>
                <w:rFonts w:cs="Times New Roman"/>
                <w:b/>
                <w:bCs/>
                <w:color w:val="000000"/>
                <w:kern w:val="0"/>
                <w:szCs w:val="24"/>
              </w:rPr>
            </w:pPr>
          </w:p>
        </w:tc>
        <w:tc>
          <w:tcPr>
            <w:tcW w:w="833" w:type="pct"/>
            <w:tcBorders>
              <w:top w:val="nil"/>
              <w:left w:val="nil"/>
              <w:bottom w:val="nil"/>
              <w:right w:val="nil"/>
            </w:tcBorders>
            <w:noWrap/>
            <w:vAlign w:val="bottom"/>
            <w:hideMark/>
          </w:tcPr>
          <w:p w14:paraId="45095635" w14:textId="77777777" w:rsidR="00777ADD" w:rsidRPr="00DB1EE1" w:rsidRDefault="00777ADD" w:rsidP="00293029">
            <w:pPr>
              <w:widowControl/>
              <w:jc w:val="center"/>
              <w:rPr>
                <w:rFonts w:cs="Times New Roman"/>
                <w:kern w:val="0"/>
                <w:sz w:val="20"/>
                <w:szCs w:val="20"/>
              </w:rPr>
            </w:pPr>
          </w:p>
        </w:tc>
        <w:tc>
          <w:tcPr>
            <w:tcW w:w="833" w:type="pct"/>
            <w:tcBorders>
              <w:top w:val="nil"/>
              <w:left w:val="nil"/>
              <w:bottom w:val="nil"/>
              <w:right w:val="nil"/>
            </w:tcBorders>
            <w:noWrap/>
            <w:vAlign w:val="bottom"/>
            <w:hideMark/>
          </w:tcPr>
          <w:p w14:paraId="123D1396" w14:textId="77777777" w:rsidR="00777ADD" w:rsidRPr="00DB1EE1" w:rsidRDefault="00777ADD" w:rsidP="00293029">
            <w:pPr>
              <w:widowControl/>
              <w:jc w:val="center"/>
              <w:rPr>
                <w:rFonts w:cs="Times New Roman"/>
                <w:kern w:val="0"/>
                <w:sz w:val="20"/>
                <w:szCs w:val="20"/>
              </w:rPr>
            </w:pPr>
          </w:p>
        </w:tc>
      </w:tr>
      <w:tr w:rsidR="00777ADD" w:rsidRPr="00DB1EE1" w14:paraId="4A424816" w14:textId="77777777" w:rsidTr="00777ADD">
        <w:trPr>
          <w:trHeight w:val="330"/>
        </w:trPr>
        <w:tc>
          <w:tcPr>
            <w:tcW w:w="834" w:type="pct"/>
            <w:tcBorders>
              <w:top w:val="nil"/>
              <w:left w:val="nil"/>
              <w:bottom w:val="nil"/>
              <w:right w:val="nil"/>
            </w:tcBorders>
            <w:noWrap/>
            <w:vAlign w:val="bottom"/>
            <w:hideMark/>
          </w:tcPr>
          <w:p w14:paraId="46E15169" w14:textId="77777777" w:rsidR="00777ADD" w:rsidRPr="00DB1EE1" w:rsidRDefault="00777ADD" w:rsidP="00293029">
            <w:pPr>
              <w:widowControl/>
              <w:rPr>
                <w:rFonts w:cs="Times New Roman"/>
                <w:color w:val="000000"/>
                <w:kern w:val="0"/>
                <w:szCs w:val="24"/>
              </w:rPr>
            </w:pPr>
            <w:r w:rsidRPr="00DB1EE1">
              <w:rPr>
                <w:rFonts w:cs="Times New Roman"/>
                <w:color w:val="000000"/>
                <w:kern w:val="0"/>
                <w:szCs w:val="24"/>
              </w:rPr>
              <w:t>IC</w:t>
            </w:r>
          </w:p>
        </w:tc>
        <w:tc>
          <w:tcPr>
            <w:tcW w:w="834" w:type="pct"/>
            <w:tcBorders>
              <w:top w:val="nil"/>
              <w:left w:val="nil"/>
              <w:bottom w:val="nil"/>
              <w:right w:val="nil"/>
            </w:tcBorders>
            <w:noWrap/>
            <w:vAlign w:val="bottom"/>
            <w:hideMark/>
          </w:tcPr>
          <w:p w14:paraId="4CFD0575"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0.904</w:t>
            </w:r>
          </w:p>
        </w:tc>
        <w:tc>
          <w:tcPr>
            <w:tcW w:w="833" w:type="pct"/>
            <w:tcBorders>
              <w:top w:val="nil"/>
              <w:left w:val="nil"/>
              <w:bottom w:val="nil"/>
              <w:right w:val="nil"/>
            </w:tcBorders>
            <w:noWrap/>
            <w:vAlign w:val="bottom"/>
            <w:hideMark/>
          </w:tcPr>
          <w:p w14:paraId="21C72AF4"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0.897</w:t>
            </w:r>
          </w:p>
        </w:tc>
        <w:tc>
          <w:tcPr>
            <w:tcW w:w="833" w:type="pct"/>
            <w:tcBorders>
              <w:top w:val="nil"/>
              <w:left w:val="nil"/>
              <w:bottom w:val="nil"/>
              <w:right w:val="nil"/>
            </w:tcBorders>
            <w:noWrap/>
            <w:vAlign w:val="bottom"/>
            <w:hideMark/>
          </w:tcPr>
          <w:p w14:paraId="70C7971F" w14:textId="77777777" w:rsidR="00777ADD" w:rsidRPr="00DB1EE1" w:rsidRDefault="00777ADD" w:rsidP="00293029">
            <w:pPr>
              <w:widowControl/>
              <w:jc w:val="center"/>
              <w:rPr>
                <w:rFonts w:cs="Times New Roman"/>
                <w:b/>
                <w:bCs/>
                <w:color w:val="000000"/>
                <w:kern w:val="0"/>
                <w:szCs w:val="24"/>
              </w:rPr>
            </w:pPr>
            <w:r w:rsidRPr="00DB1EE1">
              <w:rPr>
                <w:rFonts w:cs="Times New Roman"/>
                <w:b/>
                <w:bCs/>
                <w:color w:val="000000"/>
                <w:kern w:val="0"/>
                <w:szCs w:val="24"/>
              </w:rPr>
              <w:t>0.941</w:t>
            </w:r>
          </w:p>
        </w:tc>
        <w:tc>
          <w:tcPr>
            <w:tcW w:w="833" w:type="pct"/>
            <w:tcBorders>
              <w:top w:val="nil"/>
              <w:left w:val="nil"/>
              <w:bottom w:val="nil"/>
              <w:right w:val="nil"/>
            </w:tcBorders>
            <w:noWrap/>
            <w:vAlign w:val="bottom"/>
            <w:hideMark/>
          </w:tcPr>
          <w:p w14:paraId="33FD8137" w14:textId="77777777" w:rsidR="00777ADD" w:rsidRPr="00DB1EE1" w:rsidRDefault="00777ADD" w:rsidP="00293029">
            <w:pPr>
              <w:widowControl/>
              <w:jc w:val="center"/>
              <w:rPr>
                <w:rFonts w:cs="Times New Roman"/>
                <w:b/>
                <w:bCs/>
                <w:color w:val="000000"/>
                <w:kern w:val="0"/>
                <w:szCs w:val="24"/>
              </w:rPr>
            </w:pPr>
          </w:p>
        </w:tc>
        <w:tc>
          <w:tcPr>
            <w:tcW w:w="833" w:type="pct"/>
            <w:tcBorders>
              <w:top w:val="nil"/>
              <w:left w:val="nil"/>
              <w:bottom w:val="nil"/>
              <w:right w:val="nil"/>
            </w:tcBorders>
            <w:noWrap/>
            <w:vAlign w:val="bottom"/>
            <w:hideMark/>
          </w:tcPr>
          <w:p w14:paraId="1F52E5B0" w14:textId="77777777" w:rsidR="00777ADD" w:rsidRPr="00DB1EE1" w:rsidRDefault="00777ADD" w:rsidP="00293029">
            <w:pPr>
              <w:widowControl/>
              <w:jc w:val="center"/>
              <w:rPr>
                <w:rFonts w:cs="Times New Roman"/>
                <w:kern w:val="0"/>
                <w:sz w:val="20"/>
                <w:szCs w:val="20"/>
              </w:rPr>
            </w:pPr>
          </w:p>
        </w:tc>
      </w:tr>
      <w:tr w:rsidR="00777ADD" w:rsidRPr="00DB1EE1" w14:paraId="7EBE4811" w14:textId="77777777" w:rsidTr="00777ADD">
        <w:trPr>
          <w:trHeight w:val="330"/>
        </w:trPr>
        <w:tc>
          <w:tcPr>
            <w:tcW w:w="834" w:type="pct"/>
            <w:tcBorders>
              <w:top w:val="nil"/>
              <w:left w:val="nil"/>
              <w:bottom w:val="nil"/>
              <w:right w:val="nil"/>
            </w:tcBorders>
            <w:noWrap/>
            <w:vAlign w:val="bottom"/>
            <w:hideMark/>
          </w:tcPr>
          <w:p w14:paraId="6BD441D7" w14:textId="684D41D6" w:rsidR="00777ADD" w:rsidRPr="00DB1EE1" w:rsidRDefault="00777ADD" w:rsidP="00293029">
            <w:pPr>
              <w:widowControl/>
              <w:rPr>
                <w:rFonts w:cs="Times New Roman"/>
                <w:color w:val="000000"/>
                <w:kern w:val="0"/>
                <w:szCs w:val="24"/>
              </w:rPr>
            </w:pPr>
            <w:r w:rsidRPr="00DB1EE1">
              <w:rPr>
                <w:rFonts w:cs="Times New Roman"/>
                <w:color w:val="000000"/>
                <w:kern w:val="0"/>
                <w:szCs w:val="24"/>
              </w:rPr>
              <w:t>PAG</w:t>
            </w:r>
            <w:r w:rsidR="00222E4B">
              <w:rPr>
                <w:rFonts w:cs="Times New Roman" w:hint="eastAsia"/>
                <w:color w:val="000000"/>
                <w:kern w:val="0"/>
                <w:szCs w:val="24"/>
              </w:rPr>
              <w:t>L</w:t>
            </w:r>
          </w:p>
        </w:tc>
        <w:tc>
          <w:tcPr>
            <w:tcW w:w="834" w:type="pct"/>
            <w:tcBorders>
              <w:top w:val="nil"/>
              <w:left w:val="nil"/>
              <w:bottom w:val="nil"/>
              <w:right w:val="nil"/>
            </w:tcBorders>
            <w:noWrap/>
            <w:vAlign w:val="bottom"/>
            <w:hideMark/>
          </w:tcPr>
          <w:p w14:paraId="48EECABE"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0.827</w:t>
            </w:r>
          </w:p>
        </w:tc>
        <w:tc>
          <w:tcPr>
            <w:tcW w:w="833" w:type="pct"/>
            <w:tcBorders>
              <w:top w:val="nil"/>
              <w:left w:val="nil"/>
              <w:bottom w:val="nil"/>
              <w:right w:val="nil"/>
            </w:tcBorders>
            <w:noWrap/>
            <w:vAlign w:val="bottom"/>
            <w:hideMark/>
          </w:tcPr>
          <w:p w14:paraId="0BE4BBC2"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0.799</w:t>
            </w:r>
          </w:p>
        </w:tc>
        <w:tc>
          <w:tcPr>
            <w:tcW w:w="833" w:type="pct"/>
            <w:tcBorders>
              <w:top w:val="nil"/>
              <w:left w:val="nil"/>
              <w:bottom w:val="nil"/>
              <w:right w:val="nil"/>
            </w:tcBorders>
            <w:noWrap/>
            <w:vAlign w:val="bottom"/>
            <w:hideMark/>
          </w:tcPr>
          <w:p w14:paraId="6103C80F"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0.833</w:t>
            </w:r>
          </w:p>
        </w:tc>
        <w:tc>
          <w:tcPr>
            <w:tcW w:w="833" w:type="pct"/>
            <w:tcBorders>
              <w:top w:val="nil"/>
              <w:left w:val="nil"/>
              <w:bottom w:val="nil"/>
              <w:right w:val="nil"/>
            </w:tcBorders>
            <w:noWrap/>
            <w:vAlign w:val="bottom"/>
            <w:hideMark/>
          </w:tcPr>
          <w:p w14:paraId="691EC555" w14:textId="77777777" w:rsidR="00777ADD" w:rsidRPr="00DB1EE1" w:rsidRDefault="00777ADD" w:rsidP="00293029">
            <w:pPr>
              <w:widowControl/>
              <w:jc w:val="center"/>
              <w:rPr>
                <w:rFonts w:cs="Times New Roman"/>
                <w:b/>
                <w:bCs/>
                <w:color w:val="000000"/>
                <w:kern w:val="0"/>
                <w:szCs w:val="24"/>
              </w:rPr>
            </w:pPr>
            <w:r w:rsidRPr="00DB1EE1">
              <w:rPr>
                <w:rFonts w:cs="Times New Roman"/>
                <w:b/>
                <w:bCs/>
                <w:color w:val="000000"/>
                <w:kern w:val="0"/>
                <w:szCs w:val="24"/>
              </w:rPr>
              <w:t>0.946</w:t>
            </w:r>
          </w:p>
        </w:tc>
        <w:tc>
          <w:tcPr>
            <w:tcW w:w="833" w:type="pct"/>
            <w:tcBorders>
              <w:top w:val="nil"/>
              <w:left w:val="nil"/>
              <w:bottom w:val="nil"/>
              <w:right w:val="nil"/>
            </w:tcBorders>
            <w:noWrap/>
            <w:vAlign w:val="bottom"/>
            <w:hideMark/>
          </w:tcPr>
          <w:p w14:paraId="5C853E92" w14:textId="77777777" w:rsidR="00777ADD" w:rsidRPr="00DB1EE1" w:rsidRDefault="00777ADD" w:rsidP="00293029">
            <w:pPr>
              <w:widowControl/>
              <w:jc w:val="center"/>
              <w:rPr>
                <w:rFonts w:cs="Times New Roman"/>
                <w:b/>
                <w:bCs/>
                <w:color w:val="000000"/>
                <w:kern w:val="0"/>
                <w:szCs w:val="24"/>
              </w:rPr>
            </w:pPr>
          </w:p>
        </w:tc>
      </w:tr>
      <w:tr w:rsidR="00777ADD" w:rsidRPr="00DB1EE1" w14:paraId="2C56EDB3" w14:textId="77777777" w:rsidTr="00777ADD">
        <w:trPr>
          <w:trHeight w:val="330"/>
        </w:trPr>
        <w:tc>
          <w:tcPr>
            <w:tcW w:w="834" w:type="pct"/>
            <w:tcBorders>
              <w:top w:val="nil"/>
              <w:left w:val="nil"/>
              <w:bottom w:val="single" w:sz="4" w:space="0" w:color="000000"/>
              <w:right w:val="nil"/>
            </w:tcBorders>
            <w:noWrap/>
            <w:vAlign w:val="bottom"/>
            <w:hideMark/>
          </w:tcPr>
          <w:p w14:paraId="64DFBCFE" w14:textId="77777777" w:rsidR="00777ADD" w:rsidRPr="00DB1EE1" w:rsidRDefault="00777ADD" w:rsidP="00293029">
            <w:pPr>
              <w:widowControl/>
              <w:rPr>
                <w:rFonts w:cs="Times New Roman"/>
                <w:color w:val="000000"/>
                <w:kern w:val="0"/>
                <w:szCs w:val="24"/>
              </w:rPr>
            </w:pPr>
            <w:r w:rsidRPr="00DB1EE1">
              <w:rPr>
                <w:rFonts w:cs="Times New Roman"/>
                <w:color w:val="000000"/>
                <w:kern w:val="0"/>
                <w:szCs w:val="24"/>
              </w:rPr>
              <w:t>RS</w:t>
            </w:r>
          </w:p>
        </w:tc>
        <w:tc>
          <w:tcPr>
            <w:tcW w:w="834" w:type="pct"/>
            <w:tcBorders>
              <w:top w:val="nil"/>
              <w:left w:val="nil"/>
              <w:bottom w:val="single" w:sz="4" w:space="0" w:color="000000"/>
              <w:right w:val="nil"/>
            </w:tcBorders>
            <w:noWrap/>
            <w:vAlign w:val="bottom"/>
            <w:hideMark/>
          </w:tcPr>
          <w:p w14:paraId="7662502F"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0.861</w:t>
            </w:r>
          </w:p>
        </w:tc>
        <w:tc>
          <w:tcPr>
            <w:tcW w:w="833" w:type="pct"/>
            <w:tcBorders>
              <w:top w:val="nil"/>
              <w:left w:val="nil"/>
              <w:bottom w:val="single" w:sz="4" w:space="0" w:color="000000"/>
              <w:right w:val="nil"/>
            </w:tcBorders>
            <w:noWrap/>
            <w:vAlign w:val="bottom"/>
            <w:hideMark/>
          </w:tcPr>
          <w:p w14:paraId="34AB1B34"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0.865</w:t>
            </w:r>
          </w:p>
        </w:tc>
        <w:tc>
          <w:tcPr>
            <w:tcW w:w="833" w:type="pct"/>
            <w:tcBorders>
              <w:top w:val="nil"/>
              <w:left w:val="nil"/>
              <w:bottom w:val="single" w:sz="4" w:space="0" w:color="000000"/>
              <w:right w:val="nil"/>
            </w:tcBorders>
            <w:noWrap/>
            <w:vAlign w:val="bottom"/>
            <w:hideMark/>
          </w:tcPr>
          <w:p w14:paraId="233F64BF"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0.857</w:t>
            </w:r>
          </w:p>
        </w:tc>
        <w:tc>
          <w:tcPr>
            <w:tcW w:w="833" w:type="pct"/>
            <w:tcBorders>
              <w:top w:val="nil"/>
              <w:left w:val="nil"/>
              <w:bottom w:val="single" w:sz="4" w:space="0" w:color="000000"/>
              <w:right w:val="nil"/>
            </w:tcBorders>
            <w:noWrap/>
            <w:vAlign w:val="bottom"/>
            <w:hideMark/>
          </w:tcPr>
          <w:p w14:paraId="5208B878" w14:textId="77777777" w:rsidR="00777ADD" w:rsidRPr="00DB1EE1" w:rsidRDefault="00777ADD" w:rsidP="00293029">
            <w:pPr>
              <w:widowControl/>
              <w:jc w:val="center"/>
              <w:rPr>
                <w:rFonts w:cs="Times New Roman"/>
                <w:color w:val="000000"/>
                <w:kern w:val="0"/>
                <w:szCs w:val="24"/>
              </w:rPr>
            </w:pPr>
            <w:r w:rsidRPr="00DB1EE1">
              <w:rPr>
                <w:rFonts w:cs="Times New Roman"/>
                <w:color w:val="000000"/>
                <w:kern w:val="0"/>
                <w:szCs w:val="24"/>
              </w:rPr>
              <w:t>0.844</w:t>
            </w:r>
          </w:p>
        </w:tc>
        <w:tc>
          <w:tcPr>
            <w:tcW w:w="833" w:type="pct"/>
            <w:tcBorders>
              <w:top w:val="nil"/>
              <w:left w:val="nil"/>
              <w:bottom w:val="single" w:sz="4" w:space="0" w:color="000000"/>
              <w:right w:val="nil"/>
            </w:tcBorders>
            <w:noWrap/>
            <w:vAlign w:val="bottom"/>
            <w:hideMark/>
          </w:tcPr>
          <w:p w14:paraId="3399BF91" w14:textId="77777777" w:rsidR="00777ADD" w:rsidRPr="00DB1EE1" w:rsidRDefault="00777ADD" w:rsidP="00293029">
            <w:pPr>
              <w:widowControl/>
              <w:jc w:val="center"/>
              <w:rPr>
                <w:rFonts w:cs="Times New Roman"/>
                <w:b/>
                <w:bCs/>
                <w:color w:val="000000"/>
                <w:kern w:val="0"/>
                <w:szCs w:val="24"/>
              </w:rPr>
            </w:pPr>
            <w:r w:rsidRPr="00DB1EE1">
              <w:rPr>
                <w:rFonts w:cs="Times New Roman"/>
                <w:b/>
                <w:bCs/>
                <w:color w:val="000000"/>
                <w:kern w:val="0"/>
                <w:szCs w:val="24"/>
              </w:rPr>
              <w:t>0.924</w:t>
            </w:r>
          </w:p>
        </w:tc>
      </w:tr>
    </w:tbl>
    <w:p w14:paraId="71AFDE99" w14:textId="02FB845A" w:rsidR="00777ADD" w:rsidRDefault="00777ADD"/>
    <w:p w14:paraId="34D4DAAE" w14:textId="5E755166" w:rsidR="00D91737" w:rsidRDefault="00D91737" w:rsidP="00D91737">
      <w:pPr>
        <w:pStyle w:val="3"/>
      </w:pPr>
      <w:r>
        <w:rPr>
          <w:rFonts w:hint="eastAsia"/>
        </w:rPr>
        <w:t>路徑係數分析</w:t>
      </w:r>
    </w:p>
    <w:p w14:paraId="0B04CECF" w14:textId="5CF4D237" w:rsidR="00165A84" w:rsidRDefault="008440CA" w:rsidP="00D91737">
      <w:r>
        <w:fldChar w:fldCharType="begin"/>
      </w:r>
      <w:r>
        <w:instrText xml:space="preserve"> </w:instrText>
      </w:r>
      <w:r>
        <w:rPr>
          <w:rFonts w:hint="eastAsia"/>
        </w:rPr>
        <w:instrText>REF _Ref171711551 \h</w:instrText>
      </w:r>
      <w:r>
        <w:instrText xml:space="preserve"> </w:instrText>
      </w:r>
      <w:r>
        <w:fldChar w:fldCharType="separate"/>
      </w:r>
      <w:r w:rsidR="00103878">
        <w:t xml:space="preserve">Fig </w:t>
      </w:r>
      <w:r w:rsidR="00103878">
        <w:rPr>
          <w:noProof/>
        </w:rPr>
        <w:t>8</w:t>
      </w:r>
      <w:r>
        <w:fldChar w:fldCharType="end"/>
      </w:r>
      <w:r>
        <w:rPr>
          <w:rFonts w:hint="eastAsia"/>
        </w:rPr>
        <w:t>與</w:t>
      </w:r>
      <w:r>
        <w:fldChar w:fldCharType="begin"/>
      </w:r>
      <w:r>
        <w:instrText xml:space="preserve"> REF _Ref171711561 \h </w:instrText>
      </w:r>
      <w:r>
        <w:fldChar w:fldCharType="separate"/>
      </w:r>
      <w:r w:rsidR="00103878">
        <w:t xml:space="preserve">table </w:t>
      </w:r>
      <w:r w:rsidR="00103878">
        <w:rPr>
          <w:noProof/>
        </w:rPr>
        <w:t>6</w:t>
      </w:r>
      <w:r>
        <w:fldChar w:fldCharType="end"/>
      </w:r>
      <w:r w:rsidR="00D91737">
        <w:rPr>
          <w:rFonts w:hint="eastAsia"/>
        </w:rPr>
        <w:t>呈現了本研究進行假設及結構方程模型</w:t>
      </w:r>
      <w:r w:rsidR="00CC0CDE">
        <w:rPr>
          <w:rFonts w:hint="eastAsia"/>
        </w:rPr>
        <w:t>(</w:t>
      </w:r>
      <w:r w:rsidR="00CC0CDE">
        <w:t>SEM)</w:t>
      </w:r>
      <w:r w:rsidR="00D91737">
        <w:rPr>
          <w:rFonts w:hint="eastAsia"/>
        </w:rPr>
        <w:t>分析的結果。這些結果不僅反映了潛在變數之間的關係強度和方向，也展示了測量模型的品質。通過分析這些數值，我們可以評估研究假設的顯著程度，並瞭解各構念在模型中的測量效果。這些估計結果為我們理解研究變數之間的複雜關係提供了重要依據。</w:t>
      </w:r>
    </w:p>
    <w:p w14:paraId="153B73AC" w14:textId="63FD35DA" w:rsidR="00D91737" w:rsidRDefault="00165A84" w:rsidP="00D91737">
      <w:pPr>
        <w:keepNext/>
      </w:pPr>
      <w:r>
        <w:rPr>
          <w:noProof/>
        </w:rPr>
        <w:lastRenderedPageBreak/>
        <w:drawing>
          <wp:inline distT="0" distB="0" distL="0" distR="0" wp14:anchorId="46AD958C" wp14:editId="3CDF77A1">
            <wp:extent cx="6108065" cy="3218815"/>
            <wp:effectExtent l="0" t="0" r="698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065" cy="3218815"/>
                    </a:xfrm>
                    <a:prstGeom prst="rect">
                      <a:avLst/>
                    </a:prstGeom>
                    <a:noFill/>
                    <a:ln>
                      <a:noFill/>
                    </a:ln>
                  </pic:spPr>
                </pic:pic>
              </a:graphicData>
            </a:graphic>
          </wp:inline>
        </w:drawing>
      </w:r>
    </w:p>
    <w:p w14:paraId="51677E0C" w14:textId="45BAD181" w:rsidR="00777ADD" w:rsidRDefault="00D91737" w:rsidP="00D91737">
      <w:pPr>
        <w:pStyle w:val="a8"/>
        <w:jc w:val="center"/>
      </w:pPr>
      <w:bookmarkStart w:id="11" w:name="_Ref171711551"/>
      <w:r>
        <w:t xml:space="preserve">Fig </w:t>
      </w:r>
      <w:fldSimple w:instr=" SEQ Fig \* ARABIC ">
        <w:r w:rsidR="00103878">
          <w:rPr>
            <w:noProof/>
          </w:rPr>
          <w:t>8</w:t>
        </w:r>
      </w:fldSimple>
      <w:bookmarkEnd w:id="11"/>
      <w:r>
        <w:rPr>
          <w:rFonts w:hint="eastAsia"/>
        </w:rPr>
        <w:t>：研究模型圖</w:t>
      </w:r>
    </w:p>
    <w:p w14:paraId="07908784" w14:textId="77777777" w:rsidR="00777ADD" w:rsidRDefault="00777ADD"/>
    <w:p w14:paraId="5ED468EF" w14:textId="6D7B83D4" w:rsidR="007C0706" w:rsidRDefault="007C0706" w:rsidP="007C0706">
      <w:pPr>
        <w:pStyle w:val="a8"/>
        <w:keepNext/>
      </w:pPr>
      <w:bookmarkStart w:id="12" w:name="_Ref171711561"/>
      <w:r>
        <w:t xml:space="preserve">table </w:t>
      </w:r>
      <w:fldSimple w:instr=" SEQ table \* ARABIC ">
        <w:r w:rsidR="00103878">
          <w:rPr>
            <w:noProof/>
          </w:rPr>
          <w:t>6</w:t>
        </w:r>
      </w:fldSimple>
      <w:bookmarkEnd w:id="12"/>
      <w:r>
        <w:rPr>
          <w:rFonts w:hint="eastAsia"/>
        </w:rPr>
        <w:t>：研究假設結果</w:t>
      </w:r>
    </w:p>
    <w:tbl>
      <w:tblPr>
        <w:tblW w:w="5000" w:type="pct"/>
        <w:tblLayout w:type="fixed"/>
        <w:tblCellMar>
          <w:top w:w="15" w:type="dxa"/>
          <w:left w:w="28" w:type="dxa"/>
          <w:bottom w:w="15" w:type="dxa"/>
          <w:right w:w="28" w:type="dxa"/>
        </w:tblCellMar>
        <w:tblLook w:val="04A0" w:firstRow="1" w:lastRow="0" w:firstColumn="1" w:lastColumn="0" w:noHBand="0" w:noVBand="1"/>
      </w:tblPr>
      <w:tblGrid>
        <w:gridCol w:w="1159"/>
        <w:gridCol w:w="2044"/>
        <w:gridCol w:w="1935"/>
        <w:gridCol w:w="686"/>
        <w:gridCol w:w="605"/>
        <w:gridCol w:w="1056"/>
        <w:gridCol w:w="605"/>
        <w:gridCol w:w="1548"/>
      </w:tblGrid>
      <w:tr w:rsidR="00D91737" w:rsidRPr="00DB1EE1" w14:paraId="3FD56CF8" w14:textId="77777777" w:rsidTr="007C0706">
        <w:trPr>
          <w:trHeight w:val="348"/>
        </w:trPr>
        <w:tc>
          <w:tcPr>
            <w:tcW w:w="601" w:type="pct"/>
            <w:tcBorders>
              <w:top w:val="single" w:sz="4" w:space="0" w:color="000000"/>
              <w:left w:val="nil"/>
              <w:bottom w:val="single" w:sz="4" w:space="0" w:color="000000"/>
              <w:right w:val="nil"/>
            </w:tcBorders>
            <w:noWrap/>
            <w:hideMark/>
          </w:tcPr>
          <w:p w14:paraId="71C8EB64"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Hypothesis</w:t>
            </w:r>
          </w:p>
        </w:tc>
        <w:tc>
          <w:tcPr>
            <w:tcW w:w="1060" w:type="pct"/>
            <w:tcBorders>
              <w:top w:val="single" w:sz="4" w:space="0" w:color="000000"/>
              <w:left w:val="nil"/>
              <w:bottom w:val="single" w:sz="4" w:space="0" w:color="000000"/>
              <w:right w:val="nil"/>
            </w:tcBorders>
            <w:noWrap/>
            <w:hideMark/>
          </w:tcPr>
          <w:p w14:paraId="43FB4F51"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Path</w:t>
            </w:r>
          </w:p>
        </w:tc>
        <w:tc>
          <w:tcPr>
            <w:tcW w:w="1004" w:type="pct"/>
            <w:tcBorders>
              <w:top w:val="single" w:sz="4" w:space="0" w:color="000000"/>
              <w:left w:val="nil"/>
              <w:bottom w:val="single" w:sz="4" w:space="0" w:color="000000"/>
              <w:right w:val="nil"/>
            </w:tcBorders>
            <w:noWrap/>
            <w:hideMark/>
          </w:tcPr>
          <w:p w14:paraId="1B1EB729" w14:textId="77777777" w:rsidR="00D91737" w:rsidRPr="00DB1EE1" w:rsidRDefault="00D91737" w:rsidP="00293029">
            <w:pPr>
              <w:widowControl/>
              <w:jc w:val="center"/>
              <w:rPr>
                <w:rFonts w:cs="Times New Roman"/>
                <w:color w:val="444444"/>
                <w:kern w:val="0"/>
                <w:sz w:val="22"/>
              </w:rPr>
            </w:pPr>
            <w:r w:rsidRPr="00DB1EE1">
              <w:rPr>
                <w:rFonts w:cs="Times New Roman"/>
                <w:color w:val="000000"/>
                <w:kern w:val="0"/>
                <w:szCs w:val="24"/>
              </w:rPr>
              <w:t>Path Coefficient(β)</w:t>
            </w:r>
          </w:p>
        </w:tc>
        <w:tc>
          <w:tcPr>
            <w:tcW w:w="356" w:type="pct"/>
            <w:tcBorders>
              <w:top w:val="single" w:sz="4" w:space="0" w:color="000000"/>
              <w:left w:val="nil"/>
              <w:bottom w:val="single" w:sz="4" w:space="0" w:color="000000"/>
              <w:right w:val="nil"/>
            </w:tcBorders>
            <w:noWrap/>
            <w:hideMark/>
          </w:tcPr>
          <w:p w14:paraId="0465667B" w14:textId="77777777" w:rsidR="00D91737" w:rsidRPr="00DB1EE1" w:rsidRDefault="00D91737" w:rsidP="00293029">
            <w:pPr>
              <w:widowControl/>
              <w:jc w:val="center"/>
              <w:rPr>
                <w:rFonts w:cs="Times New Roman"/>
                <w:color w:val="444444"/>
                <w:kern w:val="0"/>
                <w:sz w:val="22"/>
              </w:rPr>
            </w:pPr>
            <w:r w:rsidRPr="00DB1EE1">
              <w:rPr>
                <w:rFonts w:cs="Times New Roman"/>
                <w:color w:val="444444"/>
                <w:kern w:val="0"/>
                <w:sz w:val="22"/>
              </w:rPr>
              <w:t>Mean</w:t>
            </w:r>
          </w:p>
        </w:tc>
        <w:tc>
          <w:tcPr>
            <w:tcW w:w="314" w:type="pct"/>
            <w:tcBorders>
              <w:top w:val="single" w:sz="4" w:space="0" w:color="000000"/>
              <w:left w:val="nil"/>
              <w:bottom w:val="single" w:sz="4" w:space="0" w:color="000000"/>
              <w:right w:val="nil"/>
            </w:tcBorders>
            <w:noWrap/>
            <w:hideMark/>
          </w:tcPr>
          <w:p w14:paraId="41193435" w14:textId="77777777" w:rsidR="00D91737" w:rsidRPr="00DB1EE1" w:rsidRDefault="00D91737" w:rsidP="00293029">
            <w:pPr>
              <w:widowControl/>
              <w:jc w:val="center"/>
              <w:rPr>
                <w:rFonts w:cs="Times New Roman"/>
                <w:color w:val="444444"/>
                <w:kern w:val="0"/>
                <w:sz w:val="22"/>
              </w:rPr>
            </w:pPr>
            <w:r w:rsidRPr="00DB1EE1">
              <w:rPr>
                <w:rFonts w:cs="Times New Roman"/>
                <w:color w:val="444444"/>
                <w:kern w:val="0"/>
                <w:sz w:val="22"/>
              </w:rPr>
              <w:t>SD</w:t>
            </w:r>
          </w:p>
        </w:tc>
        <w:tc>
          <w:tcPr>
            <w:tcW w:w="548" w:type="pct"/>
            <w:tcBorders>
              <w:top w:val="single" w:sz="4" w:space="0" w:color="000000"/>
              <w:left w:val="nil"/>
              <w:bottom w:val="single" w:sz="4" w:space="0" w:color="000000"/>
              <w:right w:val="nil"/>
            </w:tcBorders>
            <w:noWrap/>
            <w:hideMark/>
          </w:tcPr>
          <w:p w14:paraId="7EF49F94" w14:textId="77777777" w:rsidR="00D91737" w:rsidRPr="00DB1EE1" w:rsidRDefault="00D91737" w:rsidP="00293029">
            <w:pPr>
              <w:widowControl/>
              <w:jc w:val="center"/>
              <w:rPr>
                <w:rFonts w:cs="Times New Roman"/>
                <w:color w:val="444444"/>
                <w:kern w:val="0"/>
                <w:sz w:val="22"/>
              </w:rPr>
            </w:pPr>
            <w:r w:rsidRPr="00DB1EE1">
              <w:rPr>
                <w:rFonts w:cs="Times New Roman"/>
                <w:color w:val="444444"/>
                <w:kern w:val="0"/>
                <w:sz w:val="22"/>
              </w:rPr>
              <w:t>T Statistics</w:t>
            </w:r>
          </w:p>
        </w:tc>
        <w:tc>
          <w:tcPr>
            <w:tcW w:w="314" w:type="pct"/>
            <w:tcBorders>
              <w:top w:val="single" w:sz="4" w:space="0" w:color="000000"/>
              <w:left w:val="nil"/>
              <w:bottom w:val="single" w:sz="4" w:space="0" w:color="000000"/>
              <w:right w:val="nil"/>
            </w:tcBorders>
            <w:noWrap/>
            <w:hideMark/>
          </w:tcPr>
          <w:p w14:paraId="099AF82A"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P</w:t>
            </w:r>
          </w:p>
        </w:tc>
        <w:tc>
          <w:tcPr>
            <w:tcW w:w="803" w:type="pct"/>
            <w:tcBorders>
              <w:top w:val="single" w:sz="4" w:space="0" w:color="000000"/>
              <w:left w:val="nil"/>
              <w:bottom w:val="single" w:sz="4" w:space="0" w:color="000000"/>
              <w:right w:val="nil"/>
            </w:tcBorders>
            <w:noWrap/>
            <w:hideMark/>
          </w:tcPr>
          <w:p w14:paraId="192F1F6E" w14:textId="77777777" w:rsidR="00D91737" w:rsidRPr="00DB1EE1" w:rsidRDefault="00D91737" w:rsidP="00293029">
            <w:pPr>
              <w:widowControl/>
              <w:jc w:val="center"/>
              <w:rPr>
                <w:rFonts w:cs="Times New Roman"/>
                <w:color w:val="000000"/>
                <w:kern w:val="0"/>
                <w:szCs w:val="24"/>
              </w:rPr>
            </w:pPr>
            <w:r w:rsidRPr="00DB1EE1">
              <w:rPr>
                <w:rFonts w:cs="Times New Roman" w:hint="eastAsia"/>
                <w:color w:val="000000"/>
                <w:kern w:val="0"/>
                <w:szCs w:val="24"/>
              </w:rPr>
              <w:t>R</w:t>
            </w:r>
            <w:r w:rsidRPr="00DB1EE1">
              <w:rPr>
                <w:rFonts w:cs="Times New Roman"/>
                <w:color w:val="000000"/>
                <w:kern w:val="0"/>
                <w:szCs w:val="24"/>
              </w:rPr>
              <w:t>esult</w:t>
            </w:r>
          </w:p>
        </w:tc>
      </w:tr>
      <w:tr w:rsidR="00D91737" w:rsidRPr="00DB1EE1" w14:paraId="17B0F545" w14:textId="77777777" w:rsidTr="007C0706">
        <w:trPr>
          <w:trHeight w:val="348"/>
        </w:trPr>
        <w:tc>
          <w:tcPr>
            <w:tcW w:w="601" w:type="pct"/>
            <w:tcBorders>
              <w:top w:val="nil"/>
              <w:left w:val="nil"/>
              <w:bottom w:val="nil"/>
              <w:right w:val="nil"/>
            </w:tcBorders>
            <w:noWrap/>
            <w:hideMark/>
          </w:tcPr>
          <w:p w14:paraId="79C22DCC"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H1</w:t>
            </w:r>
          </w:p>
        </w:tc>
        <w:tc>
          <w:tcPr>
            <w:tcW w:w="1060" w:type="pct"/>
            <w:tcBorders>
              <w:top w:val="nil"/>
              <w:left w:val="nil"/>
              <w:bottom w:val="nil"/>
              <w:right w:val="nil"/>
            </w:tcBorders>
            <w:noWrap/>
            <w:hideMark/>
          </w:tcPr>
          <w:p w14:paraId="2963E4CB" w14:textId="171B17AA" w:rsidR="00D91737" w:rsidRPr="00DB1EE1" w:rsidRDefault="00D91737" w:rsidP="00293029">
            <w:pPr>
              <w:snapToGrid w:val="0"/>
              <w:rPr>
                <w:rFonts w:cs="新細明體"/>
                <w:kern w:val="0"/>
                <w:szCs w:val="24"/>
              </w:rPr>
            </w:pPr>
            <w:r w:rsidRPr="00DB1EE1">
              <w:rPr>
                <w:rFonts w:cs="Times New Roman"/>
                <w:color w:val="000000"/>
                <w:kern w:val="0"/>
                <w:szCs w:val="24"/>
              </w:rPr>
              <w:t>PAG</w:t>
            </w:r>
            <w:r w:rsidR="00165A84">
              <w:rPr>
                <w:rFonts w:cs="Times New Roman" w:hint="eastAsia"/>
                <w:color w:val="000000"/>
                <w:kern w:val="0"/>
                <w:szCs w:val="24"/>
              </w:rPr>
              <w:t>L</w:t>
            </w:r>
            <w:r w:rsidRPr="00DB1EE1">
              <w:rPr>
                <w:rFonts w:cs="新細明體"/>
                <w:kern w:val="0"/>
                <w:szCs w:val="24"/>
              </w:rPr>
              <w:sym w:font="Wingdings" w:char="F0E0"/>
            </w:r>
            <w:r w:rsidRPr="00DB1EE1">
              <w:rPr>
                <w:rFonts w:cs="Times New Roman"/>
                <w:color w:val="000000"/>
                <w:kern w:val="0"/>
                <w:szCs w:val="24"/>
              </w:rPr>
              <w:t>RS</w:t>
            </w:r>
          </w:p>
        </w:tc>
        <w:tc>
          <w:tcPr>
            <w:tcW w:w="1004" w:type="pct"/>
            <w:tcBorders>
              <w:top w:val="nil"/>
              <w:left w:val="nil"/>
              <w:bottom w:val="nil"/>
              <w:right w:val="nil"/>
            </w:tcBorders>
            <w:noWrap/>
            <w:hideMark/>
          </w:tcPr>
          <w:p w14:paraId="784D18FC"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0.844</w:t>
            </w:r>
          </w:p>
        </w:tc>
        <w:tc>
          <w:tcPr>
            <w:tcW w:w="356" w:type="pct"/>
            <w:tcBorders>
              <w:top w:val="nil"/>
              <w:left w:val="nil"/>
              <w:bottom w:val="nil"/>
              <w:right w:val="nil"/>
            </w:tcBorders>
            <w:noWrap/>
            <w:hideMark/>
          </w:tcPr>
          <w:p w14:paraId="40C46233"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0.844</w:t>
            </w:r>
          </w:p>
        </w:tc>
        <w:tc>
          <w:tcPr>
            <w:tcW w:w="314" w:type="pct"/>
            <w:tcBorders>
              <w:top w:val="nil"/>
              <w:left w:val="nil"/>
              <w:bottom w:val="nil"/>
              <w:right w:val="nil"/>
            </w:tcBorders>
            <w:noWrap/>
            <w:hideMark/>
          </w:tcPr>
          <w:p w14:paraId="48F812AC"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0.039</w:t>
            </w:r>
          </w:p>
        </w:tc>
        <w:tc>
          <w:tcPr>
            <w:tcW w:w="548" w:type="pct"/>
            <w:tcBorders>
              <w:top w:val="nil"/>
              <w:left w:val="nil"/>
              <w:bottom w:val="nil"/>
              <w:right w:val="nil"/>
            </w:tcBorders>
            <w:noWrap/>
            <w:hideMark/>
          </w:tcPr>
          <w:p w14:paraId="6FF129A5"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21.658</w:t>
            </w:r>
          </w:p>
        </w:tc>
        <w:tc>
          <w:tcPr>
            <w:tcW w:w="314" w:type="pct"/>
            <w:tcBorders>
              <w:top w:val="nil"/>
              <w:left w:val="nil"/>
              <w:bottom w:val="nil"/>
              <w:right w:val="nil"/>
            </w:tcBorders>
            <w:noWrap/>
            <w:hideMark/>
          </w:tcPr>
          <w:p w14:paraId="11D7A4FE"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w:t>
            </w:r>
            <w:r w:rsidRPr="00DB1EE1">
              <w:rPr>
                <w:rFonts w:cs="Times New Roman" w:hint="eastAsia"/>
                <w:color w:val="000000"/>
                <w:kern w:val="0"/>
                <w:szCs w:val="24"/>
              </w:rPr>
              <w:t>.000</w:t>
            </w:r>
          </w:p>
        </w:tc>
        <w:tc>
          <w:tcPr>
            <w:tcW w:w="803" w:type="pct"/>
            <w:tcBorders>
              <w:top w:val="nil"/>
              <w:left w:val="nil"/>
              <w:bottom w:val="nil"/>
              <w:right w:val="nil"/>
            </w:tcBorders>
            <w:noWrap/>
            <w:hideMark/>
          </w:tcPr>
          <w:p w14:paraId="18E1561A"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Significant</w:t>
            </w:r>
          </w:p>
        </w:tc>
      </w:tr>
      <w:tr w:rsidR="00D91737" w:rsidRPr="00DB1EE1" w14:paraId="691B62E8" w14:textId="77777777" w:rsidTr="007C0706">
        <w:trPr>
          <w:trHeight w:val="348"/>
        </w:trPr>
        <w:tc>
          <w:tcPr>
            <w:tcW w:w="601" w:type="pct"/>
            <w:tcBorders>
              <w:top w:val="nil"/>
              <w:left w:val="nil"/>
              <w:bottom w:val="nil"/>
              <w:right w:val="nil"/>
            </w:tcBorders>
            <w:noWrap/>
            <w:hideMark/>
          </w:tcPr>
          <w:p w14:paraId="7ABE1907"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H2</w:t>
            </w:r>
          </w:p>
        </w:tc>
        <w:tc>
          <w:tcPr>
            <w:tcW w:w="1060" w:type="pct"/>
            <w:tcBorders>
              <w:top w:val="nil"/>
              <w:left w:val="nil"/>
              <w:bottom w:val="nil"/>
              <w:right w:val="nil"/>
            </w:tcBorders>
            <w:noWrap/>
            <w:hideMark/>
          </w:tcPr>
          <w:p w14:paraId="69D30DE3" w14:textId="77777777" w:rsidR="00D91737" w:rsidRPr="00DB1EE1" w:rsidRDefault="00D91737" w:rsidP="00293029">
            <w:pPr>
              <w:snapToGrid w:val="0"/>
              <w:rPr>
                <w:rFonts w:cs="新細明體"/>
                <w:kern w:val="0"/>
                <w:szCs w:val="24"/>
              </w:rPr>
            </w:pPr>
            <w:r w:rsidRPr="00DB1EE1">
              <w:rPr>
                <w:rFonts w:cs="Times New Roman"/>
                <w:color w:val="000000"/>
                <w:kern w:val="0"/>
                <w:szCs w:val="24"/>
              </w:rPr>
              <w:t>RS</w:t>
            </w:r>
            <w:r w:rsidRPr="00DB1EE1">
              <w:rPr>
                <w:rFonts w:cs="新細明體"/>
                <w:kern w:val="0"/>
                <w:szCs w:val="24"/>
              </w:rPr>
              <w:sym w:font="Wingdings" w:char="F0E0"/>
            </w:r>
            <w:r w:rsidRPr="00DB1EE1">
              <w:rPr>
                <w:rFonts w:cs="Times New Roman"/>
                <w:color w:val="000000"/>
                <w:kern w:val="0"/>
                <w:szCs w:val="24"/>
              </w:rPr>
              <w:t>IC</w:t>
            </w:r>
          </w:p>
        </w:tc>
        <w:tc>
          <w:tcPr>
            <w:tcW w:w="1004" w:type="pct"/>
            <w:tcBorders>
              <w:top w:val="nil"/>
              <w:left w:val="nil"/>
              <w:bottom w:val="nil"/>
              <w:right w:val="nil"/>
            </w:tcBorders>
            <w:noWrap/>
            <w:hideMark/>
          </w:tcPr>
          <w:p w14:paraId="60C8B07A"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0.857</w:t>
            </w:r>
          </w:p>
        </w:tc>
        <w:tc>
          <w:tcPr>
            <w:tcW w:w="356" w:type="pct"/>
            <w:tcBorders>
              <w:top w:val="nil"/>
              <w:left w:val="nil"/>
              <w:bottom w:val="nil"/>
              <w:right w:val="nil"/>
            </w:tcBorders>
            <w:noWrap/>
            <w:hideMark/>
          </w:tcPr>
          <w:p w14:paraId="0E27318F"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0.857</w:t>
            </w:r>
          </w:p>
        </w:tc>
        <w:tc>
          <w:tcPr>
            <w:tcW w:w="314" w:type="pct"/>
            <w:tcBorders>
              <w:top w:val="nil"/>
              <w:left w:val="nil"/>
              <w:bottom w:val="nil"/>
              <w:right w:val="nil"/>
            </w:tcBorders>
            <w:noWrap/>
            <w:hideMark/>
          </w:tcPr>
          <w:p w14:paraId="10A4EA62"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0.041</w:t>
            </w:r>
          </w:p>
        </w:tc>
        <w:tc>
          <w:tcPr>
            <w:tcW w:w="548" w:type="pct"/>
            <w:tcBorders>
              <w:top w:val="nil"/>
              <w:left w:val="nil"/>
              <w:bottom w:val="nil"/>
              <w:right w:val="nil"/>
            </w:tcBorders>
            <w:noWrap/>
            <w:hideMark/>
          </w:tcPr>
          <w:p w14:paraId="21C06441"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20.980</w:t>
            </w:r>
          </w:p>
        </w:tc>
        <w:tc>
          <w:tcPr>
            <w:tcW w:w="314" w:type="pct"/>
            <w:tcBorders>
              <w:top w:val="nil"/>
              <w:left w:val="nil"/>
              <w:bottom w:val="nil"/>
              <w:right w:val="nil"/>
            </w:tcBorders>
            <w:noWrap/>
            <w:hideMark/>
          </w:tcPr>
          <w:p w14:paraId="6CD2E35C"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w:t>
            </w:r>
            <w:r w:rsidRPr="00DB1EE1">
              <w:rPr>
                <w:rFonts w:cs="Times New Roman" w:hint="eastAsia"/>
                <w:color w:val="000000"/>
                <w:kern w:val="0"/>
                <w:szCs w:val="24"/>
              </w:rPr>
              <w:t>.000</w:t>
            </w:r>
          </w:p>
        </w:tc>
        <w:tc>
          <w:tcPr>
            <w:tcW w:w="803" w:type="pct"/>
            <w:tcBorders>
              <w:top w:val="nil"/>
              <w:left w:val="nil"/>
              <w:bottom w:val="nil"/>
              <w:right w:val="nil"/>
            </w:tcBorders>
            <w:noWrap/>
            <w:hideMark/>
          </w:tcPr>
          <w:p w14:paraId="716920C7"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Significant</w:t>
            </w:r>
          </w:p>
        </w:tc>
      </w:tr>
      <w:tr w:rsidR="00D91737" w:rsidRPr="00DB1EE1" w14:paraId="1C62AA82" w14:textId="77777777" w:rsidTr="007C0706">
        <w:trPr>
          <w:trHeight w:val="348"/>
        </w:trPr>
        <w:tc>
          <w:tcPr>
            <w:tcW w:w="601" w:type="pct"/>
            <w:tcBorders>
              <w:top w:val="nil"/>
              <w:left w:val="nil"/>
              <w:bottom w:val="nil"/>
              <w:right w:val="nil"/>
            </w:tcBorders>
            <w:noWrap/>
            <w:hideMark/>
          </w:tcPr>
          <w:p w14:paraId="5AAE5EC8"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H3</w:t>
            </w:r>
          </w:p>
        </w:tc>
        <w:tc>
          <w:tcPr>
            <w:tcW w:w="1060" w:type="pct"/>
            <w:tcBorders>
              <w:top w:val="nil"/>
              <w:left w:val="nil"/>
              <w:bottom w:val="nil"/>
              <w:right w:val="nil"/>
            </w:tcBorders>
            <w:noWrap/>
            <w:hideMark/>
          </w:tcPr>
          <w:p w14:paraId="6E770C33" w14:textId="6FD3D81D" w:rsidR="00D91737" w:rsidRPr="00DB1EE1" w:rsidRDefault="00D91737" w:rsidP="00293029">
            <w:pPr>
              <w:snapToGrid w:val="0"/>
              <w:rPr>
                <w:rFonts w:cs="新細明體"/>
                <w:kern w:val="0"/>
                <w:szCs w:val="24"/>
              </w:rPr>
            </w:pPr>
            <w:r w:rsidRPr="00DB1EE1">
              <w:rPr>
                <w:rFonts w:cs="Times New Roman"/>
                <w:color w:val="000000"/>
                <w:kern w:val="0"/>
                <w:szCs w:val="24"/>
              </w:rPr>
              <w:t>PAG</w:t>
            </w:r>
            <w:r w:rsidR="00165A84">
              <w:rPr>
                <w:rFonts w:cs="Times New Roman" w:hint="eastAsia"/>
                <w:color w:val="000000"/>
                <w:kern w:val="0"/>
                <w:szCs w:val="24"/>
              </w:rPr>
              <w:t>L</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nil"/>
              <w:right w:val="nil"/>
            </w:tcBorders>
            <w:noWrap/>
            <w:hideMark/>
          </w:tcPr>
          <w:p w14:paraId="681BEFCB"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0.212</w:t>
            </w:r>
          </w:p>
        </w:tc>
        <w:tc>
          <w:tcPr>
            <w:tcW w:w="356" w:type="pct"/>
            <w:tcBorders>
              <w:top w:val="nil"/>
              <w:left w:val="nil"/>
              <w:bottom w:val="nil"/>
              <w:right w:val="nil"/>
            </w:tcBorders>
            <w:noWrap/>
            <w:hideMark/>
          </w:tcPr>
          <w:p w14:paraId="12CB34E9"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0.207</w:t>
            </w:r>
          </w:p>
        </w:tc>
        <w:tc>
          <w:tcPr>
            <w:tcW w:w="314" w:type="pct"/>
            <w:tcBorders>
              <w:top w:val="nil"/>
              <w:left w:val="nil"/>
              <w:bottom w:val="nil"/>
              <w:right w:val="nil"/>
            </w:tcBorders>
            <w:noWrap/>
            <w:hideMark/>
          </w:tcPr>
          <w:p w14:paraId="18B99348"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0.102</w:t>
            </w:r>
          </w:p>
        </w:tc>
        <w:tc>
          <w:tcPr>
            <w:tcW w:w="548" w:type="pct"/>
            <w:tcBorders>
              <w:top w:val="nil"/>
              <w:left w:val="nil"/>
              <w:bottom w:val="nil"/>
              <w:right w:val="nil"/>
            </w:tcBorders>
            <w:noWrap/>
            <w:hideMark/>
          </w:tcPr>
          <w:p w14:paraId="2253F352"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2.081</w:t>
            </w:r>
          </w:p>
        </w:tc>
        <w:tc>
          <w:tcPr>
            <w:tcW w:w="314" w:type="pct"/>
            <w:tcBorders>
              <w:top w:val="nil"/>
              <w:left w:val="nil"/>
              <w:bottom w:val="nil"/>
              <w:right w:val="nil"/>
            </w:tcBorders>
            <w:noWrap/>
            <w:hideMark/>
          </w:tcPr>
          <w:p w14:paraId="09AA532E"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0.038</w:t>
            </w:r>
          </w:p>
        </w:tc>
        <w:tc>
          <w:tcPr>
            <w:tcW w:w="803" w:type="pct"/>
            <w:tcBorders>
              <w:top w:val="nil"/>
              <w:left w:val="nil"/>
              <w:bottom w:val="nil"/>
              <w:right w:val="nil"/>
            </w:tcBorders>
            <w:noWrap/>
            <w:hideMark/>
          </w:tcPr>
          <w:p w14:paraId="6645BCA3"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Significant</w:t>
            </w:r>
          </w:p>
        </w:tc>
      </w:tr>
      <w:tr w:rsidR="00D91737" w:rsidRPr="00DB1EE1" w14:paraId="23677351" w14:textId="77777777" w:rsidTr="007C0706">
        <w:trPr>
          <w:trHeight w:val="348"/>
        </w:trPr>
        <w:tc>
          <w:tcPr>
            <w:tcW w:w="601" w:type="pct"/>
            <w:tcBorders>
              <w:top w:val="nil"/>
              <w:left w:val="nil"/>
              <w:bottom w:val="nil"/>
              <w:right w:val="nil"/>
            </w:tcBorders>
            <w:noWrap/>
            <w:hideMark/>
          </w:tcPr>
          <w:p w14:paraId="10340948"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H4</w:t>
            </w:r>
          </w:p>
        </w:tc>
        <w:tc>
          <w:tcPr>
            <w:tcW w:w="1060" w:type="pct"/>
            <w:tcBorders>
              <w:top w:val="nil"/>
              <w:left w:val="nil"/>
              <w:bottom w:val="nil"/>
              <w:right w:val="nil"/>
            </w:tcBorders>
            <w:noWrap/>
            <w:hideMark/>
          </w:tcPr>
          <w:p w14:paraId="3754D0A5" w14:textId="77777777" w:rsidR="00D91737" w:rsidRPr="00DB1EE1" w:rsidRDefault="00D91737" w:rsidP="00293029">
            <w:pPr>
              <w:snapToGrid w:val="0"/>
              <w:rPr>
                <w:rFonts w:cs="新細明體"/>
                <w:kern w:val="0"/>
                <w:szCs w:val="24"/>
              </w:rPr>
            </w:pPr>
            <w:r w:rsidRPr="00DB1EE1">
              <w:rPr>
                <w:rFonts w:cs="Times New Roman"/>
                <w:color w:val="000000"/>
                <w:kern w:val="0"/>
                <w:szCs w:val="24"/>
              </w:rPr>
              <w:t>RS</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nil"/>
              <w:right w:val="nil"/>
            </w:tcBorders>
            <w:noWrap/>
            <w:hideMark/>
          </w:tcPr>
          <w:p w14:paraId="4BD51A57"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0.094</w:t>
            </w:r>
          </w:p>
        </w:tc>
        <w:tc>
          <w:tcPr>
            <w:tcW w:w="356" w:type="pct"/>
            <w:tcBorders>
              <w:top w:val="nil"/>
              <w:left w:val="nil"/>
              <w:bottom w:val="nil"/>
              <w:right w:val="nil"/>
            </w:tcBorders>
            <w:noWrap/>
            <w:hideMark/>
          </w:tcPr>
          <w:p w14:paraId="4960519F"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0.095</w:t>
            </w:r>
          </w:p>
        </w:tc>
        <w:tc>
          <w:tcPr>
            <w:tcW w:w="314" w:type="pct"/>
            <w:tcBorders>
              <w:top w:val="nil"/>
              <w:left w:val="nil"/>
              <w:bottom w:val="nil"/>
              <w:right w:val="nil"/>
            </w:tcBorders>
            <w:noWrap/>
            <w:hideMark/>
          </w:tcPr>
          <w:p w14:paraId="0F282EAF"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0.127</w:t>
            </w:r>
          </w:p>
        </w:tc>
        <w:tc>
          <w:tcPr>
            <w:tcW w:w="548" w:type="pct"/>
            <w:tcBorders>
              <w:top w:val="nil"/>
              <w:left w:val="nil"/>
              <w:bottom w:val="nil"/>
              <w:right w:val="nil"/>
            </w:tcBorders>
            <w:noWrap/>
            <w:hideMark/>
          </w:tcPr>
          <w:p w14:paraId="1393B4F6"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0.742</w:t>
            </w:r>
          </w:p>
        </w:tc>
        <w:tc>
          <w:tcPr>
            <w:tcW w:w="314" w:type="pct"/>
            <w:tcBorders>
              <w:top w:val="nil"/>
              <w:left w:val="nil"/>
              <w:bottom w:val="nil"/>
              <w:right w:val="nil"/>
            </w:tcBorders>
            <w:noWrap/>
            <w:hideMark/>
          </w:tcPr>
          <w:p w14:paraId="2491FC7D"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0.458</w:t>
            </w:r>
          </w:p>
        </w:tc>
        <w:tc>
          <w:tcPr>
            <w:tcW w:w="803" w:type="pct"/>
            <w:tcBorders>
              <w:top w:val="nil"/>
              <w:left w:val="nil"/>
              <w:bottom w:val="nil"/>
              <w:right w:val="nil"/>
            </w:tcBorders>
            <w:noWrap/>
            <w:hideMark/>
          </w:tcPr>
          <w:p w14:paraId="0F9006F4"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Not Significant</w:t>
            </w:r>
          </w:p>
        </w:tc>
      </w:tr>
      <w:tr w:rsidR="00D91737" w:rsidRPr="00DB1EE1" w14:paraId="4CE9A4EE" w14:textId="77777777" w:rsidTr="007C0706">
        <w:trPr>
          <w:trHeight w:val="348"/>
        </w:trPr>
        <w:tc>
          <w:tcPr>
            <w:tcW w:w="601" w:type="pct"/>
            <w:tcBorders>
              <w:top w:val="nil"/>
              <w:left w:val="nil"/>
              <w:bottom w:val="nil"/>
              <w:right w:val="nil"/>
            </w:tcBorders>
            <w:noWrap/>
            <w:hideMark/>
          </w:tcPr>
          <w:p w14:paraId="52BFB880"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H5</w:t>
            </w:r>
          </w:p>
        </w:tc>
        <w:tc>
          <w:tcPr>
            <w:tcW w:w="1060" w:type="pct"/>
            <w:tcBorders>
              <w:top w:val="nil"/>
              <w:left w:val="nil"/>
              <w:bottom w:val="nil"/>
              <w:right w:val="nil"/>
            </w:tcBorders>
            <w:noWrap/>
            <w:hideMark/>
          </w:tcPr>
          <w:p w14:paraId="2015EAAE" w14:textId="77777777" w:rsidR="00D91737" w:rsidRPr="00DB1EE1" w:rsidRDefault="00D91737" w:rsidP="00293029">
            <w:pPr>
              <w:snapToGrid w:val="0"/>
              <w:rPr>
                <w:rFonts w:cs="新細明體"/>
                <w:kern w:val="0"/>
                <w:szCs w:val="24"/>
              </w:rPr>
            </w:pPr>
            <w:r w:rsidRPr="00DB1EE1">
              <w:rPr>
                <w:rFonts w:cs="Times New Roman"/>
                <w:color w:val="000000"/>
                <w:kern w:val="0"/>
                <w:szCs w:val="24"/>
              </w:rPr>
              <w:t>IC</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nil"/>
              <w:right w:val="nil"/>
            </w:tcBorders>
            <w:noWrap/>
            <w:hideMark/>
          </w:tcPr>
          <w:p w14:paraId="03D8E96F"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0.436</w:t>
            </w:r>
          </w:p>
        </w:tc>
        <w:tc>
          <w:tcPr>
            <w:tcW w:w="356" w:type="pct"/>
            <w:tcBorders>
              <w:top w:val="nil"/>
              <w:left w:val="nil"/>
              <w:bottom w:val="nil"/>
              <w:right w:val="nil"/>
            </w:tcBorders>
            <w:noWrap/>
            <w:hideMark/>
          </w:tcPr>
          <w:p w14:paraId="33800118"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0.418</w:t>
            </w:r>
          </w:p>
        </w:tc>
        <w:tc>
          <w:tcPr>
            <w:tcW w:w="314" w:type="pct"/>
            <w:tcBorders>
              <w:top w:val="nil"/>
              <w:left w:val="nil"/>
              <w:bottom w:val="nil"/>
              <w:right w:val="nil"/>
            </w:tcBorders>
            <w:noWrap/>
            <w:hideMark/>
          </w:tcPr>
          <w:p w14:paraId="50B6D148"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0.102</w:t>
            </w:r>
          </w:p>
        </w:tc>
        <w:tc>
          <w:tcPr>
            <w:tcW w:w="548" w:type="pct"/>
            <w:tcBorders>
              <w:top w:val="nil"/>
              <w:left w:val="nil"/>
              <w:bottom w:val="nil"/>
              <w:right w:val="nil"/>
            </w:tcBorders>
            <w:noWrap/>
            <w:hideMark/>
          </w:tcPr>
          <w:p w14:paraId="10878FA6"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4.271</w:t>
            </w:r>
          </w:p>
        </w:tc>
        <w:tc>
          <w:tcPr>
            <w:tcW w:w="314" w:type="pct"/>
            <w:tcBorders>
              <w:top w:val="nil"/>
              <w:left w:val="nil"/>
              <w:bottom w:val="nil"/>
              <w:right w:val="nil"/>
            </w:tcBorders>
            <w:noWrap/>
            <w:hideMark/>
          </w:tcPr>
          <w:p w14:paraId="3B9E9AA3"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w:t>
            </w:r>
            <w:r w:rsidRPr="00DB1EE1">
              <w:rPr>
                <w:rFonts w:cs="Times New Roman" w:hint="eastAsia"/>
                <w:color w:val="000000"/>
                <w:kern w:val="0"/>
                <w:szCs w:val="24"/>
              </w:rPr>
              <w:t>.000</w:t>
            </w:r>
          </w:p>
        </w:tc>
        <w:tc>
          <w:tcPr>
            <w:tcW w:w="803" w:type="pct"/>
            <w:tcBorders>
              <w:top w:val="nil"/>
              <w:left w:val="nil"/>
              <w:bottom w:val="nil"/>
              <w:right w:val="nil"/>
            </w:tcBorders>
            <w:noWrap/>
            <w:hideMark/>
          </w:tcPr>
          <w:p w14:paraId="4E9F360E"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Significant</w:t>
            </w:r>
          </w:p>
        </w:tc>
      </w:tr>
      <w:tr w:rsidR="00D91737" w:rsidRPr="00DB1EE1" w14:paraId="49CA5650" w14:textId="77777777" w:rsidTr="007C0706">
        <w:trPr>
          <w:trHeight w:val="348"/>
        </w:trPr>
        <w:tc>
          <w:tcPr>
            <w:tcW w:w="601" w:type="pct"/>
            <w:tcBorders>
              <w:top w:val="nil"/>
              <w:left w:val="nil"/>
              <w:bottom w:val="nil"/>
              <w:right w:val="nil"/>
            </w:tcBorders>
            <w:noWrap/>
            <w:hideMark/>
          </w:tcPr>
          <w:p w14:paraId="3A69233D"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H6</w:t>
            </w:r>
          </w:p>
        </w:tc>
        <w:tc>
          <w:tcPr>
            <w:tcW w:w="1060" w:type="pct"/>
            <w:tcBorders>
              <w:top w:val="nil"/>
              <w:left w:val="nil"/>
              <w:bottom w:val="nil"/>
              <w:right w:val="nil"/>
            </w:tcBorders>
            <w:noWrap/>
            <w:hideMark/>
          </w:tcPr>
          <w:p w14:paraId="6E79C0C3" w14:textId="5C9833C2" w:rsidR="00D91737" w:rsidRPr="00DB1EE1" w:rsidRDefault="00D91737" w:rsidP="00293029">
            <w:pPr>
              <w:snapToGrid w:val="0"/>
              <w:rPr>
                <w:rFonts w:cs="新細明體"/>
                <w:kern w:val="0"/>
                <w:szCs w:val="24"/>
              </w:rPr>
            </w:pPr>
            <w:r w:rsidRPr="00DB1EE1">
              <w:rPr>
                <w:rFonts w:cs="Times New Roman"/>
                <w:color w:val="000000"/>
                <w:kern w:val="0"/>
                <w:szCs w:val="24"/>
              </w:rPr>
              <w:t>PAG</w:t>
            </w:r>
            <w:r w:rsidR="00165A84">
              <w:rPr>
                <w:rFonts w:cs="Times New Roman" w:hint="eastAsia"/>
                <w:color w:val="000000"/>
                <w:kern w:val="0"/>
                <w:szCs w:val="24"/>
              </w:rPr>
              <w:t>L</w:t>
            </w:r>
            <w:r w:rsidRPr="00DB1EE1">
              <w:rPr>
                <w:rFonts w:cs="Times New Roman"/>
                <w:color w:val="000000"/>
                <w:kern w:val="0"/>
                <w:szCs w:val="24"/>
              </w:rPr>
              <w:t>*FU</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nil"/>
              <w:right w:val="nil"/>
            </w:tcBorders>
            <w:noWrap/>
            <w:hideMark/>
          </w:tcPr>
          <w:p w14:paraId="4FE4DE5E"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0.007</w:t>
            </w:r>
          </w:p>
        </w:tc>
        <w:tc>
          <w:tcPr>
            <w:tcW w:w="356" w:type="pct"/>
            <w:tcBorders>
              <w:top w:val="nil"/>
              <w:left w:val="nil"/>
              <w:bottom w:val="nil"/>
              <w:right w:val="nil"/>
            </w:tcBorders>
            <w:noWrap/>
            <w:hideMark/>
          </w:tcPr>
          <w:p w14:paraId="1A339AC9"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-0.002</w:t>
            </w:r>
          </w:p>
        </w:tc>
        <w:tc>
          <w:tcPr>
            <w:tcW w:w="314" w:type="pct"/>
            <w:tcBorders>
              <w:top w:val="nil"/>
              <w:left w:val="nil"/>
              <w:bottom w:val="nil"/>
              <w:right w:val="nil"/>
            </w:tcBorders>
            <w:noWrap/>
            <w:hideMark/>
          </w:tcPr>
          <w:p w14:paraId="48C5D44E"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0.104</w:t>
            </w:r>
          </w:p>
        </w:tc>
        <w:tc>
          <w:tcPr>
            <w:tcW w:w="548" w:type="pct"/>
            <w:tcBorders>
              <w:top w:val="nil"/>
              <w:left w:val="nil"/>
              <w:bottom w:val="nil"/>
              <w:right w:val="nil"/>
            </w:tcBorders>
            <w:noWrap/>
            <w:hideMark/>
          </w:tcPr>
          <w:p w14:paraId="686E9285"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0.063</w:t>
            </w:r>
          </w:p>
        </w:tc>
        <w:tc>
          <w:tcPr>
            <w:tcW w:w="314" w:type="pct"/>
            <w:tcBorders>
              <w:top w:val="nil"/>
              <w:left w:val="nil"/>
              <w:bottom w:val="nil"/>
              <w:right w:val="nil"/>
            </w:tcBorders>
            <w:noWrap/>
            <w:hideMark/>
          </w:tcPr>
          <w:p w14:paraId="74F7DE84"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0.949</w:t>
            </w:r>
          </w:p>
        </w:tc>
        <w:tc>
          <w:tcPr>
            <w:tcW w:w="803" w:type="pct"/>
            <w:tcBorders>
              <w:top w:val="nil"/>
              <w:left w:val="nil"/>
              <w:bottom w:val="nil"/>
              <w:right w:val="nil"/>
            </w:tcBorders>
            <w:noWrap/>
            <w:hideMark/>
          </w:tcPr>
          <w:p w14:paraId="642064DD"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Not Significant</w:t>
            </w:r>
          </w:p>
        </w:tc>
      </w:tr>
      <w:tr w:rsidR="00D91737" w:rsidRPr="00DB1EE1" w14:paraId="34DEB50B" w14:textId="77777777" w:rsidTr="007C0706">
        <w:trPr>
          <w:trHeight w:val="348"/>
        </w:trPr>
        <w:tc>
          <w:tcPr>
            <w:tcW w:w="601" w:type="pct"/>
            <w:tcBorders>
              <w:top w:val="nil"/>
              <w:left w:val="nil"/>
              <w:bottom w:val="nil"/>
              <w:right w:val="nil"/>
            </w:tcBorders>
            <w:noWrap/>
            <w:hideMark/>
          </w:tcPr>
          <w:p w14:paraId="725E27B5"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H7</w:t>
            </w:r>
          </w:p>
        </w:tc>
        <w:tc>
          <w:tcPr>
            <w:tcW w:w="1060" w:type="pct"/>
            <w:tcBorders>
              <w:top w:val="nil"/>
              <w:left w:val="nil"/>
              <w:bottom w:val="nil"/>
              <w:right w:val="nil"/>
            </w:tcBorders>
            <w:noWrap/>
            <w:hideMark/>
          </w:tcPr>
          <w:p w14:paraId="21263322" w14:textId="77777777" w:rsidR="00D91737" w:rsidRPr="00DB1EE1" w:rsidRDefault="00D91737" w:rsidP="00293029">
            <w:pPr>
              <w:snapToGrid w:val="0"/>
              <w:rPr>
                <w:rFonts w:cs="新細明體"/>
                <w:kern w:val="0"/>
                <w:szCs w:val="24"/>
              </w:rPr>
            </w:pPr>
            <w:r w:rsidRPr="00DB1EE1">
              <w:rPr>
                <w:rFonts w:cs="Times New Roman"/>
                <w:color w:val="000000"/>
                <w:kern w:val="0"/>
                <w:szCs w:val="24"/>
              </w:rPr>
              <w:t>RS*FU</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nil"/>
              <w:right w:val="nil"/>
            </w:tcBorders>
            <w:noWrap/>
            <w:hideMark/>
          </w:tcPr>
          <w:p w14:paraId="518453E0"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-0.207</w:t>
            </w:r>
          </w:p>
        </w:tc>
        <w:tc>
          <w:tcPr>
            <w:tcW w:w="356" w:type="pct"/>
            <w:tcBorders>
              <w:top w:val="nil"/>
              <w:left w:val="nil"/>
              <w:bottom w:val="nil"/>
              <w:right w:val="nil"/>
            </w:tcBorders>
            <w:noWrap/>
            <w:hideMark/>
          </w:tcPr>
          <w:p w14:paraId="5C929EE0"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-0.157</w:t>
            </w:r>
          </w:p>
        </w:tc>
        <w:tc>
          <w:tcPr>
            <w:tcW w:w="314" w:type="pct"/>
            <w:tcBorders>
              <w:top w:val="nil"/>
              <w:left w:val="nil"/>
              <w:bottom w:val="nil"/>
              <w:right w:val="nil"/>
            </w:tcBorders>
            <w:noWrap/>
            <w:hideMark/>
          </w:tcPr>
          <w:p w14:paraId="7FE5E3CB"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0.131</w:t>
            </w:r>
          </w:p>
        </w:tc>
        <w:tc>
          <w:tcPr>
            <w:tcW w:w="548" w:type="pct"/>
            <w:tcBorders>
              <w:top w:val="nil"/>
              <w:left w:val="nil"/>
              <w:bottom w:val="nil"/>
              <w:right w:val="nil"/>
            </w:tcBorders>
            <w:noWrap/>
            <w:hideMark/>
          </w:tcPr>
          <w:p w14:paraId="3160DC95"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1.582</w:t>
            </w:r>
          </w:p>
        </w:tc>
        <w:tc>
          <w:tcPr>
            <w:tcW w:w="314" w:type="pct"/>
            <w:tcBorders>
              <w:top w:val="nil"/>
              <w:left w:val="nil"/>
              <w:bottom w:val="nil"/>
              <w:right w:val="nil"/>
            </w:tcBorders>
            <w:noWrap/>
            <w:hideMark/>
          </w:tcPr>
          <w:p w14:paraId="6BFB0117"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0.114</w:t>
            </w:r>
          </w:p>
        </w:tc>
        <w:tc>
          <w:tcPr>
            <w:tcW w:w="803" w:type="pct"/>
            <w:tcBorders>
              <w:top w:val="nil"/>
              <w:left w:val="nil"/>
              <w:bottom w:val="nil"/>
              <w:right w:val="nil"/>
            </w:tcBorders>
            <w:noWrap/>
            <w:hideMark/>
          </w:tcPr>
          <w:p w14:paraId="1765BBB4"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Not Significant</w:t>
            </w:r>
          </w:p>
        </w:tc>
      </w:tr>
      <w:tr w:rsidR="00D91737" w:rsidRPr="00DB1EE1" w14:paraId="4983772E" w14:textId="77777777" w:rsidTr="007C0706">
        <w:trPr>
          <w:trHeight w:val="51"/>
        </w:trPr>
        <w:tc>
          <w:tcPr>
            <w:tcW w:w="601" w:type="pct"/>
            <w:tcBorders>
              <w:top w:val="nil"/>
              <w:left w:val="nil"/>
              <w:bottom w:val="single" w:sz="4" w:space="0" w:color="000000"/>
              <w:right w:val="nil"/>
            </w:tcBorders>
            <w:noWrap/>
            <w:hideMark/>
          </w:tcPr>
          <w:p w14:paraId="5ED439DD"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H8</w:t>
            </w:r>
          </w:p>
        </w:tc>
        <w:tc>
          <w:tcPr>
            <w:tcW w:w="1060" w:type="pct"/>
            <w:tcBorders>
              <w:top w:val="nil"/>
              <w:left w:val="nil"/>
              <w:bottom w:val="single" w:sz="4" w:space="0" w:color="000000"/>
              <w:right w:val="nil"/>
            </w:tcBorders>
            <w:noWrap/>
            <w:hideMark/>
          </w:tcPr>
          <w:p w14:paraId="0EBCCF72" w14:textId="77777777" w:rsidR="00D91737" w:rsidRPr="00DB1EE1" w:rsidRDefault="00D91737" w:rsidP="00293029">
            <w:pPr>
              <w:snapToGrid w:val="0"/>
              <w:rPr>
                <w:rFonts w:cs="新細明體"/>
                <w:kern w:val="0"/>
                <w:szCs w:val="24"/>
              </w:rPr>
            </w:pPr>
            <w:r w:rsidRPr="00DB1EE1">
              <w:rPr>
                <w:rFonts w:cs="Times New Roman"/>
                <w:color w:val="000000"/>
                <w:kern w:val="0"/>
                <w:szCs w:val="24"/>
              </w:rPr>
              <w:t>IC*FU</w:t>
            </w:r>
            <w:r w:rsidRPr="00DB1EE1">
              <w:rPr>
                <w:rFonts w:cs="新細明體"/>
                <w:kern w:val="0"/>
                <w:szCs w:val="24"/>
              </w:rPr>
              <w:sym w:font="Wingdings" w:char="F0E0"/>
            </w:r>
            <w:r w:rsidRPr="00DB1EE1">
              <w:rPr>
                <w:rFonts w:cs="Times New Roman"/>
                <w:color w:val="000000"/>
                <w:kern w:val="0"/>
                <w:szCs w:val="24"/>
              </w:rPr>
              <w:t>EALG</w:t>
            </w:r>
          </w:p>
        </w:tc>
        <w:tc>
          <w:tcPr>
            <w:tcW w:w="1004" w:type="pct"/>
            <w:tcBorders>
              <w:top w:val="nil"/>
              <w:left w:val="nil"/>
              <w:bottom w:val="single" w:sz="4" w:space="0" w:color="000000"/>
              <w:right w:val="nil"/>
            </w:tcBorders>
            <w:noWrap/>
            <w:hideMark/>
          </w:tcPr>
          <w:p w14:paraId="7C6EFB10"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0.203</w:t>
            </w:r>
          </w:p>
        </w:tc>
        <w:tc>
          <w:tcPr>
            <w:tcW w:w="356" w:type="pct"/>
            <w:tcBorders>
              <w:top w:val="nil"/>
              <w:left w:val="nil"/>
              <w:bottom w:val="single" w:sz="4" w:space="0" w:color="000000"/>
              <w:right w:val="nil"/>
            </w:tcBorders>
            <w:noWrap/>
            <w:hideMark/>
          </w:tcPr>
          <w:p w14:paraId="48A28CEC"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0.162</w:t>
            </w:r>
          </w:p>
        </w:tc>
        <w:tc>
          <w:tcPr>
            <w:tcW w:w="314" w:type="pct"/>
            <w:tcBorders>
              <w:top w:val="nil"/>
              <w:left w:val="nil"/>
              <w:bottom w:val="single" w:sz="4" w:space="0" w:color="000000"/>
              <w:right w:val="nil"/>
            </w:tcBorders>
            <w:noWrap/>
            <w:hideMark/>
          </w:tcPr>
          <w:p w14:paraId="1F051A2B"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0.123</w:t>
            </w:r>
          </w:p>
        </w:tc>
        <w:tc>
          <w:tcPr>
            <w:tcW w:w="548" w:type="pct"/>
            <w:tcBorders>
              <w:top w:val="nil"/>
              <w:left w:val="nil"/>
              <w:bottom w:val="single" w:sz="4" w:space="0" w:color="000000"/>
              <w:right w:val="nil"/>
            </w:tcBorders>
            <w:noWrap/>
            <w:hideMark/>
          </w:tcPr>
          <w:p w14:paraId="21C9B4B2"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1.657</w:t>
            </w:r>
          </w:p>
        </w:tc>
        <w:tc>
          <w:tcPr>
            <w:tcW w:w="314" w:type="pct"/>
            <w:tcBorders>
              <w:top w:val="nil"/>
              <w:left w:val="nil"/>
              <w:bottom w:val="single" w:sz="4" w:space="0" w:color="000000"/>
              <w:right w:val="nil"/>
            </w:tcBorders>
            <w:noWrap/>
            <w:hideMark/>
          </w:tcPr>
          <w:p w14:paraId="5225D8AB"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0.098</w:t>
            </w:r>
          </w:p>
        </w:tc>
        <w:tc>
          <w:tcPr>
            <w:tcW w:w="803" w:type="pct"/>
            <w:tcBorders>
              <w:top w:val="nil"/>
              <w:left w:val="nil"/>
              <w:bottom w:val="single" w:sz="4" w:space="0" w:color="000000"/>
              <w:right w:val="nil"/>
            </w:tcBorders>
            <w:noWrap/>
            <w:hideMark/>
          </w:tcPr>
          <w:p w14:paraId="10F60751" w14:textId="77777777" w:rsidR="00D91737" w:rsidRPr="00DB1EE1" w:rsidRDefault="00D91737" w:rsidP="00293029">
            <w:pPr>
              <w:widowControl/>
              <w:jc w:val="center"/>
              <w:rPr>
                <w:rFonts w:cs="Times New Roman"/>
                <w:color w:val="000000"/>
                <w:kern w:val="0"/>
                <w:szCs w:val="24"/>
              </w:rPr>
            </w:pPr>
            <w:r w:rsidRPr="00DB1EE1">
              <w:rPr>
                <w:rFonts w:cs="Times New Roman"/>
                <w:color w:val="000000"/>
                <w:kern w:val="0"/>
                <w:szCs w:val="24"/>
              </w:rPr>
              <w:t>Not Significant</w:t>
            </w:r>
          </w:p>
        </w:tc>
      </w:tr>
    </w:tbl>
    <w:p w14:paraId="65EBE7D7" w14:textId="262A179F" w:rsidR="00387442" w:rsidRDefault="00387442"/>
    <w:p w14:paraId="2FA4C82C" w14:textId="40281204" w:rsidR="00801D54" w:rsidRDefault="00801D54" w:rsidP="00B9751A">
      <w:r w:rsidRPr="00801D54">
        <w:rPr>
          <w:rFonts w:hint="eastAsia"/>
        </w:rPr>
        <w:t>本研究旨在探討</w:t>
      </w:r>
      <w:r w:rsidRPr="00801D54">
        <w:rPr>
          <w:rFonts w:hint="eastAsia"/>
        </w:rPr>
        <w:t>GenAI</w:t>
      </w:r>
      <w:r w:rsidRPr="00801D54">
        <w:rPr>
          <w:rFonts w:hint="eastAsia"/>
        </w:rPr>
        <w:t>在教育領域的應用及其影響。通過分析多個假設，我們可以深入了解小學生對</w:t>
      </w:r>
      <w:r w:rsidRPr="00801D54">
        <w:rPr>
          <w:rFonts w:hint="eastAsia"/>
        </w:rPr>
        <w:t>GenAI</w:t>
      </w:r>
      <w:r w:rsidRPr="00801D54">
        <w:rPr>
          <w:rFonts w:hint="eastAsia"/>
        </w:rPr>
        <w:t>的態度、使用體驗以及其對學習成效的影響。首先，研究結果顯示，小學生對於</w:t>
      </w:r>
      <w:r w:rsidRPr="00801D54">
        <w:rPr>
          <w:rFonts w:hint="eastAsia"/>
        </w:rPr>
        <w:t>GenAI</w:t>
      </w:r>
      <w:r w:rsidRPr="00801D54">
        <w:rPr>
          <w:rFonts w:hint="eastAsia"/>
        </w:rPr>
        <w:t>的感知和態度與其可靠性和滿意度之間存在顯著的正相關關係</w:t>
      </w:r>
      <w:r w:rsidRPr="00801D54">
        <w:rPr>
          <w:rFonts w:hint="eastAsia"/>
        </w:rPr>
        <w:t>(</w:t>
      </w:r>
      <w:r w:rsidRPr="00801D54">
        <w:rPr>
          <w:rFonts w:hint="eastAsia"/>
        </w:rPr>
        <w:t>β</w:t>
      </w:r>
      <w:r w:rsidRPr="00801D54">
        <w:rPr>
          <w:rFonts w:hint="eastAsia"/>
        </w:rPr>
        <w:t>=0.844, t=21.658, p&lt;0.001)</w:t>
      </w:r>
      <w:r w:rsidRPr="00801D54">
        <w:rPr>
          <w:rFonts w:hint="eastAsia"/>
        </w:rPr>
        <w:t>。暗示小學生的初始態度可能在很大程度上決定了他們對</w:t>
      </w:r>
      <w:r w:rsidRPr="00801D54">
        <w:rPr>
          <w:rFonts w:hint="eastAsia"/>
        </w:rPr>
        <w:t>GenAI</w:t>
      </w:r>
      <w:r w:rsidRPr="00801D54">
        <w:rPr>
          <w:rFonts w:hint="eastAsia"/>
        </w:rPr>
        <w:t>工具的接受程度和使用體驗，同時也突出了</w:t>
      </w:r>
      <w:r w:rsidRPr="00801D54">
        <w:rPr>
          <w:rFonts w:hint="eastAsia"/>
        </w:rPr>
        <w:t>AI</w:t>
      </w:r>
      <w:r w:rsidRPr="00801D54">
        <w:rPr>
          <w:rFonts w:hint="eastAsia"/>
        </w:rPr>
        <w:t>素養的關鍵作用。這與本研究先前文獻探討結果相同：具備較高</w:t>
      </w:r>
      <w:r w:rsidRPr="00801D54">
        <w:rPr>
          <w:rFonts w:hint="eastAsia"/>
        </w:rPr>
        <w:t>AI</w:t>
      </w:r>
      <w:r w:rsidRPr="00801D54">
        <w:rPr>
          <w:rFonts w:hint="eastAsia"/>
        </w:rPr>
        <w:t>素養的小學生可能更能夠客觀評估</w:t>
      </w:r>
      <w:r w:rsidRPr="00801D54">
        <w:rPr>
          <w:rFonts w:hint="eastAsia"/>
        </w:rPr>
        <w:t>GenAI</w:t>
      </w:r>
      <w:r w:rsidRPr="00801D54">
        <w:rPr>
          <w:rFonts w:hint="eastAsia"/>
        </w:rPr>
        <w:t>工具的潛力和局限性，從而形成更加理性和積極的態度。當小學生對</w:t>
      </w:r>
      <w:r w:rsidRPr="00801D54">
        <w:rPr>
          <w:rFonts w:hint="eastAsia"/>
        </w:rPr>
        <w:t>GenAI</w:t>
      </w:r>
      <w:r w:rsidRPr="00801D54">
        <w:rPr>
          <w:rFonts w:hint="eastAsia"/>
        </w:rPr>
        <w:t>持開放和積極的態度時，他們可能更傾向於深入探索</w:t>
      </w:r>
      <w:r w:rsidRPr="00801D54">
        <w:rPr>
          <w:rFonts w:hint="eastAsia"/>
        </w:rPr>
        <w:t>GenAI</w:t>
      </w:r>
      <w:r w:rsidRPr="00801D54">
        <w:rPr>
          <w:rFonts w:hint="eastAsia"/>
        </w:rPr>
        <w:t>工具的功能，從而發現其可靠性和實用價值。這種正面的初始態度也可能影響他們對</w:t>
      </w:r>
      <w:r w:rsidRPr="00801D54">
        <w:rPr>
          <w:rFonts w:hint="eastAsia"/>
        </w:rPr>
        <w:t>GenAI</w:t>
      </w:r>
      <w:r w:rsidRPr="00801D54">
        <w:rPr>
          <w:rFonts w:hint="eastAsia"/>
        </w:rPr>
        <w:t>工具的期望值，進而影響其滿意度評估。因此，提升小學生的</w:t>
      </w:r>
      <w:r w:rsidRPr="00801D54">
        <w:rPr>
          <w:rFonts w:hint="eastAsia"/>
        </w:rPr>
        <w:t>AI</w:t>
      </w:r>
      <w:r w:rsidRPr="00801D54">
        <w:rPr>
          <w:rFonts w:hint="eastAsia"/>
        </w:rPr>
        <w:t>素養可能是促進</w:t>
      </w:r>
      <w:r w:rsidRPr="00801D54">
        <w:rPr>
          <w:rFonts w:hint="eastAsia"/>
        </w:rPr>
        <w:t>GenAI</w:t>
      </w:r>
      <w:r w:rsidRPr="00801D54">
        <w:rPr>
          <w:rFonts w:hint="eastAsia"/>
        </w:rPr>
        <w:t>在教育領域有效應用的關鍵因素之一。</w:t>
      </w:r>
      <w:r w:rsidR="00C65E03" w:rsidRPr="00C65E03">
        <w:rPr>
          <w:rFonts w:hint="eastAsia"/>
        </w:rPr>
        <w:t>其次，</w:t>
      </w:r>
      <w:r w:rsidR="00C65E03" w:rsidRPr="00C65E03">
        <w:rPr>
          <w:rFonts w:hint="eastAsia"/>
        </w:rPr>
        <w:t>GenAI</w:t>
      </w:r>
      <w:r w:rsidR="00C65E03" w:rsidRPr="00C65E03">
        <w:rPr>
          <w:rFonts w:hint="eastAsia"/>
        </w:rPr>
        <w:t>工具的可靠性和滿意度與小學生學習能力的提升之間也存在顯著的正相關</w:t>
      </w:r>
      <w:r w:rsidR="00C65E03" w:rsidRPr="00C65E03">
        <w:rPr>
          <w:rFonts w:hint="eastAsia"/>
        </w:rPr>
        <w:t>(</w:t>
      </w:r>
      <w:r w:rsidR="00C65E03" w:rsidRPr="00C65E03">
        <w:rPr>
          <w:rFonts w:hint="eastAsia"/>
        </w:rPr>
        <w:t>β</w:t>
      </w:r>
      <w:r w:rsidR="00C65E03" w:rsidRPr="00C65E03">
        <w:rPr>
          <w:rFonts w:hint="eastAsia"/>
        </w:rPr>
        <w:t>=0.857, t=20.98, p&lt;0.001)</w:t>
      </w:r>
      <w:r w:rsidR="00C65E03" w:rsidRPr="00C65E03">
        <w:rPr>
          <w:rFonts w:hint="eastAsia"/>
        </w:rPr>
        <w:t>。這表明當小</w:t>
      </w:r>
      <w:r w:rsidR="00C65E03" w:rsidRPr="00C65E03">
        <w:rPr>
          <w:rFonts w:hint="eastAsia"/>
        </w:rPr>
        <w:lastRenderedPageBreak/>
        <w:t>學生認為</w:t>
      </w:r>
      <w:r w:rsidR="00C65E03" w:rsidRPr="00C65E03">
        <w:rPr>
          <w:rFonts w:hint="eastAsia"/>
        </w:rPr>
        <w:t>GenAI</w:t>
      </w:r>
      <w:r w:rsidR="00C65E03" w:rsidRPr="00C65E03">
        <w:rPr>
          <w:rFonts w:hint="eastAsia"/>
        </w:rPr>
        <w:t>工具可靠且滿意時，他們可能更頻繁地使用這些工具，從而有更多機會提升自身的相關能力，或是經過探索發現更適合自己的</w:t>
      </w:r>
      <w:r w:rsidR="00C65E03" w:rsidRPr="00C65E03">
        <w:rPr>
          <w:rFonts w:hint="eastAsia"/>
        </w:rPr>
        <w:t>GenAI</w:t>
      </w:r>
      <w:r w:rsidR="00C65E03" w:rsidRPr="00C65E03">
        <w:rPr>
          <w:rFonts w:hint="eastAsia"/>
        </w:rPr>
        <w:t>工具，同時也反映了</w:t>
      </w:r>
      <w:r w:rsidR="00C65E03" w:rsidRPr="00C65E03">
        <w:rPr>
          <w:rFonts w:hint="eastAsia"/>
        </w:rPr>
        <w:t>AI</w:t>
      </w:r>
      <w:r w:rsidR="00C65E03" w:rsidRPr="00C65E03">
        <w:rPr>
          <w:rFonts w:hint="eastAsia"/>
        </w:rPr>
        <w:t>素養在這一過程中的重要性。具備較高</w:t>
      </w:r>
      <w:r w:rsidR="00C65E03" w:rsidRPr="00C65E03">
        <w:rPr>
          <w:rFonts w:hint="eastAsia"/>
        </w:rPr>
        <w:t>AI</w:t>
      </w:r>
      <w:r w:rsidR="00C65E03" w:rsidRPr="00C65E03">
        <w:rPr>
          <w:rFonts w:hint="eastAsia"/>
        </w:rPr>
        <w:t>素養的小學生可能更善於評估和選擇適合的</w:t>
      </w:r>
      <w:r w:rsidR="00C65E03" w:rsidRPr="00C65E03">
        <w:rPr>
          <w:rFonts w:hint="eastAsia"/>
        </w:rPr>
        <w:t>GenAI</w:t>
      </w:r>
      <w:r w:rsidR="00C65E03" w:rsidRPr="00C65E03">
        <w:rPr>
          <w:rFonts w:hint="eastAsia"/>
        </w:rPr>
        <w:t>工具，並能夠更有效地將這些工具整合到學習過程中。高滿意度可能激勵小學生更深入地學習和應用</w:t>
      </w:r>
      <w:r w:rsidR="00C65E03" w:rsidRPr="00C65E03">
        <w:rPr>
          <w:rFonts w:hint="eastAsia"/>
        </w:rPr>
        <w:t>AI</w:t>
      </w:r>
      <w:r w:rsidR="00C65E03" w:rsidRPr="00C65E03">
        <w:rPr>
          <w:rFonts w:hint="eastAsia"/>
        </w:rPr>
        <w:t>工具，這種互助且持續的學習和應用過程自然會促進能力的發展，同時也提升了他們的</w:t>
      </w:r>
      <w:r w:rsidR="00C65E03" w:rsidRPr="00C65E03">
        <w:rPr>
          <w:rFonts w:hint="eastAsia"/>
        </w:rPr>
        <w:t>AI</w:t>
      </w:r>
      <w:r w:rsidR="00C65E03" w:rsidRPr="00C65E03">
        <w:rPr>
          <w:rFonts w:hint="eastAsia"/>
        </w:rPr>
        <w:t>素養。此外，使用</w:t>
      </w:r>
      <w:r w:rsidR="00C65E03" w:rsidRPr="00C65E03">
        <w:rPr>
          <w:rFonts w:hint="eastAsia"/>
        </w:rPr>
        <w:t>AI</w:t>
      </w:r>
      <w:r w:rsidR="00C65E03" w:rsidRPr="00C65E03">
        <w:rPr>
          <w:rFonts w:hint="eastAsia"/>
        </w:rPr>
        <w:t>工具的正面體驗可能增強小學生的自信心，間接提升他們的整體學習能力，形成一個良性循環。</w:t>
      </w:r>
    </w:p>
    <w:p w14:paraId="18233255" w14:textId="77777777" w:rsidR="00801D54" w:rsidRDefault="00801D54" w:rsidP="00B9751A"/>
    <w:p w14:paraId="3381C15E" w14:textId="276B0A5B" w:rsidR="00801D54" w:rsidRDefault="00C65E03" w:rsidP="00B9751A">
      <w:r w:rsidRPr="00C65E03">
        <w:rPr>
          <w:rFonts w:hint="eastAsia"/>
        </w:rPr>
        <w:t>在學習目標達成方面，研究結果顯示，小學生對</w:t>
      </w:r>
      <w:r w:rsidRPr="00C65E03">
        <w:rPr>
          <w:rFonts w:hint="eastAsia"/>
        </w:rPr>
        <w:t>GenAI</w:t>
      </w:r>
      <w:r w:rsidRPr="00C65E03">
        <w:rPr>
          <w:rFonts w:hint="eastAsia"/>
        </w:rPr>
        <w:t>的感知和態度與學習目標的有效性和達成之間存在顯著但相對較弱的正相關</w:t>
      </w:r>
      <w:r w:rsidRPr="00C65E03">
        <w:rPr>
          <w:rFonts w:hint="eastAsia"/>
        </w:rPr>
        <w:t>(</w:t>
      </w:r>
      <w:r w:rsidRPr="00C65E03">
        <w:rPr>
          <w:rFonts w:hint="eastAsia"/>
        </w:rPr>
        <w:t>β</w:t>
      </w:r>
      <w:r w:rsidRPr="00C65E03">
        <w:rPr>
          <w:rFonts w:hint="eastAsia"/>
        </w:rPr>
        <w:t>=0.212, t=2.081, p&lt;0.05)</w:t>
      </w:r>
      <w:r w:rsidRPr="00C65E03">
        <w:rPr>
          <w:rFonts w:hint="eastAsia"/>
        </w:rPr>
        <w:t>。這不僅表明積極的</w:t>
      </w:r>
      <w:r w:rsidRPr="00C65E03">
        <w:rPr>
          <w:rFonts w:hint="eastAsia"/>
        </w:rPr>
        <w:t>AI</w:t>
      </w:r>
      <w:r w:rsidRPr="00C65E03">
        <w:rPr>
          <w:rFonts w:hint="eastAsia"/>
        </w:rPr>
        <w:t>態度可能促使小學生更有效地將</w:t>
      </w:r>
      <w:r w:rsidRPr="00C65E03">
        <w:rPr>
          <w:rFonts w:hint="eastAsia"/>
        </w:rPr>
        <w:t>GenAI</w:t>
      </w:r>
      <w:r w:rsidRPr="00C65E03">
        <w:rPr>
          <w:rFonts w:hint="eastAsia"/>
        </w:rPr>
        <w:t>整合到其學習策略中，也與本研究先前文獻探討結果相同：凸顯了</w:t>
      </w:r>
      <w:r w:rsidRPr="00C65E03">
        <w:rPr>
          <w:rFonts w:hint="eastAsia"/>
        </w:rPr>
        <w:t>AI</w:t>
      </w:r>
      <w:r w:rsidRPr="00C65E03">
        <w:rPr>
          <w:rFonts w:hint="eastAsia"/>
        </w:rPr>
        <w:t>素養在這一過程中的重要性。具備較高</w:t>
      </w:r>
      <w:r w:rsidRPr="00C65E03">
        <w:rPr>
          <w:rFonts w:hint="eastAsia"/>
        </w:rPr>
        <w:t>AI</w:t>
      </w:r>
      <w:r w:rsidRPr="00C65E03">
        <w:rPr>
          <w:rFonts w:hint="eastAsia"/>
        </w:rPr>
        <w:t>素養的小學生可能更能夠設計出有效利用</w:t>
      </w:r>
      <w:r w:rsidRPr="00C65E03">
        <w:rPr>
          <w:rFonts w:hint="eastAsia"/>
        </w:rPr>
        <w:t>GenAI</w:t>
      </w:r>
      <w:r w:rsidRPr="00C65E03">
        <w:rPr>
          <w:rFonts w:hint="eastAsia"/>
        </w:rPr>
        <w:t>的學習目標和策略，從而提高學習效果。正面的</w:t>
      </w:r>
      <w:r w:rsidRPr="00C65E03">
        <w:rPr>
          <w:rFonts w:hint="eastAsia"/>
        </w:rPr>
        <w:t>AI</w:t>
      </w:r>
      <w:r w:rsidRPr="00C65E03">
        <w:rPr>
          <w:rFonts w:hint="eastAsia"/>
        </w:rPr>
        <w:t>感知可能提高學習動機，間接促進學習目標的達成。此外，開放的態度和較高的</w:t>
      </w:r>
      <w:r w:rsidRPr="00C65E03">
        <w:rPr>
          <w:rFonts w:hint="eastAsia"/>
        </w:rPr>
        <w:t>AI</w:t>
      </w:r>
      <w:r w:rsidRPr="00C65E03">
        <w:rPr>
          <w:rFonts w:hint="eastAsia"/>
        </w:rPr>
        <w:t>素養可能導致更多的學習創新和嘗試，使小學生能夠更好地利用</w:t>
      </w:r>
      <w:r w:rsidRPr="00C65E03">
        <w:rPr>
          <w:rFonts w:hint="eastAsia"/>
        </w:rPr>
        <w:t>GenAI</w:t>
      </w:r>
      <w:r w:rsidRPr="00C65E03">
        <w:rPr>
          <w:rFonts w:hint="eastAsia"/>
        </w:rPr>
        <w:t>的優勢來增強學習效果，從而提高整體學習效果。因此，提升小學生的</w:t>
      </w:r>
      <w:r w:rsidRPr="00C65E03">
        <w:rPr>
          <w:rFonts w:hint="eastAsia"/>
        </w:rPr>
        <w:t>AI</w:t>
      </w:r>
      <w:r w:rsidRPr="00C65E03">
        <w:rPr>
          <w:rFonts w:hint="eastAsia"/>
        </w:rPr>
        <w:t>素養不僅有助於促進</w:t>
      </w:r>
      <w:r w:rsidRPr="00C65E03">
        <w:rPr>
          <w:rFonts w:hint="eastAsia"/>
        </w:rPr>
        <w:t>GenAI</w:t>
      </w:r>
      <w:r w:rsidRPr="00C65E03">
        <w:rPr>
          <w:rFonts w:hint="eastAsia"/>
        </w:rPr>
        <w:t>的有效應用，也可能對學習目標的達成產生積極影響。然而，研究也發現</w:t>
      </w:r>
      <w:r w:rsidRPr="00C65E03">
        <w:rPr>
          <w:rFonts w:hint="eastAsia"/>
        </w:rPr>
        <w:t>GenAI</w:t>
      </w:r>
      <w:r w:rsidRPr="00C65E03">
        <w:rPr>
          <w:rFonts w:hint="eastAsia"/>
        </w:rPr>
        <w:t>工具的可靠性和滿意度與學習目標的有效性和達成之間並無顯著關係</w:t>
      </w:r>
      <w:r w:rsidRPr="00C65E03">
        <w:rPr>
          <w:rFonts w:hint="eastAsia"/>
        </w:rPr>
        <w:t>(</w:t>
      </w:r>
      <w:r w:rsidRPr="00C65E03">
        <w:rPr>
          <w:rFonts w:hint="eastAsia"/>
        </w:rPr>
        <w:t>β</w:t>
      </w:r>
      <w:r w:rsidRPr="00C65E03">
        <w:rPr>
          <w:rFonts w:hint="eastAsia"/>
        </w:rPr>
        <w:t>=0.094, t=0.742, p&gt;0.05)</w:t>
      </w:r>
      <w:r w:rsidRPr="00C65E03">
        <w:rPr>
          <w:rFonts w:hint="eastAsia"/>
        </w:rPr>
        <w:t>。研究指出，學習目標的達成可能更多地依賴於個人努力、學習策略以及</w:t>
      </w:r>
      <w:r w:rsidRPr="00C65E03">
        <w:rPr>
          <w:rFonts w:hint="eastAsia"/>
        </w:rPr>
        <w:t>AI</w:t>
      </w:r>
      <w:r w:rsidRPr="00C65E03">
        <w:rPr>
          <w:rFonts w:hint="eastAsia"/>
        </w:rPr>
        <w:t>素養，而非僅僅依賴於工具本身的特性。</w:t>
      </w:r>
      <w:r w:rsidRPr="00C65E03">
        <w:rPr>
          <w:rFonts w:hint="eastAsia"/>
        </w:rPr>
        <w:t>GenAI</w:t>
      </w:r>
      <w:r w:rsidRPr="00C65E03">
        <w:rPr>
          <w:rFonts w:hint="eastAsia"/>
        </w:rPr>
        <w:t>工具的可靠性和滿意度雖然重要，但可能只是輔助因素，不直接決定學習成效，還需要考慮更廣泛的因素，如教學質量、學習環境，以及小學生的</w:t>
      </w:r>
      <w:r w:rsidRPr="00C65E03">
        <w:rPr>
          <w:rFonts w:hint="eastAsia"/>
        </w:rPr>
        <w:t>AI</w:t>
      </w:r>
      <w:r w:rsidRPr="00C65E03">
        <w:rPr>
          <w:rFonts w:hint="eastAsia"/>
        </w:rPr>
        <w:t>素養水平。具備較高</w:t>
      </w:r>
      <w:r w:rsidRPr="00C65E03">
        <w:rPr>
          <w:rFonts w:hint="eastAsia"/>
        </w:rPr>
        <w:t>AI</w:t>
      </w:r>
      <w:r w:rsidRPr="00C65E03">
        <w:rPr>
          <w:rFonts w:hint="eastAsia"/>
        </w:rPr>
        <w:t>素養的學習者可能更能夠有效地利用</w:t>
      </w:r>
      <w:r w:rsidRPr="00C65E03">
        <w:rPr>
          <w:rFonts w:hint="eastAsia"/>
        </w:rPr>
        <w:t>GenAI</w:t>
      </w:r>
      <w:r w:rsidRPr="00C65E03">
        <w:rPr>
          <w:rFonts w:hint="eastAsia"/>
        </w:rPr>
        <w:t>工具來支持自己的學習，即使工具本身的可靠性或滿意度不是最理想的。他們可能更善於辨識</w:t>
      </w:r>
      <w:r w:rsidRPr="00C65E03">
        <w:rPr>
          <w:rFonts w:hint="eastAsia"/>
        </w:rPr>
        <w:t>GenAI</w:t>
      </w:r>
      <w:r w:rsidRPr="00C65E03">
        <w:rPr>
          <w:rFonts w:hint="eastAsia"/>
        </w:rPr>
        <w:t>工具的優缺點，並據此調整自己的學習策略，或更好地理解</w:t>
      </w:r>
      <w:r w:rsidRPr="00C65E03">
        <w:rPr>
          <w:rFonts w:hint="eastAsia"/>
        </w:rPr>
        <w:t>GenAI</w:t>
      </w:r>
      <w:r w:rsidRPr="00C65E03">
        <w:rPr>
          <w:rFonts w:hint="eastAsia"/>
        </w:rPr>
        <w:t>生成內容的局限性，從而更加批判性地使用這些內容，並結合其他學習資源結合使用。值得注意的是，研究發現學習能力的提升與學習目標的有效性和達成之間存在顯著的正相關</w:t>
      </w:r>
      <w:r w:rsidRPr="00C65E03">
        <w:rPr>
          <w:rFonts w:hint="eastAsia"/>
        </w:rPr>
        <w:t>(</w:t>
      </w:r>
      <w:r w:rsidRPr="00C65E03">
        <w:rPr>
          <w:rFonts w:hint="eastAsia"/>
        </w:rPr>
        <w:t>β</w:t>
      </w:r>
      <w:r w:rsidRPr="00C65E03">
        <w:rPr>
          <w:rFonts w:hint="eastAsia"/>
        </w:rPr>
        <w:t>=0.436, p&lt;0.001)</w:t>
      </w:r>
      <w:r w:rsidRPr="00C65E03">
        <w:rPr>
          <w:rFonts w:hint="eastAsia"/>
        </w:rPr>
        <w:t>。研究強調了能力發展在學習過程中的重要性。能力的提升可能直接促進學習效率和效果，增強的能力可能提高學習者的自信心，進而提升學習動機和目標達成的可能性。此外，能力的提升可能使學習者更善於利用</w:t>
      </w:r>
      <w:r w:rsidRPr="00C65E03">
        <w:rPr>
          <w:rFonts w:hint="eastAsia"/>
        </w:rPr>
        <w:t>GenAI</w:t>
      </w:r>
      <w:r w:rsidRPr="00C65E03">
        <w:rPr>
          <w:rFonts w:hint="eastAsia"/>
        </w:rPr>
        <w:t>，間接提高整體學習成效。</w:t>
      </w:r>
    </w:p>
    <w:p w14:paraId="00EAB18F" w14:textId="77777777" w:rsidR="00C65E03" w:rsidRDefault="00C65E03" w:rsidP="00C65E03"/>
    <w:p w14:paraId="2BC81AA2" w14:textId="46AA68A8" w:rsidR="00801D54" w:rsidRDefault="00C65E03" w:rsidP="00C65E03">
      <w:r>
        <w:rPr>
          <w:rFonts w:hint="eastAsia"/>
        </w:rPr>
        <w:t>然而，關於</w:t>
      </w:r>
      <w:r>
        <w:rPr>
          <w:rFonts w:hint="eastAsia"/>
        </w:rPr>
        <w:t>GenAI</w:t>
      </w:r>
      <w:r>
        <w:rPr>
          <w:rFonts w:hint="eastAsia"/>
        </w:rPr>
        <w:t>使用頻率和模式的調節作用的假設</w:t>
      </w:r>
      <w:r>
        <w:rPr>
          <w:rFonts w:hint="eastAsia"/>
        </w:rPr>
        <w:t>(H6-H8)</w:t>
      </w:r>
      <w:r>
        <w:rPr>
          <w:rFonts w:hint="eastAsia"/>
        </w:rPr>
        <w:t>均未得到統計學上的支持。我們推論研究結果反映了</w:t>
      </w:r>
      <w:r>
        <w:rPr>
          <w:rFonts w:hint="eastAsia"/>
        </w:rPr>
        <w:t>GenAI</w:t>
      </w:r>
      <w:r>
        <w:rPr>
          <w:rFonts w:hint="eastAsia"/>
        </w:rPr>
        <w:t>工具在教育領域應用的複雜性。對於未顯著的解釋包含：</w:t>
      </w:r>
      <w:r>
        <w:rPr>
          <w:rFonts w:hint="eastAsia"/>
        </w:rPr>
        <w:t>GenAI</w:t>
      </w:r>
      <w:r>
        <w:rPr>
          <w:rFonts w:hint="eastAsia"/>
        </w:rPr>
        <w:t>尚處於初期階段，影響尚未充分顯現；</w:t>
      </w:r>
      <w:r>
        <w:rPr>
          <w:rFonts w:hint="eastAsia"/>
        </w:rPr>
        <w:t>GenAI</w:t>
      </w:r>
      <w:r>
        <w:rPr>
          <w:rFonts w:hint="eastAsia"/>
        </w:rPr>
        <w:t>效果可能因人而異，難以呈現一致的調節作用；或者可能需要更長時間的觀察才能看到</w:t>
      </w:r>
      <w:r>
        <w:rPr>
          <w:rFonts w:hint="eastAsia"/>
        </w:rPr>
        <w:t>AI</w:t>
      </w:r>
      <w:r>
        <w:rPr>
          <w:rFonts w:hint="eastAsia"/>
        </w:rPr>
        <w:t>使用對學習的長期影響。總觀來說，研究揭示</w:t>
      </w:r>
      <w:r>
        <w:rPr>
          <w:rFonts w:hint="eastAsia"/>
        </w:rPr>
        <w:t>GenAI</w:t>
      </w:r>
      <w:r>
        <w:rPr>
          <w:rFonts w:hint="eastAsia"/>
        </w:rPr>
        <w:t>工具在教育領域的潛力和複雜性。雖然</w:t>
      </w:r>
      <w:r>
        <w:rPr>
          <w:rFonts w:hint="eastAsia"/>
        </w:rPr>
        <w:t>GenAI</w:t>
      </w:r>
      <w:r>
        <w:rPr>
          <w:rFonts w:hint="eastAsia"/>
        </w:rPr>
        <w:t>對教育的積極影響已經顯現，但其作用機制和長期效果仍需進一步研究。未來的研究可以嘗試針對</w:t>
      </w:r>
      <w:r>
        <w:rPr>
          <w:rFonts w:hint="eastAsia"/>
        </w:rPr>
        <w:t>GenAI</w:t>
      </w:r>
      <w:r>
        <w:rPr>
          <w:rFonts w:hint="eastAsia"/>
        </w:rPr>
        <w:t>使用對學習成效的長期影響，同時也應該探索更多可能影響</w:t>
      </w:r>
      <w:r>
        <w:rPr>
          <w:rFonts w:hint="eastAsia"/>
        </w:rPr>
        <w:t>AI</w:t>
      </w:r>
      <w:r>
        <w:rPr>
          <w:rFonts w:hint="eastAsia"/>
        </w:rPr>
        <w:t>工具教育效果的中介和調節變量。這些深入的研究將有助於我們更好地理解和利用</w:t>
      </w:r>
      <w:r>
        <w:rPr>
          <w:rFonts w:hint="eastAsia"/>
        </w:rPr>
        <w:t>AI</w:t>
      </w:r>
      <w:r>
        <w:rPr>
          <w:rFonts w:hint="eastAsia"/>
        </w:rPr>
        <w:t>技術來提升教育質量和學習效果。</w:t>
      </w:r>
    </w:p>
    <w:p w14:paraId="4536C8EB" w14:textId="0E730917" w:rsidR="00B9751A" w:rsidRDefault="00B9751A"/>
    <w:p w14:paraId="14B11EB6" w14:textId="77777777" w:rsidR="00D211BD" w:rsidRDefault="00D211BD" w:rsidP="00423781">
      <w:pPr>
        <w:pStyle w:val="2"/>
      </w:pPr>
      <w:r>
        <w:rPr>
          <w:rFonts w:hint="eastAsia"/>
        </w:rPr>
        <w:lastRenderedPageBreak/>
        <w:t>結論</w:t>
      </w:r>
    </w:p>
    <w:p w14:paraId="69F3D8C6" w14:textId="15500505" w:rsidR="00D211BD" w:rsidRDefault="00FF3B03" w:rsidP="00D211BD">
      <w:r w:rsidRPr="00FF3B03">
        <w:rPr>
          <w:rFonts w:hint="eastAsia"/>
          <w:color w:val="FF0000"/>
        </w:rPr>
        <w:t>本研究利用結構方程模型</w:t>
      </w:r>
      <w:r w:rsidRPr="00FF3B03">
        <w:rPr>
          <w:rFonts w:hint="eastAsia"/>
          <w:color w:val="FF0000"/>
        </w:rPr>
        <w:t>(SEM)</w:t>
      </w:r>
      <w:r w:rsidRPr="00FF3B03">
        <w:rPr>
          <w:rFonts w:hint="eastAsia"/>
          <w:color w:val="FF0000"/>
        </w:rPr>
        <w:t>分析，探討了生成式人工智慧</w:t>
      </w:r>
      <w:r w:rsidRPr="00FF3B03">
        <w:rPr>
          <w:rFonts w:hint="eastAsia"/>
          <w:color w:val="FF0000"/>
        </w:rPr>
        <w:t>(GenAI)</w:t>
      </w:r>
      <w:r w:rsidRPr="00FF3B03">
        <w:rPr>
          <w:rFonts w:hint="eastAsia"/>
          <w:color w:val="FF0000"/>
        </w:rPr>
        <w:t>在小學教育中的使用頻率對學生態度、滿意度和能力的影響。研究結果顯示，小學生對</w:t>
      </w:r>
      <w:r w:rsidRPr="00FF3B03">
        <w:rPr>
          <w:rFonts w:hint="eastAsia"/>
          <w:color w:val="FF0000"/>
        </w:rPr>
        <w:t>GenAI</w:t>
      </w:r>
      <w:r w:rsidRPr="00FF3B03">
        <w:rPr>
          <w:rFonts w:hint="eastAsia"/>
          <w:color w:val="FF0000"/>
        </w:rPr>
        <w:t>的初始態度在很大程度上影響了他們對工具的接受程度和使用體驗。具備較高</w:t>
      </w:r>
      <w:r w:rsidRPr="00FF3B03">
        <w:rPr>
          <w:rFonts w:hint="eastAsia"/>
          <w:color w:val="FF0000"/>
        </w:rPr>
        <w:t>AI</w:t>
      </w:r>
      <w:r w:rsidRPr="00FF3B03">
        <w:rPr>
          <w:rFonts w:hint="eastAsia"/>
          <w:color w:val="FF0000"/>
        </w:rPr>
        <w:t>素養的小學生能夠更客觀地評估</w:t>
      </w:r>
      <w:r w:rsidRPr="00FF3B03">
        <w:rPr>
          <w:rFonts w:hint="eastAsia"/>
          <w:color w:val="FF0000"/>
        </w:rPr>
        <w:t>GenAI</w:t>
      </w:r>
      <w:r w:rsidRPr="00FF3B03">
        <w:rPr>
          <w:rFonts w:hint="eastAsia"/>
          <w:color w:val="FF0000"/>
        </w:rPr>
        <w:t>工具的潛力和局限性，從而形成更理性和積極的態度。然而，</w:t>
      </w:r>
      <w:r w:rsidRPr="00FF3B03">
        <w:rPr>
          <w:rFonts w:hint="eastAsia"/>
          <w:color w:val="FF0000"/>
        </w:rPr>
        <w:t>GenAI</w:t>
      </w:r>
      <w:r w:rsidRPr="00FF3B03">
        <w:rPr>
          <w:rFonts w:hint="eastAsia"/>
          <w:color w:val="FF0000"/>
        </w:rPr>
        <w:t>工具的可靠性和滿意度並未顯著提升學習目標的有效性和達成，這表明雖然小學生認識到</w:t>
      </w:r>
      <w:r w:rsidRPr="00FF3B03">
        <w:rPr>
          <w:rFonts w:hint="eastAsia"/>
          <w:color w:val="FF0000"/>
        </w:rPr>
        <w:t>GenAI</w:t>
      </w:r>
      <w:r w:rsidRPr="00FF3B03">
        <w:rPr>
          <w:rFonts w:hint="eastAsia"/>
          <w:color w:val="FF0000"/>
        </w:rPr>
        <w:t>的潛在好處，但這些看法並不一定轉化為基於能力的學習成果的顯著改善。</w:t>
      </w:r>
      <w:r>
        <w:rPr>
          <w:rFonts w:hint="eastAsia"/>
        </w:rPr>
        <w:t>此外</w:t>
      </w:r>
      <w:r w:rsidR="00D211BD">
        <w:rPr>
          <w:rFonts w:hint="eastAsia"/>
        </w:rPr>
        <w:t>，本研究仍包還其侷限性，首先本研究依賴於於調查數據，可能引入主觀偏見。根據</w:t>
      </w:r>
      <w:r w:rsidR="00D211BD">
        <w:rPr>
          <w:rFonts w:hint="eastAsia"/>
        </w:rPr>
        <w:t>Fakhri, et al.(2024)</w:t>
      </w:r>
      <w:r w:rsidR="00D211BD">
        <w:rPr>
          <w:rFonts w:hint="eastAsia"/>
        </w:rPr>
        <w:t>指出參與者可能傾向於給出研究者期望或希望的答案，從而降低了研究結果的客觀性。其次本研究所使用樣本數為</w:t>
      </w:r>
      <w:r w:rsidR="00D211BD">
        <w:rPr>
          <w:rFonts w:hint="eastAsia"/>
        </w:rPr>
        <w:t>184</w:t>
      </w:r>
      <w:r w:rsidR="00D211BD">
        <w:rPr>
          <w:rFonts w:hint="eastAsia"/>
        </w:rPr>
        <w:t>人，並無法完全代表更廣泛的學生群之意見。研究結果並無法推廣到所有教育環境或不同地理區域。文化、教育水平和技術基礎設施等變量可能會影響這些發現在不同背景下的結果和相關性。最後研究本身更多地關注於看法和態度變量，並未深入探討這變量與學習成果之間關係的心理或教學機制。未來可以更深入地理解這些因素在心理和教學上的互動，進而幫助設計更加有效的教育方針。</w:t>
      </w:r>
    </w:p>
    <w:p w14:paraId="4AD007A9" w14:textId="39DD5F0B" w:rsidR="00D211BD" w:rsidRDefault="00D211BD" w:rsidP="00D211BD"/>
    <w:p w14:paraId="29C2AF2B" w14:textId="68AD5E9D" w:rsidR="00D211BD" w:rsidRDefault="00D211BD" w:rsidP="00D211BD">
      <w:r>
        <w:rPr>
          <w:rFonts w:hint="eastAsia"/>
        </w:rPr>
        <w:t>儘管</w:t>
      </w:r>
      <w:r>
        <w:rPr>
          <w:rFonts w:hint="eastAsia"/>
        </w:rPr>
        <w:t>GenAI</w:t>
      </w:r>
      <w:r>
        <w:rPr>
          <w:rFonts w:hint="eastAsia"/>
        </w:rPr>
        <w:t>技術在教育領域展現出巨大潛力，研究也意識到需要深入探討其長期影響。</w:t>
      </w:r>
      <w:r>
        <w:rPr>
          <w:rFonts w:hint="eastAsia"/>
        </w:rPr>
        <w:t>Ali, et al.(2023)</w:t>
      </w:r>
      <w:r>
        <w:rPr>
          <w:rFonts w:hint="eastAsia"/>
        </w:rPr>
        <w:t>研究</w:t>
      </w:r>
      <w:r>
        <w:rPr>
          <w:rFonts w:hint="eastAsia"/>
        </w:rPr>
        <w:t>ChatGPT</w:t>
      </w:r>
      <w:r>
        <w:rPr>
          <w:rFonts w:hint="eastAsia"/>
        </w:rPr>
        <w:t>對學習動機、記憶形成和認知效果的影響。強調需要進行更多縱向研究，以全面了解這些</w:t>
      </w:r>
      <w:r>
        <w:rPr>
          <w:rFonts w:hint="eastAsia"/>
        </w:rPr>
        <w:t>AI</w:t>
      </w:r>
      <w:r>
        <w:rPr>
          <w:rFonts w:hint="eastAsia"/>
        </w:rPr>
        <w:t>工具對學生學習過程和學習成果的長期影響。</w:t>
      </w:r>
      <w:r>
        <w:rPr>
          <w:rFonts w:hint="eastAsia"/>
        </w:rPr>
        <w:t>Yang, et al.(2020)</w:t>
      </w:r>
      <w:r>
        <w:rPr>
          <w:rFonts w:hint="eastAsia"/>
        </w:rPr>
        <w:t>調查了人類與</w:t>
      </w:r>
      <w:r>
        <w:rPr>
          <w:rFonts w:hint="eastAsia"/>
        </w:rPr>
        <w:t>AI</w:t>
      </w:r>
      <w:r>
        <w:rPr>
          <w:rFonts w:hint="eastAsia"/>
        </w:rPr>
        <w:t>互動在設計中是否、為何以及如何產生困難，通過綜合以往的研究及自身的研究設計，確定</w:t>
      </w:r>
      <w:r>
        <w:rPr>
          <w:rFonts w:hint="eastAsia"/>
        </w:rPr>
        <w:t xml:space="preserve">AI </w:t>
      </w:r>
      <w:r>
        <w:rPr>
          <w:rFonts w:hint="eastAsia"/>
        </w:rPr>
        <w:t>能力的不確定性和</w:t>
      </w:r>
      <w:r>
        <w:rPr>
          <w:rFonts w:hint="eastAsia"/>
        </w:rPr>
        <w:t>AI</w:t>
      </w:r>
      <w:r>
        <w:rPr>
          <w:rFonts w:hint="eastAsia"/>
        </w:rPr>
        <w:t>輸出的複雜性是</w:t>
      </w:r>
      <w:r>
        <w:rPr>
          <w:rFonts w:hint="eastAsia"/>
        </w:rPr>
        <w:t>AI</w:t>
      </w:r>
      <w:r>
        <w:rPr>
          <w:rFonts w:hint="eastAsia"/>
        </w:rPr>
        <w:t>設計中獨特挑戰的兩個來源。</w:t>
      </w:r>
      <w:r>
        <w:rPr>
          <w:rFonts w:hint="eastAsia"/>
        </w:rPr>
        <w:t>Lehmann(2023)</w:t>
      </w:r>
      <w:r>
        <w:rPr>
          <w:rFonts w:hint="eastAsia"/>
        </w:rPr>
        <w:t>通過網路實驗和功能原型評估，探討了主動性、意圖和控制等核心概念在人機協作中的重要性。研究結果揭示：使用者介面提供的主動性和控制水準，對寫作過程中的感知作者身份產生了顯著影響；如果使用者介面能夠給予使用者足夠的主動性和控制權，用戶更容易感受到自己就是文章的作者，從而發揮出更多的創造力。相反如果使用者介面過於被動，使用者很難產生作者的感受</w:t>
      </w:r>
      <w:r>
        <w:rPr>
          <w:rFonts w:hint="eastAsia"/>
        </w:rPr>
        <w:t>,</w:t>
      </w:r>
      <w:r>
        <w:rPr>
          <w:rFonts w:hint="eastAsia"/>
        </w:rPr>
        <w:t>寫作的創造性也會受到限制。這一發現也對於設計更加人性化、能夠充分發揮人類創造力的</w:t>
      </w:r>
      <w:r>
        <w:rPr>
          <w:rFonts w:hint="eastAsia"/>
        </w:rPr>
        <w:t xml:space="preserve">AI </w:t>
      </w:r>
      <w:r>
        <w:rPr>
          <w:rFonts w:hint="eastAsia"/>
        </w:rPr>
        <w:t>輔助寫作工具具有重要啟示。</w:t>
      </w:r>
      <w:r>
        <w:rPr>
          <w:rFonts w:hint="eastAsia"/>
        </w:rPr>
        <w:t xml:space="preserve">Lee, et al.(2022) </w:t>
      </w:r>
      <w:r w:rsidR="006F29BC">
        <w:rPr>
          <w:rFonts w:hint="eastAsia"/>
        </w:rPr>
        <w:t>與</w:t>
      </w:r>
      <w:r>
        <w:rPr>
          <w:rFonts w:hint="eastAsia"/>
        </w:rPr>
        <w:t>Yuan, et al.(2022)</w:t>
      </w:r>
      <w:r>
        <w:rPr>
          <w:rFonts w:hint="eastAsia"/>
        </w:rPr>
        <w:t>也提出了關於作家對其寫作輸出的所有權感的問題，並指出結果不確定性。此外研究還強調，在教育中使用</w:t>
      </w:r>
      <w:r>
        <w:rPr>
          <w:rFonts w:hint="eastAsia"/>
        </w:rPr>
        <w:t xml:space="preserve">ChatGPT </w:t>
      </w:r>
      <w:r>
        <w:rPr>
          <w:rFonts w:hint="eastAsia"/>
        </w:rPr>
        <w:t>時，專家的監督和謹慎非常重要，以確保提供給學生的資訊的準確性和相關性</w:t>
      </w:r>
      <w:r>
        <w:rPr>
          <w:rFonts w:hint="eastAsia"/>
        </w:rPr>
        <w:t>(Han, et al</w:t>
      </w:r>
      <w:r w:rsidR="006F29BC">
        <w:rPr>
          <w:rFonts w:hint="eastAsia"/>
        </w:rPr>
        <w:t>.</w:t>
      </w:r>
      <w:r>
        <w:rPr>
          <w:rFonts w:hint="eastAsia"/>
        </w:rPr>
        <w:t>, 2024)</w:t>
      </w:r>
      <w:r>
        <w:rPr>
          <w:rFonts w:hint="eastAsia"/>
        </w:rPr>
        <w:t>，而這也正是我們在研究中觀察到的一個關鍵問題。</w:t>
      </w:r>
    </w:p>
    <w:p w14:paraId="2CC6D71E" w14:textId="77777777" w:rsidR="00D211BD" w:rsidRDefault="00D211BD" w:rsidP="00D211BD"/>
    <w:p w14:paraId="63377336" w14:textId="17BA5F86" w:rsidR="00D211BD" w:rsidRDefault="00D211BD" w:rsidP="00D211BD">
      <w:r>
        <w:rPr>
          <w:rFonts w:hint="eastAsia"/>
        </w:rPr>
        <w:t>由於本研究涵蓋</w:t>
      </w:r>
      <w:r w:rsidR="00FF3B03">
        <w:rPr>
          <w:rFonts w:hint="eastAsia"/>
        </w:rPr>
        <w:t>小學生的</w:t>
      </w:r>
      <w:r>
        <w:rPr>
          <w:rFonts w:hint="eastAsia"/>
        </w:rPr>
        <w:t>教學課程，因此也額外去了解教師與家長對於</w:t>
      </w:r>
      <w:r>
        <w:rPr>
          <w:rFonts w:hint="eastAsia"/>
        </w:rPr>
        <w:t>GenAI</w:t>
      </w:r>
      <w:r>
        <w:rPr>
          <w:rFonts w:hint="eastAsia"/>
        </w:rPr>
        <w:t>的觀點與看法：教師們主要聚焦於</w:t>
      </w:r>
      <w:r>
        <w:rPr>
          <w:rFonts w:hint="eastAsia"/>
        </w:rPr>
        <w:t>GenAI</w:t>
      </w:r>
      <w:r>
        <w:rPr>
          <w:rFonts w:hint="eastAsia"/>
        </w:rPr>
        <w:t>再數位發展上的整合，指出</w:t>
      </w:r>
      <w:r>
        <w:rPr>
          <w:rFonts w:hint="eastAsia"/>
        </w:rPr>
        <w:t>GenAI</w:t>
      </w:r>
      <w:r>
        <w:rPr>
          <w:rFonts w:hint="eastAsia"/>
        </w:rPr>
        <w:t>系統可以支持教育過程，例如</w:t>
      </w:r>
      <w:r>
        <w:rPr>
          <w:rFonts w:hint="eastAsia"/>
        </w:rPr>
        <w:t>ChatGPT</w:t>
      </w:r>
      <w:r>
        <w:rPr>
          <w:rFonts w:hint="eastAsia"/>
        </w:rPr>
        <w:t>和文字轉圖像生成器可以融入教學過程中，幫助課程設計和想法的腦力激盪。部分教師認為：學生將在一個數位技術成為生活一部分的社會中成長。也有教師提到，與其拒絕</w:t>
      </w:r>
      <w:r>
        <w:rPr>
          <w:rFonts w:hint="eastAsia"/>
        </w:rPr>
        <w:t>GAI</w:t>
      </w:r>
      <w:r>
        <w:rPr>
          <w:rFonts w:hint="eastAsia"/>
        </w:rPr>
        <w:t>，不如了解如何利用它。但也存在教師對於</w:t>
      </w:r>
      <w:r>
        <w:rPr>
          <w:rFonts w:hint="eastAsia"/>
        </w:rPr>
        <w:t>GenAI</w:t>
      </w:r>
      <w:r>
        <w:rPr>
          <w:rFonts w:hint="eastAsia"/>
        </w:rPr>
        <w:t>抱持排斥的觀點：擔心</w:t>
      </w:r>
      <w:r>
        <w:rPr>
          <w:rFonts w:hint="eastAsia"/>
        </w:rPr>
        <w:t>AI</w:t>
      </w:r>
      <w:r>
        <w:rPr>
          <w:rFonts w:hint="eastAsia"/>
        </w:rPr>
        <w:t>生成的作品可能會誤導學生，並且學生可能未能適當地承認</w:t>
      </w:r>
      <w:r>
        <w:rPr>
          <w:rFonts w:hint="eastAsia"/>
        </w:rPr>
        <w:t>AI</w:t>
      </w:r>
      <w:r>
        <w:rPr>
          <w:rFonts w:hint="eastAsia"/>
        </w:rPr>
        <w:t>的貢獻，這在道德上存在問題；也擔心</w:t>
      </w:r>
      <w:r>
        <w:rPr>
          <w:rFonts w:hint="eastAsia"/>
        </w:rPr>
        <w:t>GenAI</w:t>
      </w:r>
      <w:r>
        <w:rPr>
          <w:rFonts w:hint="eastAsia"/>
        </w:rPr>
        <w:t>會削弱學生的推理能力、工作倫理和創造力，並且存在抄襲和作弊的風險。一些教師建議使用</w:t>
      </w:r>
      <w:r>
        <w:rPr>
          <w:rFonts w:hint="eastAsia"/>
        </w:rPr>
        <w:t>GenAI</w:t>
      </w:r>
      <w:r>
        <w:rPr>
          <w:rFonts w:hint="eastAsia"/>
        </w:rPr>
        <w:t>促進學生的思考過程，而不是直接生成文本。並強調需要建</w:t>
      </w:r>
      <w:r>
        <w:rPr>
          <w:rFonts w:hint="eastAsia"/>
        </w:rPr>
        <w:lastRenderedPageBreak/>
        <w:t>立新的規則，讓學生知道意識到</w:t>
      </w:r>
      <w:r>
        <w:rPr>
          <w:rFonts w:hint="eastAsia"/>
        </w:rPr>
        <w:t>GenAI</w:t>
      </w:r>
      <w:r>
        <w:rPr>
          <w:rFonts w:hint="eastAsia"/>
        </w:rPr>
        <w:t>利用於學習過程而不是結果。而家長看法與孩子之間存在代際差異，儘管所有家長都同意</w:t>
      </w:r>
      <w:r>
        <w:rPr>
          <w:rFonts w:hint="eastAsia"/>
        </w:rPr>
        <w:t>AI</w:t>
      </w:r>
      <w:r>
        <w:rPr>
          <w:rFonts w:hint="eastAsia"/>
        </w:rPr>
        <w:t>將成為孩子生活的一部分，但他們認為學會負責任和安全地使用</w:t>
      </w:r>
      <w:r>
        <w:rPr>
          <w:rFonts w:hint="eastAsia"/>
        </w:rPr>
        <w:t>AI</w:t>
      </w:r>
      <w:r>
        <w:rPr>
          <w:rFonts w:hint="eastAsia"/>
        </w:rPr>
        <w:t>更為重要。但家長擔心孩子在互聯網上與匿名玩家互動的安全性，強調要優先考慮孩子的全面發展，而不僅僅是學術成就。他們認為</w:t>
      </w:r>
      <w:r>
        <w:rPr>
          <w:rFonts w:hint="eastAsia"/>
        </w:rPr>
        <w:t>GAI</w:t>
      </w:r>
      <w:r>
        <w:rPr>
          <w:rFonts w:hint="eastAsia"/>
        </w:rPr>
        <w:t>系統如</w:t>
      </w:r>
      <w:r>
        <w:rPr>
          <w:rFonts w:hint="eastAsia"/>
        </w:rPr>
        <w:t>ChatGPT</w:t>
      </w:r>
      <w:r>
        <w:rPr>
          <w:rFonts w:hint="eastAsia"/>
        </w:rPr>
        <w:t>和</w:t>
      </w:r>
      <w:r>
        <w:rPr>
          <w:rFonts w:hint="eastAsia"/>
        </w:rPr>
        <w:t>Stable Diffusion</w:t>
      </w:r>
      <w:r>
        <w:rPr>
          <w:rFonts w:hint="eastAsia"/>
        </w:rPr>
        <w:t>只是增加孩子螢幕時間的另一種玩具，並且對這些新技術對孩子的影響感到不確定。</w:t>
      </w:r>
    </w:p>
    <w:p w14:paraId="614BCC3C" w14:textId="77777777" w:rsidR="00D211BD" w:rsidRDefault="00D211BD" w:rsidP="00D211BD"/>
    <w:p w14:paraId="6E307552" w14:textId="5712E646" w:rsidR="009E4EBE" w:rsidRDefault="00D211BD" w:rsidP="00D211BD">
      <w:r>
        <w:rPr>
          <w:rFonts w:hint="eastAsia"/>
        </w:rPr>
        <w:t>本研究的主要貢獻在於提供了</w:t>
      </w:r>
      <w:r w:rsidR="00FF3B03" w:rsidRPr="00FF3B03">
        <w:rPr>
          <w:rFonts w:hint="eastAsia"/>
          <w:color w:val="FF0000"/>
        </w:rPr>
        <w:t>有關</w:t>
      </w:r>
      <w:r w:rsidR="00FF3B03" w:rsidRPr="00FF3B03">
        <w:rPr>
          <w:rFonts w:hint="eastAsia"/>
          <w:color w:val="FF0000"/>
        </w:rPr>
        <w:t>GenAI</w:t>
      </w:r>
      <w:r w:rsidR="00FF3B03" w:rsidRPr="00FF3B03">
        <w:rPr>
          <w:rFonts w:hint="eastAsia"/>
          <w:color w:val="FF0000"/>
        </w:rPr>
        <w:t>工具在小學教育領域應用的實證數據，並強調了提高學生和教育者</w:t>
      </w:r>
      <w:r w:rsidR="00FF3B03" w:rsidRPr="00FF3B03">
        <w:rPr>
          <w:rFonts w:hint="eastAsia"/>
          <w:color w:val="FF0000"/>
        </w:rPr>
        <w:t>AI</w:t>
      </w:r>
      <w:r w:rsidR="00FF3B03" w:rsidRPr="00FF3B03">
        <w:rPr>
          <w:rFonts w:hint="eastAsia"/>
          <w:color w:val="FF0000"/>
        </w:rPr>
        <w:t>素養的重要性，在技術創新與教育本質之間尋找適當的平衡點，認識到教學和學習過程的複雜性。</w:t>
      </w:r>
      <w:r>
        <w:rPr>
          <w:rFonts w:hint="eastAsia"/>
        </w:rPr>
        <w:t>這些發現對於教育機構和政策制定者具有重要參考價值，有助於制定推廣</w:t>
      </w:r>
      <w:r>
        <w:rPr>
          <w:rFonts w:hint="eastAsia"/>
        </w:rPr>
        <w:t>GenAI</w:t>
      </w:r>
      <w:r>
        <w:rPr>
          <w:rFonts w:hint="eastAsia"/>
        </w:rPr>
        <w:t>工具的策略，提升教育效果。此外，本研究還指出了未來研究的幾個方向，包括進行長期追蹤研究、探討不同教育環境中的應用效果、研究個體差異以及改進</w:t>
      </w:r>
      <w:r>
        <w:rPr>
          <w:rFonts w:hint="eastAsia"/>
        </w:rPr>
        <w:t>GenAI</w:t>
      </w:r>
      <w:r>
        <w:rPr>
          <w:rFonts w:hint="eastAsia"/>
        </w:rPr>
        <w:t>工具。</w:t>
      </w:r>
      <w:r w:rsidR="00FF3B03" w:rsidRPr="00FF3B03">
        <w:rPr>
          <w:rFonts w:hint="eastAsia"/>
          <w:color w:val="FF0000"/>
        </w:rPr>
        <w:t>GenAI</w:t>
      </w:r>
      <w:r w:rsidR="00FF3B03" w:rsidRPr="00FF3B03">
        <w:rPr>
          <w:rFonts w:hint="eastAsia"/>
          <w:color w:val="FF0000"/>
        </w:rPr>
        <w:t>在教育中的有效應用可以顯著改善小學生的學習體驗，通過提供即時反饋和個性化學習支持，這對於提升學習效果具有重要作用。同時，這些工具的使用還能夠減少教師的重複性工作，使其能夠更加專注於創造性和戰略性教學活動。但也應該看到其存在的挑戰和限制。例如，小學生對人工智慧的態度和使用頻率可能受到多種因素的影響，如技術接受度、使用經驗和個人偏好。因此，未來的研究應該進一步探討這些影響因素，並制定相應的策略以促進人工智慧工具在教育中的廣泛應用。</w:t>
      </w:r>
      <w:r>
        <w:rPr>
          <w:rFonts w:hint="eastAsia"/>
        </w:rPr>
        <w:t>我們呼籲需要確保</w:t>
      </w:r>
      <w:r>
        <w:rPr>
          <w:rFonts w:hint="eastAsia"/>
        </w:rPr>
        <w:t>AI</w:t>
      </w:r>
      <w:r>
        <w:rPr>
          <w:rFonts w:hint="eastAsia"/>
        </w:rPr>
        <w:t>與人類實踐上的和諧協作，擔保</w:t>
      </w:r>
      <w:r>
        <w:rPr>
          <w:rFonts w:hint="eastAsia"/>
        </w:rPr>
        <w:t>GenAI</w:t>
      </w:r>
      <w:r>
        <w:rPr>
          <w:rFonts w:hint="eastAsia"/>
        </w:rPr>
        <w:t>可以理解並尊重身為人類的價值觀，將人類置於技術發展的中心，並且重要的是，在倫理價值觀不同的群體之間進行和解努力</w:t>
      </w:r>
      <w:r>
        <w:rPr>
          <w:rFonts w:hint="eastAsia"/>
        </w:rPr>
        <w:t>(Jakesch, et al</w:t>
      </w:r>
      <w:r w:rsidR="007C7570">
        <w:rPr>
          <w:rFonts w:hint="eastAsia"/>
        </w:rPr>
        <w:t>.</w:t>
      </w:r>
      <w:r>
        <w:rPr>
          <w:rFonts w:hint="eastAsia"/>
        </w:rPr>
        <w:t>, 2022)</w:t>
      </w:r>
      <w:r>
        <w:rPr>
          <w:rFonts w:hint="eastAsia"/>
        </w:rPr>
        <w:t>。期待未來的研究能夠進一步深化對此主題的探索，為實現更加高效、公平和個性化的教育提供有力支持。</w:t>
      </w:r>
    </w:p>
    <w:p w14:paraId="452497F4" w14:textId="27E655E4" w:rsidR="009E4EBE" w:rsidRDefault="009E4EBE"/>
    <w:p w14:paraId="6863C150" w14:textId="51A09180" w:rsidR="003B4FC3" w:rsidRDefault="003B4FC3" w:rsidP="00423781">
      <w:pPr>
        <w:pStyle w:val="2"/>
      </w:pPr>
      <w:r>
        <w:rPr>
          <w:rFonts w:hint="eastAsia"/>
        </w:rPr>
        <w:t>參考文獻</w:t>
      </w:r>
    </w:p>
    <w:p w14:paraId="395E3C08" w14:textId="77777777" w:rsidR="00326175" w:rsidRPr="00326175" w:rsidRDefault="00326175" w:rsidP="00326175">
      <w:pPr>
        <w:ind w:left="400" w:hanging="400"/>
        <w:rPr>
          <w:rFonts w:cs="Times New Roman"/>
        </w:rPr>
      </w:pPr>
      <w:r w:rsidRPr="00326175">
        <w:rPr>
          <w:rFonts w:cs="Times New Roman"/>
          <w:color w:val="222222"/>
          <w:sz w:val="20"/>
          <w:szCs w:val="20"/>
          <w:shd w:val="clear" w:color="auto" w:fill="FFFFFF"/>
        </w:rPr>
        <w:t>Russell, S. J., &amp; Norvig, P. (2016). </w:t>
      </w:r>
      <w:r w:rsidRPr="00326175">
        <w:rPr>
          <w:rFonts w:cs="Times New Roman"/>
          <w:i/>
          <w:iCs/>
          <w:color w:val="222222"/>
          <w:sz w:val="20"/>
          <w:szCs w:val="20"/>
          <w:shd w:val="clear" w:color="auto" w:fill="FFFFFF"/>
        </w:rPr>
        <w:t>Artificial intelligence: a modern approach</w:t>
      </w:r>
      <w:r w:rsidRPr="00326175">
        <w:rPr>
          <w:rFonts w:cs="Times New Roman"/>
          <w:color w:val="222222"/>
          <w:sz w:val="20"/>
          <w:szCs w:val="20"/>
          <w:shd w:val="clear" w:color="auto" w:fill="FFFFFF"/>
        </w:rPr>
        <w:t>. Pearson.</w:t>
      </w:r>
    </w:p>
    <w:p w14:paraId="6F31DAEA" w14:textId="77777777" w:rsidR="00326175" w:rsidRPr="00326175" w:rsidRDefault="00326175" w:rsidP="00326175">
      <w:pPr>
        <w:ind w:left="400" w:hanging="400"/>
        <w:rPr>
          <w:rFonts w:cs="Times New Roman"/>
        </w:rPr>
      </w:pPr>
      <w:r w:rsidRPr="00326175">
        <w:rPr>
          <w:rFonts w:cs="Times New Roman"/>
          <w:color w:val="222222"/>
          <w:sz w:val="20"/>
          <w:szCs w:val="20"/>
          <w:shd w:val="clear" w:color="auto" w:fill="FFFFFF"/>
        </w:rPr>
        <w:t>Bostrom, N. (2016). The control problem. Excerpts from superintelligence: Paths, dangers, strategies. </w:t>
      </w:r>
      <w:r w:rsidRPr="00326175">
        <w:rPr>
          <w:rFonts w:cs="Times New Roman"/>
          <w:i/>
          <w:iCs/>
          <w:color w:val="222222"/>
          <w:sz w:val="20"/>
          <w:szCs w:val="20"/>
          <w:shd w:val="clear" w:color="auto" w:fill="FFFFFF"/>
        </w:rPr>
        <w:t>Science Fiction and Philosophy: From Time Travel to Superintelligence</w:t>
      </w:r>
      <w:r w:rsidRPr="00326175">
        <w:rPr>
          <w:rFonts w:cs="Times New Roman"/>
          <w:color w:val="222222"/>
          <w:sz w:val="20"/>
          <w:szCs w:val="20"/>
          <w:shd w:val="clear" w:color="auto" w:fill="FFFFFF"/>
        </w:rPr>
        <w:t>, 308-330.</w:t>
      </w:r>
    </w:p>
    <w:p w14:paraId="66A8454E" w14:textId="77777777" w:rsidR="00326175" w:rsidRPr="00326175" w:rsidRDefault="00326175" w:rsidP="00326175">
      <w:pPr>
        <w:ind w:left="400" w:hanging="400"/>
        <w:rPr>
          <w:rFonts w:cs="Times New Roman"/>
        </w:rPr>
      </w:pPr>
      <w:r w:rsidRPr="00326175">
        <w:rPr>
          <w:rFonts w:cs="Times New Roman"/>
          <w:color w:val="222222"/>
          <w:sz w:val="20"/>
          <w:szCs w:val="20"/>
          <w:shd w:val="clear" w:color="auto" w:fill="FFFFFF"/>
        </w:rPr>
        <w:t>Moravec, H. (1988). </w:t>
      </w:r>
      <w:r w:rsidRPr="00326175">
        <w:rPr>
          <w:rFonts w:cs="Times New Roman"/>
          <w:i/>
          <w:iCs/>
          <w:color w:val="222222"/>
          <w:sz w:val="20"/>
          <w:szCs w:val="20"/>
          <w:shd w:val="clear" w:color="auto" w:fill="FFFFFF"/>
        </w:rPr>
        <w:t>Mind children: The future of robot and human intelligence</w:t>
      </w:r>
      <w:r w:rsidRPr="00326175">
        <w:rPr>
          <w:rFonts w:cs="Times New Roman"/>
          <w:color w:val="222222"/>
          <w:sz w:val="20"/>
          <w:szCs w:val="20"/>
          <w:shd w:val="clear" w:color="auto" w:fill="FFFFFF"/>
        </w:rPr>
        <w:t>. Harvard University Press.</w:t>
      </w:r>
    </w:p>
    <w:p w14:paraId="6077BCBE" w14:textId="77777777" w:rsidR="00326175" w:rsidRPr="00326175" w:rsidRDefault="00326175" w:rsidP="00326175">
      <w:pPr>
        <w:ind w:left="400" w:hanging="400"/>
        <w:rPr>
          <w:rFonts w:cs="Times New Roman"/>
          <w:color w:val="222222"/>
          <w:sz w:val="20"/>
          <w:szCs w:val="20"/>
          <w:shd w:val="clear" w:color="auto" w:fill="FFFFFF"/>
        </w:rPr>
      </w:pPr>
      <w:r w:rsidRPr="00326175">
        <w:rPr>
          <w:rFonts w:cs="Times New Roman"/>
          <w:color w:val="222222"/>
          <w:sz w:val="20"/>
          <w:szCs w:val="20"/>
          <w:shd w:val="clear" w:color="auto" w:fill="FFFFFF"/>
        </w:rPr>
        <w:t>Dunn, T. J., &amp; Kennedy, M. (2019). Technology Enhanced Learning in higher education; motivations, engagement and academic achievement. </w:t>
      </w:r>
      <w:r w:rsidRPr="00326175">
        <w:rPr>
          <w:rFonts w:cs="Times New Roman"/>
          <w:i/>
          <w:iCs/>
          <w:color w:val="222222"/>
          <w:sz w:val="20"/>
          <w:szCs w:val="20"/>
          <w:shd w:val="clear" w:color="auto" w:fill="FFFFFF"/>
        </w:rPr>
        <w:t>Computers &amp;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137</w:t>
      </w:r>
      <w:r w:rsidRPr="00326175">
        <w:rPr>
          <w:rFonts w:cs="Times New Roman"/>
          <w:color w:val="222222"/>
          <w:sz w:val="20"/>
          <w:szCs w:val="20"/>
          <w:shd w:val="clear" w:color="auto" w:fill="FFFFFF"/>
        </w:rPr>
        <w:t>, 104-113.</w:t>
      </w:r>
    </w:p>
    <w:p w14:paraId="6C90A514"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eastAsiaTheme="minorEastAsia" w:cs="Times New Roman"/>
          <w:color w:val="222222"/>
          <w:sz w:val="20"/>
          <w:szCs w:val="20"/>
          <w:shd w:val="clear" w:color="auto" w:fill="FFFFFF"/>
        </w:rPr>
        <w:t>NBC News. (2023.). New York City public schools ban ChatGPT on devices, networks. Retrieved April 12, 2023, from https://www.nbcnews.com/tech/tech-news/new-york-city-public-schools-ban-chatgpt-devices-networks-rcna64446</w:t>
      </w:r>
    </w:p>
    <w:p w14:paraId="0419EB3A"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eastAsiaTheme="minorEastAsia" w:cs="Times New Roman"/>
          <w:color w:val="222222"/>
          <w:sz w:val="20"/>
          <w:szCs w:val="20"/>
          <w:shd w:val="clear" w:color="auto" w:fill="FFFFFF"/>
        </w:rPr>
        <w:t>NBC News. (2023). ChatGPT ban dropped by New York City public schools. Retrieved from https://www.nbcnews.com/tech/chatgpt-ban-dropped-new-york-city-public-schools-rcna85089</w:t>
      </w:r>
    </w:p>
    <w:p w14:paraId="7161C664"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eastAsiaTheme="minorEastAsia" w:cs="Times New Roman"/>
          <w:color w:val="222222"/>
          <w:sz w:val="20"/>
          <w:szCs w:val="20"/>
          <w:shd w:val="clear" w:color="auto" w:fill="FFFFFF"/>
        </w:rPr>
        <w:t>EdWeek. (2023, October). 180-degree turn: NYC schools goes from banning ChatGPT to exploring AI's potential. Retrieved from https://www.edweek.org/technology/180-degree-turn-nyc-schools-goes-from-banning-chatgpt-to-exploring-ais-potential/2023/10</w:t>
      </w:r>
    </w:p>
    <w:p w14:paraId="4F04DE9E"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Davies, R. S., &amp; West, R. E. (2014). Technology integration in schools. </w:t>
      </w:r>
      <w:r w:rsidRPr="00326175">
        <w:rPr>
          <w:rFonts w:cs="Times New Roman"/>
          <w:i/>
          <w:iCs/>
          <w:color w:val="222222"/>
          <w:sz w:val="20"/>
          <w:szCs w:val="20"/>
          <w:shd w:val="clear" w:color="auto" w:fill="FFFFFF"/>
        </w:rPr>
        <w:t xml:space="preserve">Handbook of research on educational </w:t>
      </w:r>
      <w:r w:rsidRPr="00326175">
        <w:rPr>
          <w:rFonts w:cs="Times New Roman"/>
          <w:i/>
          <w:iCs/>
          <w:color w:val="222222"/>
          <w:sz w:val="20"/>
          <w:szCs w:val="20"/>
          <w:shd w:val="clear" w:color="auto" w:fill="FFFFFF"/>
        </w:rPr>
        <w:lastRenderedPageBreak/>
        <w:t>communications and technology</w:t>
      </w:r>
      <w:r w:rsidRPr="00326175">
        <w:rPr>
          <w:rFonts w:cs="Times New Roman"/>
          <w:color w:val="222222"/>
          <w:sz w:val="20"/>
          <w:szCs w:val="20"/>
          <w:shd w:val="clear" w:color="auto" w:fill="FFFFFF"/>
        </w:rPr>
        <w:t>, 841-853.</w:t>
      </w:r>
    </w:p>
    <w:p w14:paraId="08DD29A5" w14:textId="77777777" w:rsidR="00326175" w:rsidRPr="00326175" w:rsidRDefault="00326175" w:rsidP="00326175">
      <w:pPr>
        <w:tabs>
          <w:tab w:val="left" w:pos="679"/>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Alhumaid, K. (2019). Four ways technology has negatively changed education. </w:t>
      </w:r>
      <w:r w:rsidRPr="00326175">
        <w:rPr>
          <w:rFonts w:cs="Times New Roman"/>
          <w:i/>
          <w:iCs/>
          <w:color w:val="222222"/>
          <w:sz w:val="20"/>
          <w:szCs w:val="20"/>
          <w:shd w:val="clear" w:color="auto" w:fill="FFFFFF"/>
        </w:rPr>
        <w:t>Journal of Educational and Social Research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9</w:t>
      </w:r>
      <w:r w:rsidRPr="00326175">
        <w:rPr>
          <w:rFonts w:cs="Times New Roman"/>
          <w:color w:val="222222"/>
          <w:sz w:val="20"/>
          <w:szCs w:val="20"/>
          <w:shd w:val="clear" w:color="auto" w:fill="FFFFFF"/>
        </w:rPr>
        <w:t>(4).</w:t>
      </w:r>
    </w:p>
    <w:p w14:paraId="2793550B"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Sundar, S. S. (2020). Rise of machine agency: A framework for studying the psychology of human–AI interaction (HAII). </w:t>
      </w:r>
      <w:r w:rsidRPr="00326175">
        <w:rPr>
          <w:rFonts w:cs="Times New Roman"/>
          <w:i/>
          <w:iCs/>
          <w:color w:val="222222"/>
          <w:sz w:val="20"/>
          <w:szCs w:val="20"/>
          <w:shd w:val="clear" w:color="auto" w:fill="FFFFFF"/>
        </w:rPr>
        <w:t>Journal of Computer-Mediated Communication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25</w:t>
      </w:r>
      <w:r w:rsidRPr="00326175">
        <w:rPr>
          <w:rFonts w:cs="Times New Roman"/>
          <w:color w:val="222222"/>
          <w:sz w:val="20"/>
          <w:szCs w:val="20"/>
          <w:shd w:val="clear" w:color="auto" w:fill="FFFFFF"/>
        </w:rPr>
        <w:t>(1), 74-88.</w:t>
      </w:r>
    </w:p>
    <w:p w14:paraId="5A324004"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Fanni, R., Steinkogler, V. E., Zampedri, G., &amp; Pierson, J. (2023). Enhancing human agency through redress in Artificial Intelligence Systems. </w:t>
      </w:r>
      <w:r w:rsidRPr="00326175">
        <w:rPr>
          <w:rFonts w:cs="Times New Roman"/>
          <w:i/>
          <w:iCs/>
          <w:color w:val="222222"/>
          <w:sz w:val="20"/>
          <w:szCs w:val="20"/>
          <w:shd w:val="clear" w:color="auto" w:fill="FFFFFF"/>
        </w:rPr>
        <w:t>AI &amp; society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38</w:t>
      </w:r>
      <w:r w:rsidRPr="00326175">
        <w:rPr>
          <w:rFonts w:cs="Times New Roman"/>
          <w:color w:val="222222"/>
          <w:sz w:val="20"/>
          <w:szCs w:val="20"/>
          <w:shd w:val="clear" w:color="auto" w:fill="FFFFFF"/>
        </w:rPr>
        <w:t>(2), 537-547.</w:t>
      </w:r>
    </w:p>
    <w:p w14:paraId="54CEBC0F"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Bommasani, R., Hudson, D. A., Adeli, E., Altman, R., Arora, S., von Arx, S., ... &amp; Liang, P. (2021). On the opportunities and risks of foundation models. </w:t>
      </w:r>
      <w:r w:rsidRPr="00326175">
        <w:rPr>
          <w:rFonts w:cs="Times New Roman"/>
          <w:i/>
          <w:iCs/>
          <w:color w:val="222222"/>
          <w:sz w:val="20"/>
          <w:szCs w:val="20"/>
          <w:shd w:val="clear" w:color="auto" w:fill="FFFFFF"/>
        </w:rPr>
        <w:t>arXiv preprint arXiv:2108.07258</w:t>
      </w:r>
      <w:r w:rsidRPr="00326175">
        <w:rPr>
          <w:rFonts w:cs="Times New Roman"/>
          <w:color w:val="222222"/>
          <w:sz w:val="20"/>
          <w:szCs w:val="20"/>
          <w:shd w:val="clear" w:color="auto" w:fill="FFFFFF"/>
        </w:rPr>
        <w:t>.</w:t>
      </w:r>
    </w:p>
    <w:p w14:paraId="1A1166CA"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Scott, A. E., Neumann, D., Niess, J., &amp; Woźniak, P. W. (2023, April). Do you mind? User perceptions of machine consciousness. In </w:t>
      </w:r>
      <w:r w:rsidRPr="00326175">
        <w:rPr>
          <w:rFonts w:cs="Times New Roman"/>
          <w:i/>
          <w:iCs/>
          <w:color w:val="222222"/>
          <w:sz w:val="20"/>
          <w:szCs w:val="20"/>
          <w:shd w:val="clear" w:color="auto" w:fill="FFFFFF"/>
        </w:rPr>
        <w:t>Proceedings of the 2023 CHI conference on human factors in computing systems</w:t>
      </w:r>
      <w:r w:rsidRPr="00326175">
        <w:rPr>
          <w:rFonts w:cs="Times New Roman"/>
          <w:color w:val="222222"/>
          <w:sz w:val="20"/>
          <w:szCs w:val="20"/>
          <w:shd w:val="clear" w:color="auto" w:fill="FFFFFF"/>
        </w:rPr>
        <w:t> (pp. 1-19).</w:t>
      </w:r>
    </w:p>
    <w:p w14:paraId="28A116F8" w14:textId="77777777" w:rsidR="00326175" w:rsidRPr="00326175" w:rsidRDefault="00326175" w:rsidP="00326175">
      <w:pPr>
        <w:ind w:left="400" w:hanging="400"/>
        <w:rPr>
          <w:rFonts w:eastAsiaTheme="minorEastAsia" w:cs="Times New Roman"/>
          <w:color w:val="222222"/>
          <w:sz w:val="20"/>
          <w:szCs w:val="20"/>
          <w:shd w:val="clear" w:color="auto" w:fill="FFFFFF"/>
        </w:rPr>
      </w:pPr>
      <w:bookmarkStart w:id="13" w:name="_Hlk172687692"/>
      <w:r w:rsidRPr="00326175">
        <w:rPr>
          <w:rFonts w:cs="Times New Roman"/>
          <w:color w:val="222222"/>
          <w:sz w:val="20"/>
          <w:szCs w:val="20"/>
          <w:shd w:val="clear" w:color="auto" w:fill="FFFFFF"/>
        </w:rPr>
        <w:t>Kim</w:t>
      </w:r>
      <w:bookmarkEnd w:id="13"/>
      <w:r w:rsidRPr="00326175">
        <w:rPr>
          <w:rFonts w:cs="Times New Roman"/>
          <w:color w:val="222222"/>
          <w:sz w:val="20"/>
          <w:szCs w:val="20"/>
          <w:shd w:val="clear" w:color="auto" w:fill="FFFFFF"/>
        </w:rPr>
        <w:t>, T., Molina, M. D., Rheu, M., Zhan, E. S., &amp; Peng, W. (2023, April). One AI does not fit all: A cluster analysis of the laypeople’s perception of AI roles. In </w:t>
      </w:r>
      <w:r w:rsidRPr="00326175">
        <w:rPr>
          <w:rFonts w:cs="Times New Roman"/>
          <w:i/>
          <w:iCs/>
          <w:color w:val="222222"/>
          <w:sz w:val="20"/>
          <w:szCs w:val="20"/>
          <w:shd w:val="clear" w:color="auto" w:fill="FFFFFF"/>
        </w:rPr>
        <w:t>Proceedings of the 2023 CHI Conference on Human Factors in Computing Systems</w:t>
      </w:r>
      <w:r w:rsidRPr="00326175">
        <w:rPr>
          <w:rFonts w:cs="Times New Roman"/>
          <w:color w:val="222222"/>
          <w:sz w:val="20"/>
          <w:szCs w:val="20"/>
          <w:shd w:val="clear" w:color="auto" w:fill="FFFFFF"/>
        </w:rPr>
        <w:t> (pp. 1-20).</w:t>
      </w:r>
    </w:p>
    <w:p w14:paraId="46FAFBCA"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Eloundou, T., Manning, S., Mishkin, P., &amp; Rock, D. (2023). Gpts are gpts: An early look at the labor market impact potential of large language models. </w:t>
      </w:r>
      <w:r w:rsidRPr="00326175">
        <w:rPr>
          <w:rFonts w:cs="Times New Roman"/>
          <w:i/>
          <w:iCs/>
          <w:color w:val="222222"/>
          <w:sz w:val="20"/>
          <w:szCs w:val="20"/>
          <w:shd w:val="clear" w:color="auto" w:fill="FFFFFF"/>
        </w:rPr>
        <w:t>arXiv preprint arXiv:2303.10130</w:t>
      </w:r>
      <w:r w:rsidRPr="00326175">
        <w:rPr>
          <w:rFonts w:cs="Times New Roman"/>
          <w:color w:val="222222"/>
          <w:sz w:val="20"/>
          <w:szCs w:val="20"/>
          <w:shd w:val="clear" w:color="auto" w:fill="FFFFFF"/>
        </w:rPr>
        <w:t>.</w:t>
      </w:r>
    </w:p>
    <w:p w14:paraId="259A4A1A"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Felten, E., Raj, M., &amp; Seamans, R. (2023). How will language modelers like chatgpt affect occupations and industries?. </w:t>
      </w:r>
      <w:r w:rsidRPr="00326175">
        <w:rPr>
          <w:rFonts w:cs="Times New Roman"/>
          <w:i/>
          <w:iCs/>
          <w:color w:val="222222"/>
          <w:sz w:val="20"/>
          <w:szCs w:val="20"/>
          <w:shd w:val="clear" w:color="auto" w:fill="FFFFFF"/>
        </w:rPr>
        <w:t>arXiv preprint arXiv:2303.01157</w:t>
      </w:r>
      <w:r w:rsidRPr="00326175">
        <w:rPr>
          <w:rFonts w:cs="Times New Roman"/>
          <w:color w:val="222222"/>
          <w:sz w:val="20"/>
          <w:szCs w:val="20"/>
          <w:shd w:val="clear" w:color="auto" w:fill="FFFFFF"/>
        </w:rPr>
        <w:t>.</w:t>
      </w:r>
    </w:p>
    <w:p w14:paraId="2B19997E"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Pearson, A. (2023). The rise of CreAltives: Using AI to enable and speed up the creative process. </w:t>
      </w:r>
      <w:r w:rsidRPr="00326175">
        <w:rPr>
          <w:rFonts w:cs="Times New Roman"/>
          <w:i/>
          <w:iCs/>
          <w:color w:val="222222"/>
          <w:sz w:val="20"/>
          <w:szCs w:val="20"/>
          <w:shd w:val="clear" w:color="auto" w:fill="FFFFFF"/>
        </w:rPr>
        <w:t>Journal of AI, Robotics &amp; Workplace Automation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(2), 101-114.</w:t>
      </w:r>
    </w:p>
    <w:p w14:paraId="10224CA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Ning, B., Liu, F., &amp; Liu, Z. (2023, May). Creativity Support in AI Co-creative Tools: Current Research, Challenges and Opportunities. In </w:t>
      </w:r>
      <w:r w:rsidRPr="00326175">
        <w:rPr>
          <w:rFonts w:cs="Times New Roman"/>
          <w:i/>
          <w:iCs/>
          <w:color w:val="222222"/>
          <w:sz w:val="20"/>
          <w:szCs w:val="20"/>
          <w:shd w:val="clear" w:color="auto" w:fill="FFFFFF"/>
        </w:rPr>
        <w:t>2023 26th International Conference on Computer Supported Cooperative Work in Design (CSCWD)</w:t>
      </w:r>
      <w:r w:rsidRPr="00326175">
        <w:rPr>
          <w:rFonts w:cs="Times New Roman"/>
          <w:color w:val="222222"/>
          <w:sz w:val="20"/>
          <w:szCs w:val="20"/>
          <w:shd w:val="clear" w:color="auto" w:fill="FFFFFF"/>
        </w:rPr>
        <w:t> (pp. 5-10). IEEE.</w:t>
      </w:r>
    </w:p>
    <w:p w14:paraId="0EE30F91"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Chai, C. S., Rahmawati, Y., &amp; Jong, M. S. Y. (2020). Indonesian science, mathematics, and engineering preservice teachers’ experiences in STEM-TPACK design-based learning. </w:t>
      </w:r>
      <w:r w:rsidRPr="00326175">
        <w:rPr>
          <w:rFonts w:cs="Times New Roman"/>
          <w:i/>
          <w:iCs/>
          <w:color w:val="222222"/>
          <w:sz w:val="20"/>
          <w:szCs w:val="20"/>
          <w:shd w:val="clear" w:color="auto" w:fill="FFFFFF"/>
        </w:rPr>
        <w:t>Sustainability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12</w:t>
      </w:r>
      <w:r w:rsidRPr="00326175">
        <w:rPr>
          <w:rFonts w:cs="Times New Roman"/>
          <w:color w:val="222222"/>
          <w:sz w:val="20"/>
          <w:szCs w:val="20"/>
          <w:shd w:val="clear" w:color="auto" w:fill="FFFFFF"/>
        </w:rPr>
        <w:t>(21), 9050.</w:t>
      </w:r>
    </w:p>
    <w:p w14:paraId="37D8D4F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Roy, R., Babakerkhell, M. D., Mukherjee, S., Pal, D., &amp; Funilkul, S. (2022). Evaluating the intention for the adoption of artificial intelligence-based robots in the university to educate the students. </w:t>
      </w:r>
      <w:r w:rsidRPr="00326175">
        <w:rPr>
          <w:rFonts w:cs="Times New Roman"/>
          <w:i/>
          <w:iCs/>
          <w:color w:val="222222"/>
          <w:sz w:val="20"/>
          <w:szCs w:val="20"/>
          <w:shd w:val="clear" w:color="auto" w:fill="FFFFFF"/>
        </w:rPr>
        <w:t>IEEE Access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10</w:t>
      </w:r>
      <w:r w:rsidRPr="00326175">
        <w:rPr>
          <w:rFonts w:cs="Times New Roman"/>
          <w:color w:val="222222"/>
          <w:sz w:val="20"/>
          <w:szCs w:val="20"/>
          <w:shd w:val="clear" w:color="auto" w:fill="FFFFFF"/>
        </w:rPr>
        <w:t>, 125666-125678.</w:t>
      </w:r>
    </w:p>
    <w:p w14:paraId="146DDBEC"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Suh, W., &amp; Ahn, S. (2022). Development and validation of a scale measuring student attitudes toward artificial intelligence. </w:t>
      </w:r>
      <w:r w:rsidRPr="00326175">
        <w:rPr>
          <w:rFonts w:cs="Times New Roman"/>
          <w:i/>
          <w:iCs/>
          <w:color w:val="222222"/>
          <w:sz w:val="20"/>
          <w:szCs w:val="20"/>
          <w:shd w:val="clear" w:color="auto" w:fill="FFFFFF"/>
        </w:rPr>
        <w:t>Sage Open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12</w:t>
      </w:r>
      <w:r w:rsidRPr="00326175">
        <w:rPr>
          <w:rFonts w:cs="Times New Roman"/>
          <w:color w:val="222222"/>
          <w:sz w:val="20"/>
          <w:szCs w:val="20"/>
          <w:shd w:val="clear" w:color="auto" w:fill="FFFFFF"/>
        </w:rPr>
        <w:t>(2), 21582440221100463.</w:t>
      </w:r>
    </w:p>
    <w:p w14:paraId="559AB351"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Slimi, Z. (2021). The impact of AI implementation in higher education on educational process future: A systematic review.</w:t>
      </w:r>
    </w:p>
    <w:p w14:paraId="2ADE085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Hajam, K. B., &amp; Gahir, S. (2024). Unveiling the Attitudes of University Students Toward Artificial Intelligence. </w:t>
      </w:r>
      <w:r w:rsidRPr="00326175">
        <w:rPr>
          <w:rFonts w:cs="Times New Roman"/>
          <w:i/>
          <w:iCs/>
          <w:color w:val="222222"/>
          <w:sz w:val="20"/>
          <w:szCs w:val="20"/>
          <w:shd w:val="clear" w:color="auto" w:fill="FFFFFF"/>
        </w:rPr>
        <w:t>Journal of Educational Technology Systems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52</w:t>
      </w:r>
      <w:r w:rsidRPr="00326175">
        <w:rPr>
          <w:rFonts w:cs="Times New Roman"/>
          <w:color w:val="222222"/>
          <w:sz w:val="20"/>
          <w:szCs w:val="20"/>
          <w:shd w:val="clear" w:color="auto" w:fill="FFFFFF"/>
        </w:rPr>
        <w:t>(3), 335-345.</w:t>
      </w:r>
    </w:p>
    <w:p w14:paraId="22F1AF6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Chiu, T. K., Xia, Q., Zhou, X., Chai, C. S., &amp; Cheng, M. (2023). Systematic literature review on opportunities, challenges, and future research recommendations of artificial intelligence in education. </w:t>
      </w:r>
      <w:r w:rsidRPr="00326175">
        <w:rPr>
          <w:rFonts w:cs="Times New Roman"/>
          <w:i/>
          <w:iCs/>
          <w:color w:val="222222"/>
          <w:sz w:val="20"/>
          <w:szCs w:val="20"/>
          <w:shd w:val="clear" w:color="auto" w:fill="FFFFFF"/>
        </w:rPr>
        <w:t>Computers and Education: Artificial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w:t>
      </w:r>
      <w:r w:rsidRPr="00326175">
        <w:rPr>
          <w:rFonts w:cs="Times New Roman"/>
          <w:color w:val="222222"/>
          <w:sz w:val="20"/>
          <w:szCs w:val="20"/>
          <w:shd w:val="clear" w:color="auto" w:fill="FFFFFF"/>
        </w:rPr>
        <w:t>, 100118.</w:t>
      </w:r>
    </w:p>
    <w:p w14:paraId="2CE2705D"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Bond, M., Khosravi, H., De Laat, M., Bergdahl, N., Negrea, V., Oxley, E., ... &amp; Siemens, G. (2024). A meta systematic review of artificial intelligence in higher education: a call for increased ethics, collaboration, and rigour. </w:t>
      </w:r>
      <w:r w:rsidRPr="00326175">
        <w:rPr>
          <w:rFonts w:cs="Times New Roman"/>
          <w:i/>
          <w:iCs/>
          <w:color w:val="222222"/>
          <w:sz w:val="20"/>
          <w:szCs w:val="20"/>
          <w:shd w:val="clear" w:color="auto" w:fill="FFFFFF"/>
        </w:rPr>
        <w:t>International Journal of Educational Technology in Higher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21</w:t>
      </w:r>
      <w:r w:rsidRPr="00326175">
        <w:rPr>
          <w:rFonts w:cs="Times New Roman"/>
          <w:color w:val="222222"/>
          <w:sz w:val="20"/>
          <w:szCs w:val="20"/>
          <w:shd w:val="clear" w:color="auto" w:fill="FFFFFF"/>
        </w:rPr>
        <w:t>(1), 4.</w:t>
      </w:r>
    </w:p>
    <w:p w14:paraId="05FD5BE2"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 xml:space="preserve">Polak, S., Schiavo, G., &amp; Zancanaro, M. (2022, April). Teachers’ perspective on artificial intelligence education: An </w:t>
      </w:r>
      <w:r w:rsidRPr="00326175">
        <w:rPr>
          <w:rFonts w:cs="Times New Roman"/>
          <w:color w:val="222222"/>
          <w:sz w:val="20"/>
          <w:szCs w:val="20"/>
          <w:shd w:val="clear" w:color="auto" w:fill="FFFFFF"/>
        </w:rPr>
        <w:lastRenderedPageBreak/>
        <w:t>initial investigation. In </w:t>
      </w:r>
      <w:r w:rsidRPr="00326175">
        <w:rPr>
          <w:rFonts w:cs="Times New Roman"/>
          <w:i/>
          <w:iCs/>
          <w:color w:val="222222"/>
          <w:sz w:val="20"/>
          <w:szCs w:val="20"/>
          <w:shd w:val="clear" w:color="auto" w:fill="FFFFFF"/>
        </w:rPr>
        <w:t>CHI Conference on Human Factors in Computing Systems Extended Abstracts</w:t>
      </w:r>
      <w:r w:rsidRPr="00326175">
        <w:rPr>
          <w:rFonts w:cs="Times New Roman"/>
          <w:color w:val="222222"/>
          <w:sz w:val="20"/>
          <w:szCs w:val="20"/>
          <w:shd w:val="clear" w:color="auto" w:fill="FFFFFF"/>
        </w:rPr>
        <w:t> (pp. 1-7).</w:t>
      </w:r>
    </w:p>
    <w:p w14:paraId="63BA9423"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Zhang, C., Yao, C., Liu, J., Zhou, Z., Zhang, W., Liu, L., ... &amp; Wang, G. (2021, May). StoryDrawer: A Co-Creative Agent Supporting Children's Storytelling through Collaborative Drawing. In </w:t>
      </w:r>
      <w:r w:rsidRPr="00326175">
        <w:rPr>
          <w:rFonts w:cs="Times New Roman"/>
          <w:i/>
          <w:iCs/>
          <w:color w:val="222222"/>
          <w:sz w:val="20"/>
          <w:szCs w:val="20"/>
          <w:shd w:val="clear" w:color="auto" w:fill="FFFFFF"/>
        </w:rPr>
        <w:t>Extended Abstracts of the 2021 CHI Conference on Human Factors in Computing Systems</w:t>
      </w:r>
      <w:r w:rsidRPr="00326175">
        <w:rPr>
          <w:rFonts w:cs="Times New Roman"/>
          <w:color w:val="222222"/>
          <w:sz w:val="20"/>
          <w:szCs w:val="20"/>
          <w:shd w:val="clear" w:color="auto" w:fill="FFFFFF"/>
        </w:rPr>
        <w:t> (pp. 1-6).</w:t>
      </w:r>
    </w:p>
    <w:p w14:paraId="07D1F4E9"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Williams, R., Park, H. W., &amp; Breazeal, C. (2019, May). A is for artificial intelligence: the impact of artificial intelligence activities on young children's perceptions of robots. In </w:t>
      </w:r>
      <w:r w:rsidRPr="00326175">
        <w:rPr>
          <w:rFonts w:cs="Times New Roman"/>
          <w:i/>
          <w:iCs/>
          <w:color w:val="222222"/>
          <w:sz w:val="20"/>
          <w:szCs w:val="20"/>
          <w:shd w:val="clear" w:color="auto" w:fill="FFFFFF"/>
        </w:rPr>
        <w:t>Proceedings of the 2019 CHI conference on human factors in computing systems</w:t>
      </w:r>
      <w:r w:rsidRPr="00326175">
        <w:rPr>
          <w:rFonts w:cs="Times New Roman"/>
          <w:color w:val="222222"/>
          <w:sz w:val="20"/>
          <w:szCs w:val="20"/>
          <w:shd w:val="clear" w:color="auto" w:fill="FFFFFF"/>
        </w:rPr>
        <w:t> (pp. 1-11).</w:t>
      </w:r>
    </w:p>
    <w:p w14:paraId="1CAD3B3B"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Boeren, E. (2019). Understanding Sustainable Development Goal (SDG) 4 on “quality education” from micro, meso and macro perspectives. </w:t>
      </w:r>
      <w:r w:rsidRPr="00326175">
        <w:rPr>
          <w:rFonts w:cs="Times New Roman"/>
          <w:i/>
          <w:iCs/>
          <w:color w:val="222222"/>
          <w:sz w:val="20"/>
          <w:szCs w:val="20"/>
          <w:shd w:val="clear" w:color="auto" w:fill="FFFFFF"/>
        </w:rPr>
        <w:t>International review of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65</w:t>
      </w:r>
      <w:r w:rsidRPr="00326175">
        <w:rPr>
          <w:rFonts w:cs="Times New Roman"/>
          <w:color w:val="222222"/>
          <w:sz w:val="20"/>
          <w:szCs w:val="20"/>
          <w:shd w:val="clear" w:color="auto" w:fill="FFFFFF"/>
        </w:rPr>
        <w:t>, 277-294.</w:t>
      </w:r>
    </w:p>
    <w:p w14:paraId="3CC5FCD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Tejedor, G., Segalàs, J., Barrón, Á., Fernández-Morilla, M., Fuertes, M. T., Ruiz-Morales, J., ... &amp; Hernández, À. (2019). Didactic strategies to promote competencies in sustainability. </w:t>
      </w:r>
      <w:r w:rsidRPr="00326175">
        <w:rPr>
          <w:rFonts w:cs="Times New Roman"/>
          <w:i/>
          <w:iCs/>
          <w:color w:val="222222"/>
          <w:sz w:val="20"/>
          <w:szCs w:val="20"/>
          <w:shd w:val="clear" w:color="auto" w:fill="FFFFFF"/>
        </w:rPr>
        <w:t>Sustainability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11</w:t>
      </w:r>
      <w:r w:rsidRPr="00326175">
        <w:rPr>
          <w:rFonts w:cs="Times New Roman"/>
          <w:color w:val="222222"/>
          <w:sz w:val="20"/>
          <w:szCs w:val="20"/>
          <w:shd w:val="clear" w:color="auto" w:fill="FFFFFF"/>
        </w:rPr>
        <w:t>(7), 2086.</w:t>
      </w:r>
    </w:p>
    <w:p w14:paraId="12814C47"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Kasneci, E., Seßler, K., Küchemann, S., Bannert, M., Dementieva, D., Fischer, F., ... &amp; Kasneci, G. (2023). ChatGPT for good? On opportunities and challenges of large language models for education. </w:t>
      </w:r>
      <w:r w:rsidRPr="00326175">
        <w:rPr>
          <w:rFonts w:cs="Times New Roman"/>
          <w:i/>
          <w:iCs/>
          <w:color w:val="222222"/>
          <w:sz w:val="20"/>
          <w:szCs w:val="20"/>
          <w:shd w:val="clear" w:color="auto" w:fill="FFFFFF"/>
        </w:rPr>
        <w:t>Learning and individual differences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103</w:t>
      </w:r>
      <w:r w:rsidRPr="00326175">
        <w:rPr>
          <w:rFonts w:cs="Times New Roman"/>
          <w:color w:val="222222"/>
          <w:sz w:val="20"/>
          <w:szCs w:val="20"/>
          <w:shd w:val="clear" w:color="auto" w:fill="FFFFFF"/>
        </w:rPr>
        <w:t>, 102274.</w:t>
      </w:r>
    </w:p>
    <w:p w14:paraId="0557EB8E"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Jauhiainen, J. S., &amp; Guerra, A. G. (2023). Generative AI and ChatGPT in school children’s education: Evidence from a school lesson. </w:t>
      </w:r>
      <w:r w:rsidRPr="00326175">
        <w:rPr>
          <w:rFonts w:cs="Times New Roman"/>
          <w:i/>
          <w:iCs/>
          <w:color w:val="222222"/>
          <w:sz w:val="20"/>
          <w:szCs w:val="20"/>
          <w:shd w:val="clear" w:color="auto" w:fill="FFFFFF"/>
        </w:rPr>
        <w:t>Sustainability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15</w:t>
      </w:r>
      <w:r w:rsidRPr="00326175">
        <w:rPr>
          <w:rFonts w:cs="Times New Roman"/>
          <w:color w:val="222222"/>
          <w:sz w:val="20"/>
          <w:szCs w:val="20"/>
          <w:shd w:val="clear" w:color="auto" w:fill="FFFFFF"/>
        </w:rPr>
        <w:t>(18), 14025.</w:t>
      </w:r>
    </w:p>
    <w:p w14:paraId="18F45D1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Pataranutaporn, P., Danry, V., Leong, J., Punpongsanon, P., Novy, D., Maes, P., &amp; Sra, M. (2021). AI-generated characters for supporting personalized learning and well-being. </w:t>
      </w:r>
      <w:r w:rsidRPr="00326175">
        <w:rPr>
          <w:rFonts w:cs="Times New Roman"/>
          <w:i/>
          <w:iCs/>
          <w:color w:val="222222"/>
          <w:sz w:val="20"/>
          <w:szCs w:val="20"/>
          <w:shd w:val="clear" w:color="auto" w:fill="FFFFFF"/>
        </w:rPr>
        <w:t>Nature Machine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w:t>
      </w:r>
      <w:r w:rsidRPr="00326175">
        <w:rPr>
          <w:rFonts w:cs="Times New Roman"/>
          <w:color w:val="222222"/>
          <w:sz w:val="20"/>
          <w:szCs w:val="20"/>
          <w:shd w:val="clear" w:color="auto" w:fill="FFFFFF"/>
        </w:rPr>
        <w:t>(12), 1013-1022.</w:t>
      </w:r>
    </w:p>
    <w:p w14:paraId="71A2E44F"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Kunicina, N., Zabasta, A., Nikiforova, O., Romanovs, A., &amp; Patlins, A. (2018, November). Modern tools of career development and motivation of students in Electrical Engineering Education. In </w:t>
      </w:r>
      <w:r w:rsidRPr="00326175">
        <w:rPr>
          <w:rFonts w:cs="Times New Roman"/>
          <w:i/>
          <w:iCs/>
          <w:color w:val="222222"/>
          <w:sz w:val="20"/>
          <w:szCs w:val="20"/>
          <w:shd w:val="clear" w:color="auto" w:fill="FFFFFF"/>
        </w:rPr>
        <w:t>2018 IEEE 59th International Scientific Conference on Power and Electrical Engineering of Riga Technical University (RTUCON)</w:t>
      </w:r>
      <w:r w:rsidRPr="00326175">
        <w:rPr>
          <w:rFonts w:cs="Times New Roman"/>
          <w:color w:val="222222"/>
          <w:sz w:val="20"/>
          <w:szCs w:val="20"/>
          <w:shd w:val="clear" w:color="auto" w:fill="FFFFFF"/>
        </w:rPr>
        <w:t> (pp. 1-6). IEEE.</w:t>
      </w:r>
    </w:p>
    <w:p w14:paraId="111D9F11"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McBride, C. (2015). </w:t>
      </w:r>
      <w:r w:rsidRPr="00326175">
        <w:rPr>
          <w:rFonts w:cs="Times New Roman"/>
          <w:i/>
          <w:iCs/>
          <w:color w:val="222222"/>
          <w:sz w:val="20"/>
          <w:szCs w:val="20"/>
          <w:shd w:val="clear" w:color="auto" w:fill="FFFFFF"/>
        </w:rPr>
        <w:t>Children's literacy development: A cross-cultural perspective on learning to read and write</w:t>
      </w:r>
      <w:r w:rsidRPr="00326175">
        <w:rPr>
          <w:rFonts w:cs="Times New Roman"/>
          <w:color w:val="222222"/>
          <w:sz w:val="20"/>
          <w:szCs w:val="20"/>
          <w:shd w:val="clear" w:color="auto" w:fill="FFFFFF"/>
        </w:rPr>
        <w:t>. Routledge.</w:t>
      </w:r>
    </w:p>
    <w:p w14:paraId="386C0619"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Zhao, L., Wu, X., &amp; Luo, H. (2022). Developing AI literacy for primary and middle school teachers in China: based on a structural equation modeling analysis. </w:t>
      </w:r>
      <w:r w:rsidRPr="00326175">
        <w:rPr>
          <w:rFonts w:cs="Times New Roman"/>
          <w:i/>
          <w:iCs/>
          <w:color w:val="222222"/>
          <w:sz w:val="20"/>
          <w:szCs w:val="20"/>
          <w:shd w:val="clear" w:color="auto" w:fill="FFFFFF"/>
        </w:rPr>
        <w:t>Sustainability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14</w:t>
      </w:r>
      <w:r w:rsidRPr="00326175">
        <w:rPr>
          <w:rFonts w:cs="Times New Roman"/>
          <w:color w:val="222222"/>
          <w:sz w:val="20"/>
          <w:szCs w:val="20"/>
          <w:shd w:val="clear" w:color="auto" w:fill="FFFFFF"/>
        </w:rPr>
        <w:t>(21), 14549.</w:t>
      </w:r>
    </w:p>
    <w:p w14:paraId="2332CC6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Fraillon, J., Schulz, W., &amp; Ainley, J. (2013). </w:t>
      </w:r>
      <w:r w:rsidRPr="00326175">
        <w:rPr>
          <w:rFonts w:cs="Times New Roman"/>
          <w:i/>
          <w:iCs/>
          <w:color w:val="222222"/>
          <w:sz w:val="20"/>
          <w:szCs w:val="20"/>
          <w:shd w:val="clear" w:color="auto" w:fill="FFFFFF"/>
        </w:rPr>
        <w:t>International Computer and Information Literacy Study: Assessment Framework</w:t>
      </w:r>
      <w:r w:rsidRPr="00326175">
        <w:rPr>
          <w:rFonts w:cs="Times New Roman"/>
          <w:color w:val="222222"/>
          <w:sz w:val="20"/>
          <w:szCs w:val="20"/>
          <w:shd w:val="clear" w:color="auto" w:fill="FFFFFF"/>
        </w:rPr>
        <w:t>. International Association for the Evaluation of Educational Achievement. Herengracht 487, Amsterdam, 1017 BT, The Netherlands.</w:t>
      </w:r>
    </w:p>
    <w:p w14:paraId="6ED7F3F7"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Ng, D. T. K., Leung, J. K. L., Chu, K. W. S., &amp; Qiao, M. S. (2021). AI literacy: Definition, teaching, evaluation and ethical issues. </w:t>
      </w:r>
      <w:r w:rsidRPr="00326175">
        <w:rPr>
          <w:rFonts w:cs="Times New Roman"/>
          <w:i/>
          <w:iCs/>
          <w:color w:val="222222"/>
          <w:sz w:val="20"/>
          <w:szCs w:val="20"/>
          <w:shd w:val="clear" w:color="auto" w:fill="FFFFFF"/>
        </w:rPr>
        <w:t>Proceedings of the Association for Information Science and Technology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58</w:t>
      </w:r>
      <w:r w:rsidRPr="00326175">
        <w:rPr>
          <w:rFonts w:cs="Times New Roman"/>
          <w:color w:val="222222"/>
          <w:sz w:val="20"/>
          <w:szCs w:val="20"/>
          <w:shd w:val="clear" w:color="auto" w:fill="FFFFFF"/>
        </w:rPr>
        <w:t>(1), 504-509.</w:t>
      </w:r>
    </w:p>
    <w:p w14:paraId="6DB72A30" w14:textId="77777777" w:rsidR="00326175" w:rsidRPr="00326175" w:rsidRDefault="00326175" w:rsidP="00326175">
      <w:pPr>
        <w:tabs>
          <w:tab w:val="left" w:pos="735"/>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Sharifi, A., Ahmadi, M., &amp; Ala, A. (2021). The impact of artificial intelligence and digital style on industry and energy post-COVID-19 pandemic. </w:t>
      </w:r>
      <w:r w:rsidRPr="00326175">
        <w:rPr>
          <w:rFonts w:cs="Times New Roman"/>
          <w:i/>
          <w:iCs/>
          <w:color w:val="222222"/>
          <w:sz w:val="20"/>
          <w:szCs w:val="20"/>
          <w:shd w:val="clear" w:color="auto" w:fill="FFFFFF"/>
        </w:rPr>
        <w:t>Environmental Science and Pollution Research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28</w:t>
      </w:r>
      <w:r w:rsidRPr="00326175">
        <w:rPr>
          <w:rFonts w:cs="Times New Roman"/>
          <w:color w:val="222222"/>
          <w:sz w:val="20"/>
          <w:szCs w:val="20"/>
          <w:shd w:val="clear" w:color="auto" w:fill="FFFFFF"/>
        </w:rPr>
        <w:t>, 46964-46984.</w:t>
      </w:r>
    </w:p>
    <w:p w14:paraId="26DA5D2A"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Williams, R., Ali, S., Devasia, N., DiPaola, D., Hong, J., Kaputsos, S. P., ... &amp; Breazeal, C. (2023). AI+ ethics curricula for middle school youth: Lessons learned from three project-based curricula. </w:t>
      </w:r>
      <w:r w:rsidRPr="00326175">
        <w:rPr>
          <w:rFonts w:cs="Times New Roman"/>
          <w:i/>
          <w:iCs/>
          <w:color w:val="222222"/>
          <w:sz w:val="20"/>
          <w:szCs w:val="20"/>
          <w:shd w:val="clear" w:color="auto" w:fill="FFFFFF"/>
        </w:rPr>
        <w:t>International Journal of Artificial Intelligence in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33</w:t>
      </w:r>
      <w:r w:rsidRPr="00326175">
        <w:rPr>
          <w:rFonts w:cs="Times New Roman"/>
          <w:color w:val="222222"/>
          <w:sz w:val="20"/>
          <w:szCs w:val="20"/>
          <w:shd w:val="clear" w:color="auto" w:fill="FFFFFF"/>
        </w:rPr>
        <w:t>(2), 325-383.</w:t>
      </w:r>
    </w:p>
    <w:p w14:paraId="2234D32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Burgsteiner, H., Kandlhofer, M., &amp; Steinbauer, G. (2016, March). Irobot: Teaching the basics of artificial intelligence in high schools. In </w:t>
      </w:r>
      <w:r w:rsidRPr="00326175">
        <w:rPr>
          <w:rFonts w:cs="Times New Roman"/>
          <w:i/>
          <w:iCs/>
          <w:color w:val="222222"/>
          <w:sz w:val="20"/>
          <w:szCs w:val="20"/>
          <w:shd w:val="clear" w:color="auto" w:fill="FFFFFF"/>
        </w:rPr>
        <w:t>Proceedings of the AAAI conference on artificial intelligence</w:t>
      </w:r>
      <w:r w:rsidRPr="00326175">
        <w:rPr>
          <w:rFonts w:cs="Times New Roman"/>
          <w:color w:val="222222"/>
          <w:sz w:val="20"/>
          <w:szCs w:val="20"/>
          <w:shd w:val="clear" w:color="auto" w:fill="FFFFFF"/>
        </w:rPr>
        <w:t> (Vol. 30, No. 1).</w:t>
      </w:r>
    </w:p>
    <w:p w14:paraId="5F94354F"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Long, D., &amp; Magerko, B. (2020, April). What is AI literacy? Competencies and design considerations. In </w:t>
      </w:r>
      <w:r w:rsidRPr="00326175">
        <w:rPr>
          <w:rFonts w:cs="Times New Roman"/>
          <w:i/>
          <w:iCs/>
          <w:color w:val="222222"/>
          <w:sz w:val="20"/>
          <w:szCs w:val="20"/>
          <w:shd w:val="clear" w:color="auto" w:fill="FFFFFF"/>
        </w:rPr>
        <w:t>Proceedings of the 2020 CHI conference on human factors in computing systems</w:t>
      </w:r>
      <w:r w:rsidRPr="00326175">
        <w:rPr>
          <w:rFonts w:cs="Times New Roman"/>
          <w:color w:val="222222"/>
          <w:sz w:val="20"/>
          <w:szCs w:val="20"/>
          <w:shd w:val="clear" w:color="auto" w:fill="FFFFFF"/>
        </w:rPr>
        <w:t> (pp. 1-16).</w:t>
      </w:r>
    </w:p>
    <w:p w14:paraId="53CE0ADD"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lastRenderedPageBreak/>
        <w:t>Touretzky, D., Gardner-McCune, C., Martin, F., &amp; Seehorn, D. (2019, July). Envisioning AI for K-12: What should every child know about AI?. In </w:t>
      </w:r>
      <w:r w:rsidRPr="00326175">
        <w:rPr>
          <w:rFonts w:cs="Times New Roman"/>
          <w:i/>
          <w:iCs/>
          <w:color w:val="222222"/>
          <w:sz w:val="20"/>
          <w:szCs w:val="20"/>
          <w:shd w:val="clear" w:color="auto" w:fill="FFFFFF"/>
        </w:rPr>
        <w:t>Proceedings of the AAAI conference on artificial intelligence</w:t>
      </w:r>
      <w:r w:rsidRPr="00326175">
        <w:rPr>
          <w:rFonts w:cs="Times New Roman"/>
          <w:color w:val="222222"/>
          <w:sz w:val="20"/>
          <w:szCs w:val="20"/>
          <w:shd w:val="clear" w:color="auto" w:fill="FFFFFF"/>
        </w:rPr>
        <w:t> (Vol. 33, No. 01, pp. 9795-9799).</w:t>
      </w:r>
    </w:p>
    <w:p w14:paraId="2283A118"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Long, D., Jacob, M., &amp; Magerko, B. (2019, June). Designing co-creative AI for public spaces. In </w:t>
      </w:r>
      <w:r w:rsidRPr="00326175">
        <w:rPr>
          <w:rFonts w:cs="Times New Roman"/>
          <w:i/>
          <w:iCs/>
          <w:color w:val="222222"/>
          <w:sz w:val="20"/>
          <w:szCs w:val="20"/>
          <w:shd w:val="clear" w:color="auto" w:fill="FFFFFF"/>
        </w:rPr>
        <w:t>Proceedings of the 2019 Conference on Creativity and Cognition</w:t>
      </w:r>
      <w:r w:rsidRPr="00326175">
        <w:rPr>
          <w:rFonts w:cs="Times New Roman"/>
          <w:color w:val="222222"/>
          <w:sz w:val="20"/>
          <w:szCs w:val="20"/>
          <w:shd w:val="clear" w:color="auto" w:fill="FFFFFF"/>
        </w:rPr>
        <w:t> (pp. 271-284).</w:t>
      </w:r>
    </w:p>
    <w:p w14:paraId="2EC7E34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Cope, B., Kalantzis, M., &amp; Searsmith, D. (2021). Artificial intelligence for education: Knowledge and its assessment in AI-enabled learning ecologies. </w:t>
      </w:r>
      <w:r w:rsidRPr="00326175">
        <w:rPr>
          <w:rFonts w:cs="Times New Roman"/>
          <w:i/>
          <w:iCs/>
          <w:color w:val="222222"/>
          <w:sz w:val="20"/>
          <w:szCs w:val="20"/>
          <w:shd w:val="clear" w:color="auto" w:fill="FFFFFF"/>
        </w:rPr>
        <w:t>Educational philosophy and theory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53</w:t>
      </w:r>
      <w:r w:rsidRPr="00326175">
        <w:rPr>
          <w:rFonts w:cs="Times New Roman"/>
          <w:color w:val="222222"/>
          <w:sz w:val="20"/>
          <w:szCs w:val="20"/>
          <w:shd w:val="clear" w:color="auto" w:fill="FFFFFF"/>
        </w:rPr>
        <w:t>(12), 1229-1245.</w:t>
      </w:r>
    </w:p>
    <w:p w14:paraId="4566A7D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Zawacki-Richter, O., Marín, V. I., Bond, M., &amp; Gouverneur, F. (2019). Systematic review of research on artificial intelligence applications in higher education–where are the educators?. </w:t>
      </w:r>
      <w:r w:rsidRPr="00326175">
        <w:rPr>
          <w:rFonts w:cs="Times New Roman"/>
          <w:i/>
          <w:iCs/>
          <w:color w:val="222222"/>
          <w:sz w:val="20"/>
          <w:szCs w:val="20"/>
          <w:shd w:val="clear" w:color="auto" w:fill="FFFFFF"/>
        </w:rPr>
        <w:t>International Journal of Educational Technology in Higher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16</w:t>
      </w:r>
      <w:r w:rsidRPr="00326175">
        <w:rPr>
          <w:rFonts w:cs="Times New Roman"/>
          <w:color w:val="222222"/>
          <w:sz w:val="20"/>
          <w:szCs w:val="20"/>
          <w:shd w:val="clear" w:color="auto" w:fill="FFFFFF"/>
        </w:rPr>
        <w:t>(1), 1-27.</w:t>
      </w:r>
    </w:p>
    <w:p w14:paraId="0E416116"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Vazhayil, A., Shetty, R., Bhavani, R. R., &amp; Akshay, N. (2019, December). Focusing on teacher education to introduce AI in schools: Perspectives and illustrative findings. In </w:t>
      </w:r>
      <w:r w:rsidRPr="00326175">
        <w:rPr>
          <w:rFonts w:cs="Times New Roman"/>
          <w:i/>
          <w:iCs/>
          <w:color w:val="222222"/>
          <w:sz w:val="20"/>
          <w:szCs w:val="20"/>
          <w:shd w:val="clear" w:color="auto" w:fill="FFFFFF"/>
        </w:rPr>
        <w:t>2019 IEEE tenth international conference on Technology for Education (T4E)</w:t>
      </w:r>
      <w:r w:rsidRPr="00326175">
        <w:rPr>
          <w:rFonts w:cs="Times New Roman"/>
          <w:color w:val="222222"/>
          <w:sz w:val="20"/>
          <w:szCs w:val="20"/>
          <w:shd w:val="clear" w:color="auto" w:fill="FFFFFF"/>
        </w:rPr>
        <w:t> (pp. 71-77). IEEE.</w:t>
      </w:r>
    </w:p>
    <w:p w14:paraId="7D364023"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Bjola, C. (2022). AI for development: Implications for theory and practice. </w:t>
      </w:r>
      <w:r w:rsidRPr="00326175">
        <w:rPr>
          <w:rFonts w:cs="Times New Roman"/>
          <w:i/>
          <w:iCs/>
          <w:color w:val="222222"/>
          <w:sz w:val="20"/>
          <w:szCs w:val="20"/>
          <w:shd w:val="clear" w:color="auto" w:fill="FFFFFF"/>
        </w:rPr>
        <w:t>Oxford Development Studies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50</w:t>
      </w:r>
      <w:r w:rsidRPr="00326175">
        <w:rPr>
          <w:rFonts w:cs="Times New Roman"/>
          <w:color w:val="222222"/>
          <w:sz w:val="20"/>
          <w:szCs w:val="20"/>
          <w:shd w:val="clear" w:color="auto" w:fill="FFFFFF"/>
        </w:rPr>
        <w:t>(1), 78-90.</w:t>
      </w:r>
    </w:p>
    <w:p w14:paraId="254772EE"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Raisch, S., &amp; Krakowski, S. (2021). Artificial intelligence and management: The automation–augmentation paradox. </w:t>
      </w:r>
      <w:r w:rsidRPr="00326175">
        <w:rPr>
          <w:rFonts w:cs="Times New Roman"/>
          <w:i/>
          <w:iCs/>
          <w:color w:val="222222"/>
          <w:sz w:val="20"/>
          <w:szCs w:val="20"/>
          <w:shd w:val="clear" w:color="auto" w:fill="FFFFFF"/>
        </w:rPr>
        <w:t>Academy of management review</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46</w:t>
      </w:r>
      <w:r w:rsidRPr="00326175">
        <w:rPr>
          <w:rFonts w:cs="Times New Roman"/>
          <w:color w:val="222222"/>
          <w:sz w:val="20"/>
          <w:szCs w:val="20"/>
          <w:shd w:val="clear" w:color="auto" w:fill="FFFFFF"/>
        </w:rPr>
        <w:t>(1), 192-210.</w:t>
      </w:r>
    </w:p>
    <w:p w14:paraId="4110E3CF"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Agha, K., Zhu, X., &amp; Chikwa, G. (2022). Towards Academic Integrity: Using Bloom’s Taxonomy and Technology to Deter Cheating in Online Courses. In </w:t>
      </w:r>
      <w:r w:rsidRPr="00326175">
        <w:rPr>
          <w:rFonts w:cs="Times New Roman"/>
          <w:i/>
          <w:iCs/>
          <w:color w:val="222222"/>
          <w:sz w:val="20"/>
          <w:szCs w:val="20"/>
          <w:shd w:val="clear" w:color="auto" w:fill="FFFFFF"/>
        </w:rPr>
        <w:t>Technologies, Artificial Intelligence and the Future of Learning Post-COVID-19: The Crucial Role of International Accreditation</w:t>
      </w:r>
      <w:r w:rsidRPr="00326175">
        <w:rPr>
          <w:rFonts w:cs="Times New Roman"/>
          <w:color w:val="222222"/>
          <w:sz w:val="20"/>
          <w:szCs w:val="20"/>
          <w:shd w:val="clear" w:color="auto" w:fill="FFFFFF"/>
        </w:rPr>
        <w:t> (pp. 447-466). Cham: Springer International Publishing.</w:t>
      </w:r>
    </w:p>
    <w:p w14:paraId="400063C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Kong, S. C., Cheung, W. M. Y., &amp; Zhang, G. (2021). Evaluation of an artificial intelligence literacy course for university students with diverse study backgrounds. </w:t>
      </w:r>
      <w:r w:rsidRPr="00326175">
        <w:rPr>
          <w:rFonts w:cs="Times New Roman"/>
          <w:i/>
          <w:iCs/>
          <w:color w:val="222222"/>
          <w:sz w:val="20"/>
          <w:szCs w:val="20"/>
          <w:shd w:val="clear" w:color="auto" w:fill="FFFFFF"/>
        </w:rPr>
        <w:t>Computers and Education: Artificial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 100026.</w:t>
      </w:r>
    </w:p>
    <w:p w14:paraId="69FF97A3"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Burns, M. K., Egan, A. M., Kunkel, A. K., McComas, J., Peterson, M. M., Rahn, N. L., &amp; Wilson, J. (2013). Training for Generalization and Maintenance in RtI Implementation: Front–Loading for Sustainability. </w:t>
      </w:r>
      <w:r w:rsidRPr="00326175">
        <w:rPr>
          <w:rFonts w:cs="Times New Roman"/>
          <w:i/>
          <w:iCs/>
          <w:color w:val="222222"/>
          <w:sz w:val="20"/>
          <w:szCs w:val="20"/>
          <w:shd w:val="clear" w:color="auto" w:fill="FFFFFF"/>
        </w:rPr>
        <w:t>Learning Disabilities Research &amp; Practice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28</w:t>
      </w:r>
      <w:r w:rsidRPr="00326175">
        <w:rPr>
          <w:rFonts w:cs="Times New Roman"/>
          <w:color w:val="222222"/>
          <w:sz w:val="20"/>
          <w:szCs w:val="20"/>
          <w:shd w:val="clear" w:color="auto" w:fill="FFFFFF"/>
        </w:rPr>
        <w:t>(2), 81-88.</w:t>
      </w:r>
    </w:p>
    <w:p w14:paraId="0D692EB8"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Hu, X. Y., &amp; Xu, H. Y. (2021). Construction of Intelligent Education Literacy Framework for K-12 Teachers. </w:t>
      </w:r>
      <w:r w:rsidRPr="00326175">
        <w:rPr>
          <w:rFonts w:cs="Times New Roman"/>
          <w:i/>
          <w:iCs/>
          <w:color w:val="222222"/>
          <w:sz w:val="20"/>
          <w:szCs w:val="20"/>
          <w:shd w:val="clear" w:color="auto" w:fill="FFFFFF"/>
        </w:rPr>
        <w:t>Open Educ. Res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w:t>
      </w:r>
      <w:r w:rsidRPr="00326175">
        <w:rPr>
          <w:rFonts w:cs="Times New Roman"/>
          <w:color w:val="222222"/>
          <w:sz w:val="20"/>
          <w:szCs w:val="20"/>
          <w:shd w:val="clear" w:color="auto" w:fill="FFFFFF"/>
        </w:rPr>
        <w:t>, 59-70.</w:t>
      </w:r>
    </w:p>
    <w:p w14:paraId="17320EE8"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Long, D., Jacob, M., &amp; Magerko, B. (2019, June). Designing co-creative AI for public spaces. In </w:t>
      </w:r>
      <w:r w:rsidRPr="00326175">
        <w:rPr>
          <w:rFonts w:cs="Times New Roman"/>
          <w:i/>
          <w:iCs/>
          <w:color w:val="222222"/>
          <w:sz w:val="20"/>
          <w:szCs w:val="20"/>
          <w:shd w:val="clear" w:color="auto" w:fill="FFFFFF"/>
        </w:rPr>
        <w:t>Proceedings of the 2019 Conference on Creativity and Cognition</w:t>
      </w:r>
      <w:r w:rsidRPr="00326175">
        <w:rPr>
          <w:rFonts w:cs="Times New Roman"/>
          <w:color w:val="222222"/>
          <w:sz w:val="20"/>
          <w:szCs w:val="20"/>
          <w:shd w:val="clear" w:color="auto" w:fill="FFFFFF"/>
        </w:rPr>
        <w:t> (pp. 271-284).</w:t>
      </w:r>
    </w:p>
    <w:p w14:paraId="76728763"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How, M. L., Cheah, S. M., Khor, A. C., &amp; Chan, Y. J. (2020). Artificial intelligence-enhanced predictive insights for advancing financial inclusion: A human-centric ai-thinking approach. </w:t>
      </w:r>
      <w:r w:rsidRPr="00326175">
        <w:rPr>
          <w:rFonts w:cs="Times New Roman"/>
          <w:i/>
          <w:iCs/>
          <w:color w:val="222222"/>
          <w:sz w:val="20"/>
          <w:szCs w:val="20"/>
          <w:shd w:val="clear" w:color="auto" w:fill="FFFFFF"/>
        </w:rPr>
        <w:t>Big Data and Cognitive Computing</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w:t>
      </w:r>
      <w:r w:rsidRPr="00326175">
        <w:rPr>
          <w:rFonts w:cs="Times New Roman"/>
          <w:color w:val="222222"/>
          <w:sz w:val="20"/>
          <w:szCs w:val="20"/>
          <w:shd w:val="clear" w:color="auto" w:fill="FFFFFF"/>
        </w:rPr>
        <w:t>(2), 8.</w:t>
      </w:r>
    </w:p>
    <w:p w14:paraId="22C0C82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Vestrucci, A., Lumbreras, S., &amp; Oviedo, L. (2021). Can AI help us to understand belief?: Sources, advances, limits, and future directions.</w:t>
      </w:r>
    </w:p>
    <w:p w14:paraId="58CAEB90"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Druga, S., Vu, S. T., Likhith, E., &amp; Qiu, T. (2019). Inclusive AI literacy for kids around the world. In </w:t>
      </w:r>
      <w:r w:rsidRPr="00326175">
        <w:rPr>
          <w:rFonts w:cs="Times New Roman"/>
          <w:i/>
          <w:iCs/>
          <w:color w:val="222222"/>
          <w:sz w:val="20"/>
          <w:szCs w:val="20"/>
          <w:shd w:val="clear" w:color="auto" w:fill="FFFFFF"/>
        </w:rPr>
        <w:t>Proceedings of FabLearn 2019</w:t>
      </w:r>
      <w:r w:rsidRPr="00326175">
        <w:rPr>
          <w:rFonts w:cs="Times New Roman"/>
          <w:color w:val="222222"/>
          <w:sz w:val="20"/>
          <w:szCs w:val="20"/>
          <w:shd w:val="clear" w:color="auto" w:fill="FFFFFF"/>
        </w:rPr>
        <w:t> (pp. 104-111).</w:t>
      </w:r>
    </w:p>
    <w:p w14:paraId="7BBBCF05" w14:textId="77777777" w:rsidR="00326175" w:rsidRPr="00326175" w:rsidRDefault="00326175" w:rsidP="00326175">
      <w:pPr>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Han, X., Hu, F., Xiong, G., Liu, X., Gong, X., Niu, X., ... &amp; Wang, X. (2018, November). Design of AI+ curriculum for primary and secondary schools in Qingdao. In </w:t>
      </w:r>
      <w:r w:rsidRPr="00326175">
        <w:rPr>
          <w:rFonts w:cs="Times New Roman"/>
          <w:i/>
          <w:iCs/>
          <w:color w:val="222222"/>
          <w:sz w:val="20"/>
          <w:szCs w:val="20"/>
          <w:shd w:val="clear" w:color="auto" w:fill="FFFFFF"/>
        </w:rPr>
        <w:t>2018 Chinese automation congress (CAC)</w:t>
      </w:r>
      <w:r w:rsidRPr="00326175">
        <w:rPr>
          <w:rFonts w:cs="Times New Roman"/>
          <w:color w:val="222222"/>
          <w:sz w:val="20"/>
          <w:szCs w:val="20"/>
          <w:shd w:val="clear" w:color="auto" w:fill="FFFFFF"/>
        </w:rPr>
        <w:t> (pp. 4135-4140). IEEE.</w:t>
      </w:r>
    </w:p>
    <w:p w14:paraId="6F01FF9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Iglesias-Pradas, S., Hernández-García, Á., Chaparro-Peláez, J., &amp; Prieto, J. L. (2021). Emergency remote teaching and students’ academic performance in higher education during the COVID-19 pandemic: A case study. </w:t>
      </w:r>
      <w:r w:rsidRPr="00326175">
        <w:rPr>
          <w:rFonts w:cs="Times New Roman"/>
          <w:i/>
          <w:iCs/>
          <w:color w:val="222222"/>
          <w:sz w:val="20"/>
          <w:szCs w:val="20"/>
          <w:shd w:val="clear" w:color="auto" w:fill="FFFFFF"/>
        </w:rPr>
        <w:t>Computers in human behavior</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119</w:t>
      </w:r>
      <w:r w:rsidRPr="00326175">
        <w:rPr>
          <w:rFonts w:cs="Times New Roman"/>
          <w:color w:val="222222"/>
          <w:sz w:val="20"/>
          <w:szCs w:val="20"/>
          <w:shd w:val="clear" w:color="auto" w:fill="FFFFFF"/>
        </w:rPr>
        <w:t>, 106713.</w:t>
      </w:r>
    </w:p>
    <w:p w14:paraId="3AB7C2D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lastRenderedPageBreak/>
        <w:t>Yang, S. J., Ogata, H., Matsui, T., &amp; Chen, N. S. (2021). Human-centered artificial intelligence in education: Seeing the invisible through the visible. </w:t>
      </w:r>
      <w:r w:rsidRPr="00326175">
        <w:rPr>
          <w:rFonts w:cs="Times New Roman"/>
          <w:i/>
          <w:iCs/>
          <w:color w:val="222222"/>
          <w:sz w:val="20"/>
          <w:szCs w:val="20"/>
          <w:shd w:val="clear" w:color="auto" w:fill="FFFFFF"/>
        </w:rPr>
        <w:t>Computers and Education: Artificial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 100008.</w:t>
      </w:r>
    </w:p>
    <w:p w14:paraId="36BA6A6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Wang, Y., Liu, C., &amp; Tu, Y. F. (2021). Factors affecting the adoption of AI-based applications in higher education. </w:t>
      </w:r>
      <w:r w:rsidRPr="00326175">
        <w:rPr>
          <w:rFonts w:cs="Times New Roman"/>
          <w:i/>
          <w:iCs/>
          <w:color w:val="222222"/>
          <w:sz w:val="20"/>
          <w:szCs w:val="20"/>
          <w:shd w:val="clear" w:color="auto" w:fill="FFFFFF"/>
        </w:rPr>
        <w:t>Educational Technology &amp; Society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24</w:t>
      </w:r>
      <w:r w:rsidRPr="00326175">
        <w:rPr>
          <w:rFonts w:cs="Times New Roman"/>
          <w:color w:val="222222"/>
          <w:sz w:val="20"/>
          <w:szCs w:val="20"/>
          <w:shd w:val="clear" w:color="auto" w:fill="FFFFFF"/>
        </w:rPr>
        <w:t>(3), 116-129.</w:t>
      </w:r>
    </w:p>
    <w:p w14:paraId="288FCE87"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Vazhayil, A., Shetty, R., Bhavani, R. R., &amp; Akshay, N. (2019, December). Focusing on teacher education to introduce AI in schools: Perspectives and illustrative findings. In </w:t>
      </w:r>
      <w:r w:rsidRPr="00326175">
        <w:rPr>
          <w:rFonts w:cs="Times New Roman"/>
          <w:i/>
          <w:iCs/>
          <w:color w:val="222222"/>
          <w:sz w:val="20"/>
          <w:szCs w:val="20"/>
          <w:shd w:val="clear" w:color="auto" w:fill="FFFFFF"/>
        </w:rPr>
        <w:t>2019 IEEE tenth international conference on Technology for Education (T4E)</w:t>
      </w:r>
      <w:r w:rsidRPr="00326175">
        <w:rPr>
          <w:rFonts w:cs="Times New Roman"/>
          <w:color w:val="222222"/>
          <w:sz w:val="20"/>
          <w:szCs w:val="20"/>
          <w:shd w:val="clear" w:color="auto" w:fill="FFFFFF"/>
        </w:rPr>
        <w:t> (pp. 71-77). IEEE.</w:t>
      </w:r>
    </w:p>
    <w:p w14:paraId="2FF2C8DE"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Gallardo-Montes, C. D. P., Rodríguez Fuentes, A., Caurcel Cara, M. J., &amp; Capperucci, D. (2022). Functionality of apps for people with autism: comparison between educators from Florence and Granada. </w:t>
      </w:r>
      <w:r w:rsidRPr="00326175">
        <w:rPr>
          <w:rFonts w:cs="Times New Roman"/>
          <w:i/>
          <w:iCs/>
          <w:color w:val="222222"/>
          <w:sz w:val="20"/>
          <w:szCs w:val="20"/>
          <w:shd w:val="clear" w:color="auto" w:fill="FFFFFF"/>
        </w:rPr>
        <w:t>International Journal of Environmental Research and Public Health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19</w:t>
      </w:r>
      <w:r w:rsidRPr="00326175">
        <w:rPr>
          <w:rFonts w:cs="Times New Roman"/>
          <w:color w:val="222222"/>
          <w:sz w:val="20"/>
          <w:szCs w:val="20"/>
          <w:shd w:val="clear" w:color="auto" w:fill="FFFFFF"/>
        </w:rPr>
        <w:t>(12), 7019.</w:t>
      </w:r>
    </w:p>
    <w:p w14:paraId="1010AC7E"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Batanero, J. M. F., Rebollo, M. M. R., &amp; Rueda, M. M. (2019). Impact of ICT on students with high abilities. Bibliographic review (2008–2018). </w:t>
      </w:r>
      <w:r w:rsidRPr="00326175">
        <w:rPr>
          <w:rFonts w:cs="Times New Roman"/>
          <w:i/>
          <w:iCs/>
          <w:color w:val="222222"/>
          <w:sz w:val="20"/>
          <w:szCs w:val="20"/>
          <w:shd w:val="clear" w:color="auto" w:fill="FFFFFF"/>
        </w:rPr>
        <w:t>Computers &amp;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137</w:t>
      </w:r>
      <w:r w:rsidRPr="00326175">
        <w:rPr>
          <w:rFonts w:cs="Times New Roman"/>
          <w:color w:val="222222"/>
          <w:sz w:val="20"/>
          <w:szCs w:val="20"/>
          <w:shd w:val="clear" w:color="auto" w:fill="FFFFFF"/>
        </w:rPr>
        <w:t>, 48-58.</w:t>
      </w:r>
    </w:p>
    <w:p w14:paraId="6AB607F5"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Burgsteiner, H., Kandlhofer, M., &amp; Steinbauer, G. (2016, March). Irobot: Teaching the basics of artificial intelligence in high schools. In </w:t>
      </w:r>
      <w:r w:rsidRPr="00326175">
        <w:rPr>
          <w:rFonts w:cs="Times New Roman"/>
          <w:i/>
          <w:iCs/>
          <w:color w:val="222222"/>
          <w:sz w:val="20"/>
          <w:szCs w:val="20"/>
          <w:shd w:val="clear" w:color="auto" w:fill="FFFFFF"/>
        </w:rPr>
        <w:t>Proceedings of the AAAI conference on artificial intelligence</w:t>
      </w:r>
      <w:r w:rsidRPr="00326175">
        <w:rPr>
          <w:rFonts w:cs="Times New Roman"/>
          <w:color w:val="222222"/>
          <w:sz w:val="20"/>
          <w:szCs w:val="20"/>
          <w:shd w:val="clear" w:color="auto" w:fill="FFFFFF"/>
        </w:rPr>
        <w:t> (Vol. 30, No. 1).</w:t>
      </w:r>
    </w:p>
    <w:p w14:paraId="645C25F5"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Zawacki-Richter, O., Marín, V. I., Bond, M., &amp; Gouverneur, F. (2019). Systematic review of research on artificial intelligence applications in higher education–where are the educators?. </w:t>
      </w:r>
      <w:r w:rsidRPr="00326175">
        <w:rPr>
          <w:rFonts w:cs="Times New Roman"/>
          <w:i/>
          <w:iCs/>
          <w:color w:val="222222"/>
          <w:sz w:val="20"/>
          <w:szCs w:val="20"/>
          <w:shd w:val="clear" w:color="auto" w:fill="FFFFFF"/>
        </w:rPr>
        <w:t>International Journal of Educational Technology in Higher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16</w:t>
      </w:r>
      <w:r w:rsidRPr="00326175">
        <w:rPr>
          <w:rFonts w:cs="Times New Roman"/>
          <w:color w:val="222222"/>
          <w:sz w:val="20"/>
          <w:szCs w:val="20"/>
          <w:shd w:val="clear" w:color="auto" w:fill="FFFFFF"/>
        </w:rPr>
        <w:t>(1), 1-27.</w:t>
      </w:r>
    </w:p>
    <w:p w14:paraId="3E290DAF" w14:textId="77777777" w:rsidR="00326175" w:rsidRPr="00326175" w:rsidRDefault="00326175" w:rsidP="00326175">
      <w:pPr>
        <w:tabs>
          <w:tab w:val="left" w:pos="72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Cope, B., Kalantzis, M., &amp; Searsmith, D. (2021). Artificial intelligence for education: Knowledge and its assessment in AI-enabled learning ecologies. </w:t>
      </w:r>
      <w:r w:rsidRPr="00326175">
        <w:rPr>
          <w:rFonts w:cs="Times New Roman"/>
          <w:i/>
          <w:iCs/>
          <w:color w:val="222222"/>
          <w:sz w:val="20"/>
          <w:szCs w:val="20"/>
          <w:shd w:val="clear" w:color="auto" w:fill="FFFFFF"/>
        </w:rPr>
        <w:t>Educational philosophy and theory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53</w:t>
      </w:r>
      <w:r w:rsidRPr="00326175">
        <w:rPr>
          <w:rFonts w:cs="Times New Roman"/>
          <w:color w:val="222222"/>
          <w:sz w:val="20"/>
          <w:szCs w:val="20"/>
          <w:shd w:val="clear" w:color="auto" w:fill="FFFFFF"/>
        </w:rPr>
        <w:t>(12), 1229-1245.</w:t>
      </w:r>
    </w:p>
    <w:p w14:paraId="47FEB8B5"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Shanthamallu, U. S., &amp; Spanias, A. (2021). </w:t>
      </w:r>
      <w:r w:rsidRPr="00326175">
        <w:rPr>
          <w:rFonts w:cs="Times New Roman"/>
          <w:i/>
          <w:iCs/>
          <w:color w:val="222222"/>
          <w:sz w:val="20"/>
          <w:szCs w:val="20"/>
          <w:shd w:val="clear" w:color="auto" w:fill="FFFFFF"/>
        </w:rPr>
        <w:t>Machine and deep learning algorithms and applications</w:t>
      </w:r>
      <w:r w:rsidRPr="00326175">
        <w:rPr>
          <w:rFonts w:cs="Times New Roman"/>
          <w:color w:val="222222"/>
          <w:sz w:val="20"/>
          <w:szCs w:val="20"/>
          <w:shd w:val="clear" w:color="auto" w:fill="FFFFFF"/>
        </w:rPr>
        <w:t>. Morgan &amp; Claypool Publishers.</w:t>
      </w:r>
    </w:p>
    <w:p w14:paraId="1200D23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Huang, X. (2021). Aims for cultivating students’ key competencies based on artificial intelligence education in China. </w:t>
      </w:r>
      <w:r w:rsidRPr="00326175">
        <w:rPr>
          <w:rFonts w:cs="Times New Roman"/>
          <w:i/>
          <w:iCs/>
          <w:color w:val="222222"/>
          <w:sz w:val="20"/>
          <w:szCs w:val="20"/>
          <w:shd w:val="clear" w:color="auto" w:fill="FFFFFF"/>
        </w:rPr>
        <w:t>Education and Information Technologies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26</w:t>
      </w:r>
      <w:r w:rsidRPr="00326175">
        <w:rPr>
          <w:rFonts w:cs="Times New Roman"/>
          <w:color w:val="222222"/>
          <w:sz w:val="20"/>
          <w:szCs w:val="20"/>
          <w:shd w:val="clear" w:color="auto" w:fill="FFFFFF"/>
        </w:rPr>
        <w:t>(5), 5127-5147.</w:t>
      </w:r>
    </w:p>
    <w:p w14:paraId="448C84D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Rapanta, C., Botturi, L., Goodyear, P., Guàrdia, L., &amp; Koole, M. (2020). Online university teaching during and after the Covid-19 crisis: Refocusing teacher presence and learning activity. </w:t>
      </w:r>
      <w:r w:rsidRPr="00326175">
        <w:rPr>
          <w:rFonts w:cs="Times New Roman"/>
          <w:i/>
          <w:iCs/>
          <w:color w:val="222222"/>
          <w:sz w:val="20"/>
          <w:szCs w:val="20"/>
          <w:shd w:val="clear" w:color="auto" w:fill="FFFFFF"/>
        </w:rPr>
        <w:t>Postdigital science and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 923-945.</w:t>
      </w:r>
    </w:p>
    <w:p w14:paraId="5DD1A457"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Chai, C. S., Lin, P. Y., Jong, M. S. Y., Dai, Y., Chiu, T. K., &amp; Huang, B. (2020, August). Factors influencing students' behavioral intention to continue artificial intelligence learning. In </w:t>
      </w:r>
      <w:r w:rsidRPr="00326175">
        <w:rPr>
          <w:rFonts w:cs="Times New Roman"/>
          <w:i/>
          <w:iCs/>
          <w:color w:val="222222"/>
          <w:sz w:val="20"/>
          <w:szCs w:val="20"/>
          <w:shd w:val="clear" w:color="auto" w:fill="FFFFFF"/>
        </w:rPr>
        <w:t>2020 international symposium on educational technology (ISET)</w:t>
      </w:r>
      <w:r w:rsidRPr="00326175">
        <w:rPr>
          <w:rFonts w:cs="Times New Roman"/>
          <w:color w:val="222222"/>
          <w:sz w:val="20"/>
          <w:szCs w:val="20"/>
          <w:shd w:val="clear" w:color="auto" w:fill="FFFFFF"/>
        </w:rPr>
        <w:t> (pp. 147-150). IEEE.</w:t>
      </w:r>
    </w:p>
    <w:p w14:paraId="4E9A953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Coghlan, S., Miller, T., &amp; Paterson, J. (2021). Good proctor or “big brother”? Ethics of online exam supervision technologies. </w:t>
      </w:r>
      <w:r w:rsidRPr="00326175">
        <w:rPr>
          <w:rFonts w:cs="Times New Roman"/>
          <w:i/>
          <w:iCs/>
          <w:color w:val="222222"/>
          <w:sz w:val="20"/>
          <w:szCs w:val="20"/>
          <w:shd w:val="clear" w:color="auto" w:fill="FFFFFF"/>
        </w:rPr>
        <w:t>Philosophy &amp; Technology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34</w:t>
      </w:r>
      <w:r w:rsidRPr="00326175">
        <w:rPr>
          <w:rFonts w:cs="Times New Roman"/>
          <w:color w:val="222222"/>
          <w:sz w:val="20"/>
          <w:szCs w:val="20"/>
          <w:shd w:val="clear" w:color="auto" w:fill="FFFFFF"/>
        </w:rPr>
        <w:t>(4), 1581-1606.</w:t>
      </w:r>
    </w:p>
    <w:p w14:paraId="1B5A4EBF"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Ng, D. T. K., Leung, J. K. L., Chu, S. K. W., &amp; Qiao, M. S. (2021). Conceptualizing AI literacy: An exploratory review. </w:t>
      </w:r>
      <w:r w:rsidRPr="00326175">
        <w:rPr>
          <w:rFonts w:cs="Times New Roman"/>
          <w:i/>
          <w:iCs/>
          <w:color w:val="222222"/>
          <w:sz w:val="20"/>
          <w:szCs w:val="20"/>
          <w:shd w:val="clear" w:color="auto" w:fill="FFFFFF"/>
        </w:rPr>
        <w:t>Computers and Education: Artificial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 100041.</w:t>
      </w:r>
    </w:p>
    <w:p w14:paraId="728BB5F9"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Wang, S., Duan, Y., Ding, H., Tan, Y. P., Yap, K. H., &amp; Yuan, J. (2022). Learning transferable human-object interaction detector with natural language supervision. In </w:t>
      </w:r>
      <w:r w:rsidRPr="00326175">
        <w:rPr>
          <w:rFonts w:cs="Times New Roman"/>
          <w:i/>
          <w:iCs/>
          <w:color w:val="222222"/>
          <w:sz w:val="20"/>
          <w:szCs w:val="20"/>
          <w:shd w:val="clear" w:color="auto" w:fill="FFFFFF"/>
        </w:rPr>
        <w:t>Proceedings of the IEEE/CVF Conference on Computer Vision and Pattern Recognition</w:t>
      </w:r>
      <w:r w:rsidRPr="00326175">
        <w:rPr>
          <w:rFonts w:cs="Times New Roman"/>
          <w:color w:val="222222"/>
          <w:sz w:val="20"/>
          <w:szCs w:val="20"/>
          <w:shd w:val="clear" w:color="auto" w:fill="FFFFFF"/>
        </w:rPr>
        <w:t> (pp. 939-948).</w:t>
      </w:r>
    </w:p>
    <w:p w14:paraId="74D1015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Achiam, J., Adler, S., Agarwal, S., Ahmad, L., Akkaya, I., Aleman, F. L., ... &amp; McGrew, B. (2023). Gpt-4 technical report. </w:t>
      </w:r>
      <w:r w:rsidRPr="00326175">
        <w:rPr>
          <w:rFonts w:cs="Times New Roman"/>
          <w:i/>
          <w:iCs/>
          <w:color w:val="222222"/>
          <w:sz w:val="20"/>
          <w:szCs w:val="20"/>
          <w:shd w:val="clear" w:color="auto" w:fill="FFFFFF"/>
        </w:rPr>
        <w:t>arXiv preprint arXiv:2303.08774</w:t>
      </w:r>
      <w:r w:rsidRPr="00326175">
        <w:rPr>
          <w:rFonts w:cs="Times New Roman"/>
          <w:color w:val="222222"/>
          <w:sz w:val="20"/>
          <w:szCs w:val="20"/>
          <w:shd w:val="clear" w:color="auto" w:fill="FFFFFF"/>
        </w:rPr>
        <w:t>.</w:t>
      </w:r>
    </w:p>
    <w:p w14:paraId="112CAE5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Saharia, C., Chan, W., Saxena, S., Li, L., Whang, J., Denton, E. L., ... &amp; Norouzi, M. (2022). Photorealistic text-to-image diffusion models with deep language understanding. </w:t>
      </w:r>
      <w:r w:rsidRPr="00326175">
        <w:rPr>
          <w:rFonts w:cs="Times New Roman"/>
          <w:i/>
          <w:iCs/>
          <w:color w:val="222222"/>
          <w:sz w:val="20"/>
          <w:szCs w:val="20"/>
          <w:shd w:val="clear" w:color="auto" w:fill="FFFFFF"/>
        </w:rPr>
        <w:t>Advances in neural information processing systems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35</w:t>
      </w:r>
      <w:r w:rsidRPr="00326175">
        <w:rPr>
          <w:rFonts w:cs="Times New Roman"/>
          <w:color w:val="222222"/>
          <w:sz w:val="20"/>
          <w:szCs w:val="20"/>
          <w:shd w:val="clear" w:color="auto" w:fill="FFFFFF"/>
        </w:rPr>
        <w:t>, 36479-36494.</w:t>
      </w:r>
    </w:p>
    <w:p w14:paraId="7A28E358"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lastRenderedPageBreak/>
        <w:t>Ho, J., Chan, W., Saharia, C., Whang, J., Gao, R., Gritsenko, A., ... &amp; Salimans, T. (2022). Imagen video: High definition video generation with diffusion models. </w:t>
      </w:r>
      <w:r w:rsidRPr="00326175">
        <w:rPr>
          <w:rFonts w:cs="Times New Roman"/>
          <w:i/>
          <w:iCs/>
          <w:color w:val="222222"/>
          <w:sz w:val="20"/>
          <w:szCs w:val="20"/>
          <w:shd w:val="clear" w:color="auto" w:fill="FFFFFF"/>
        </w:rPr>
        <w:t>arXiv preprint arXiv:2210.02303</w:t>
      </w:r>
      <w:r w:rsidRPr="00326175">
        <w:rPr>
          <w:rFonts w:cs="Times New Roman"/>
          <w:color w:val="222222"/>
          <w:sz w:val="20"/>
          <w:szCs w:val="20"/>
          <w:shd w:val="clear" w:color="auto" w:fill="FFFFFF"/>
        </w:rPr>
        <w:t>.</w:t>
      </w:r>
    </w:p>
    <w:p w14:paraId="0DA6997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Borsos, Z., Marinier, R., Vincent, D., Kharitonov, E., Pietquin, O., Sharifi, M., ... &amp; Zeghidour, N. (2023). Audiolm: a language modeling approach to audio generation. </w:t>
      </w:r>
      <w:r w:rsidRPr="00326175">
        <w:rPr>
          <w:rFonts w:cs="Times New Roman"/>
          <w:i/>
          <w:iCs/>
          <w:color w:val="222222"/>
          <w:sz w:val="20"/>
          <w:szCs w:val="20"/>
          <w:shd w:val="clear" w:color="auto" w:fill="FFFFFF"/>
        </w:rPr>
        <w:t>IEEE/ACM transactions on audio, speech, and language processing</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31</w:t>
      </w:r>
      <w:r w:rsidRPr="00326175">
        <w:rPr>
          <w:rFonts w:cs="Times New Roman"/>
          <w:color w:val="222222"/>
          <w:sz w:val="20"/>
          <w:szCs w:val="20"/>
          <w:shd w:val="clear" w:color="auto" w:fill="FFFFFF"/>
        </w:rPr>
        <w:t>, 2523-2533.</w:t>
      </w:r>
    </w:p>
    <w:p w14:paraId="4B5A0C5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eastAsiaTheme="minorEastAsia" w:cs="Times New Roman"/>
          <w:color w:val="222222"/>
          <w:sz w:val="20"/>
          <w:szCs w:val="20"/>
          <w:shd w:val="clear" w:color="auto" w:fill="FFFFFF"/>
        </w:rPr>
        <w:t>OpenAI. 2023. Introducing gpts. https://openai.com/blog/introducing-gpts</w:t>
      </w:r>
    </w:p>
    <w:p w14:paraId="5897986E"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Lee, M., Liang, P., &amp; Yang, Q. (2022, April). Coauthor: Designing a human-ai collaborative writing dataset for exploring language model capabilities. In </w:t>
      </w:r>
      <w:r w:rsidRPr="00326175">
        <w:rPr>
          <w:rFonts w:cs="Times New Roman"/>
          <w:i/>
          <w:iCs/>
          <w:color w:val="222222"/>
          <w:sz w:val="20"/>
          <w:szCs w:val="20"/>
          <w:shd w:val="clear" w:color="auto" w:fill="FFFFFF"/>
        </w:rPr>
        <w:t>Proceedings of the 2022 CHI conference on human factors in computing systems</w:t>
      </w:r>
      <w:r w:rsidRPr="00326175">
        <w:rPr>
          <w:rFonts w:cs="Times New Roman"/>
          <w:color w:val="222222"/>
          <w:sz w:val="20"/>
          <w:szCs w:val="20"/>
          <w:shd w:val="clear" w:color="auto" w:fill="FFFFFF"/>
        </w:rPr>
        <w:t> (pp. 1-19).</w:t>
      </w:r>
    </w:p>
    <w:p w14:paraId="4ABF8A5A"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Zhang, W., Zeng, X., Li, P., &amp; Wang, B. (2023). Exploring the differences and evolution of college students' computational thinking in programming learning through data analysis. </w:t>
      </w:r>
      <w:r w:rsidRPr="00326175">
        <w:rPr>
          <w:rFonts w:cs="Times New Roman"/>
          <w:i/>
          <w:iCs/>
          <w:color w:val="222222"/>
          <w:sz w:val="20"/>
          <w:szCs w:val="20"/>
          <w:shd w:val="clear" w:color="auto" w:fill="FFFFFF"/>
        </w:rPr>
        <w:t>Computer Applications in Engineering Education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31</w:t>
      </w:r>
      <w:r w:rsidRPr="00326175">
        <w:rPr>
          <w:rFonts w:cs="Times New Roman"/>
          <w:color w:val="222222"/>
          <w:sz w:val="20"/>
          <w:szCs w:val="20"/>
          <w:shd w:val="clear" w:color="auto" w:fill="FFFFFF"/>
        </w:rPr>
        <w:t>(5), 1433-1446.</w:t>
      </w:r>
    </w:p>
    <w:p w14:paraId="312B8918"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Wu, T. T., Lee, H. Y., Li, P. H., Huang, C. N., &amp; Huang, Y. M. (2024). Promoting self-regulation progress and knowledge construction in blended learning via ChatGPT-based learning aid. </w:t>
      </w:r>
      <w:r w:rsidRPr="00326175">
        <w:rPr>
          <w:rFonts w:cs="Times New Roman"/>
          <w:i/>
          <w:iCs/>
          <w:color w:val="222222"/>
          <w:sz w:val="20"/>
          <w:szCs w:val="20"/>
          <w:shd w:val="clear" w:color="auto" w:fill="FFFFFF"/>
        </w:rPr>
        <w:t>Journal of Educational Computing Research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61</w:t>
      </w:r>
      <w:r w:rsidRPr="00326175">
        <w:rPr>
          <w:rFonts w:cs="Times New Roman"/>
          <w:color w:val="222222"/>
          <w:sz w:val="20"/>
          <w:szCs w:val="20"/>
          <w:shd w:val="clear" w:color="auto" w:fill="FFFFFF"/>
        </w:rPr>
        <w:t>(8), 3-31.</w:t>
      </w:r>
    </w:p>
    <w:p w14:paraId="6E3734DC"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Gero, K. I., Liu, V., &amp; Chilton, L. (2022, June). Sparks: Inspiration for science writing using language models. In </w:t>
      </w:r>
      <w:r w:rsidRPr="00326175">
        <w:rPr>
          <w:rFonts w:cs="Times New Roman"/>
          <w:i/>
          <w:iCs/>
          <w:color w:val="222222"/>
          <w:sz w:val="20"/>
          <w:szCs w:val="20"/>
          <w:shd w:val="clear" w:color="auto" w:fill="FFFFFF"/>
        </w:rPr>
        <w:t>Proceedings of the 2022 ACM Designing Interactive Systems Conference</w:t>
      </w:r>
      <w:r w:rsidRPr="00326175">
        <w:rPr>
          <w:rFonts w:cs="Times New Roman"/>
          <w:color w:val="222222"/>
          <w:sz w:val="20"/>
          <w:szCs w:val="20"/>
          <w:shd w:val="clear" w:color="auto" w:fill="FFFFFF"/>
        </w:rPr>
        <w:t> (pp. 1002-1019).</w:t>
      </w:r>
    </w:p>
    <w:p w14:paraId="56F3BF47" w14:textId="77777777" w:rsidR="00326175" w:rsidRPr="00326175" w:rsidRDefault="00326175" w:rsidP="00326175">
      <w:pPr>
        <w:tabs>
          <w:tab w:val="left" w:pos="1230"/>
        </w:tabs>
        <w:ind w:left="400" w:hanging="400"/>
        <w:rPr>
          <w:rFonts w:cs="Times New Roman"/>
          <w:color w:val="222222"/>
          <w:sz w:val="20"/>
          <w:szCs w:val="20"/>
          <w:shd w:val="clear" w:color="auto" w:fill="FFFFFF"/>
        </w:rPr>
      </w:pPr>
      <w:r w:rsidRPr="00326175">
        <w:rPr>
          <w:rFonts w:cs="Times New Roman"/>
          <w:color w:val="222222"/>
          <w:sz w:val="20"/>
          <w:szCs w:val="20"/>
          <w:shd w:val="clear" w:color="auto" w:fill="FFFFFF"/>
        </w:rPr>
        <w:t>Ahmad, N., Murugesan, S., &amp; Kshetri, N. (2023). Generative artificial intelligence and the education sector. </w:t>
      </w:r>
      <w:r w:rsidRPr="00326175">
        <w:rPr>
          <w:rFonts w:cs="Times New Roman"/>
          <w:i/>
          <w:iCs/>
          <w:color w:val="222222"/>
          <w:sz w:val="20"/>
          <w:szCs w:val="20"/>
          <w:shd w:val="clear" w:color="auto" w:fill="FFFFFF"/>
        </w:rPr>
        <w:t>Computer</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56</w:t>
      </w:r>
      <w:r w:rsidRPr="00326175">
        <w:rPr>
          <w:rFonts w:cs="Times New Roman"/>
          <w:color w:val="222222"/>
          <w:sz w:val="20"/>
          <w:szCs w:val="20"/>
          <w:shd w:val="clear" w:color="auto" w:fill="FFFFFF"/>
        </w:rPr>
        <w:t>(6), 72-76.</w:t>
      </w:r>
    </w:p>
    <w:p w14:paraId="5FFDDB3C"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Raman, R., Mandal, S., Das, P., Kaur, T., Sanjanasri, J. P., &amp; Nedungadi, P. (2023). University students as early adopters of ChatGPT: Innovation Diffusion Study.</w:t>
      </w:r>
    </w:p>
    <w:p w14:paraId="28D081D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eastAsiaTheme="minorEastAsia" w:cs="Times New Roman"/>
          <w:color w:val="222222"/>
          <w:sz w:val="20"/>
          <w:szCs w:val="20"/>
          <w:shd w:val="clear" w:color="auto" w:fill="FFFFFF"/>
        </w:rPr>
        <w:t>Speak ai. 2023. The speaking app that actually talks. https://www.speak.com/</w:t>
      </w:r>
    </w:p>
    <w:p w14:paraId="6211BDF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Birhane, A., Isaac, W., Prabhakaran, V., Diaz, M., Elish, M. C., Gabriel, I., &amp; Mohamed, S. (2022, October). Power to the people? Opportunities and challenges for participatory AI. In </w:t>
      </w:r>
      <w:r w:rsidRPr="00326175">
        <w:rPr>
          <w:rFonts w:cs="Times New Roman"/>
          <w:i/>
          <w:iCs/>
          <w:color w:val="222222"/>
          <w:sz w:val="20"/>
          <w:szCs w:val="20"/>
          <w:shd w:val="clear" w:color="auto" w:fill="FFFFFF"/>
        </w:rPr>
        <w:t>Proceedings of the 2nd ACM Conference on Equity and Access in Algorithms, Mechanisms, and Optimization</w:t>
      </w:r>
      <w:r w:rsidRPr="00326175">
        <w:rPr>
          <w:rFonts w:cs="Times New Roman"/>
          <w:color w:val="222222"/>
          <w:sz w:val="20"/>
          <w:szCs w:val="20"/>
          <w:shd w:val="clear" w:color="auto" w:fill="FFFFFF"/>
        </w:rPr>
        <w:t> (pp. 1-8).</w:t>
      </w:r>
    </w:p>
    <w:p w14:paraId="5DB0A02A"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Kulkarni, C., Druga, S., Chang, M., Fiannaca, A., Cai, C., &amp; Terry, M. (2023). A word is worth a thousand pictures: Prompts as ai design material. </w:t>
      </w:r>
      <w:r w:rsidRPr="00326175">
        <w:rPr>
          <w:rFonts w:cs="Times New Roman"/>
          <w:i/>
          <w:iCs/>
          <w:color w:val="222222"/>
          <w:sz w:val="20"/>
          <w:szCs w:val="20"/>
          <w:shd w:val="clear" w:color="auto" w:fill="FFFFFF"/>
        </w:rPr>
        <w:t>arXiv preprint arXiv:2303.12647</w:t>
      </w:r>
      <w:r w:rsidRPr="00326175">
        <w:rPr>
          <w:rFonts w:cs="Times New Roman"/>
          <w:color w:val="222222"/>
          <w:sz w:val="20"/>
          <w:szCs w:val="20"/>
          <w:shd w:val="clear" w:color="auto" w:fill="FFFFFF"/>
        </w:rPr>
        <w:t>.</w:t>
      </w:r>
    </w:p>
    <w:p w14:paraId="5BFD4E6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Yuan, A., Coenen, A., Reif, E., &amp; Ippolito, D. (2022, March). Wordcraft: story writing with large language models. In </w:t>
      </w:r>
      <w:r w:rsidRPr="00326175">
        <w:rPr>
          <w:rFonts w:cs="Times New Roman"/>
          <w:i/>
          <w:iCs/>
          <w:color w:val="222222"/>
          <w:sz w:val="20"/>
          <w:szCs w:val="20"/>
          <w:shd w:val="clear" w:color="auto" w:fill="FFFFFF"/>
        </w:rPr>
        <w:t>Proceedings of the 27th International Conference on Intelligent User Interfaces</w:t>
      </w:r>
      <w:r w:rsidRPr="00326175">
        <w:rPr>
          <w:rFonts w:cs="Times New Roman"/>
          <w:color w:val="222222"/>
          <w:sz w:val="20"/>
          <w:szCs w:val="20"/>
          <w:shd w:val="clear" w:color="auto" w:fill="FFFFFF"/>
        </w:rPr>
        <w:t> (pp. 841-852).</w:t>
      </w:r>
    </w:p>
    <w:p w14:paraId="1FB511B8"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Bender, E. M., Gebru, T., McMillan-Major, A., &amp; Shmitchell, S. (2021, March). On the dangers of stochastic parrots: Can language models be too big?</w:t>
      </w:r>
      <w:r w:rsidRPr="00326175">
        <w:rPr>
          <w:rFonts w:ascii="Segoe UI Emoji" w:hAnsi="Segoe UI Emoji" w:cs="Segoe UI Emoji"/>
          <w:color w:val="222222"/>
          <w:sz w:val="20"/>
          <w:szCs w:val="20"/>
          <w:shd w:val="clear" w:color="auto" w:fill="FFFFFF"/>
        </w:rPr>
        <w:t>🦜</w:t>
      </w:r>
      <w:r w:rsidRPr="00326175">
        <w:rPr>
          <w:rFonts w:cs="Times New Roman"/>
          <w:color w:val="222222"/>
          <w:sz w:val="20"/>
          <w:szCs w:val="20"/>
          <w:shd w:val="clear" w:color="auto" w:fill="FFFFFF"/>
        </w:rPr>
        <w:t>. In </w:t>
      </w:r>
      <w:r w:rsidRPr="00326175">
        <w:rPr>
          <w:rFonts w:cs="Times New Roman"/>
          <w:i/>
          <w:iCs/>
          <w:color w:val="222222"/>
          <w:sz w:val="20"/>
          <w:szCs w:val="20"/>
          <w:shd w:val="clear" w:color="auto" w:fill="FFFFFF"/>
        </w:rPr>
        <w:t>Proceedings of the 2021 ACM conference on fairness, accountability, and transparency</w:t>
      </w:r>
      <w:r w:rsidRPr="00326175">
        <w:rPr>
          <w:rFonts w:cs="Times New Roman"/>
          <w:color w:val="222222"/>
          <w:sz w:val="20"/>
          <w:szCs w:val="20"/>
          <w:shd w:val="clear" w:color="auto" w:fill="FFFFFF"/>
        </w:rPr>
        <w:t> (pp. 610-623).</w:t>
      </w:r>
    </w:p>
    <w:p w14:paraId="00758CF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Inie, N., Falk, J., &amp; Tanimoto, S. (2023, April). Designing participatory ai: Creative professionals’ worries and expectations about generative ai. In </w:t>
      </w:r>
      <w:r w:rsidRPr="00326175">
        <w:rPr>
          <w:rFonts w:cs="Times New Roman"/>
          <w:i/>
          <w:iCs/>
          <w:color w:val="222222"/>
          <w:sz w:val="20"/>
          <w:szCs w:val="20"/>
          <w:shd w:val="clear" w:color="auto" w:fill="FFFFFF"/>
        </w:rPr>
        <w:t>Extended Abstracts of the 2023 CHI Conference on Human Factors in Computing Systems</w:t>
      </w:r>
      <w:r w:rsidRPr="00326175">
        <w:rPr>
          <w:rFonts w:cs="Times New Roman"/>
          <w:color w:val="222222"/>
          <w:sz w:val="20"/>
          <w:szCs w:val="20"/>
          <w:shd w:val="clear" w:color="auto" w:fill="FFFFFF"/>
        </w:rPr>
        <w:t> (pp. 1-8).</w:t>
      </w:r>
    </w:p>
    <w:p w14:paraId="38ACF63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Eke, D. O. (2023). ChatGPT and the rise of generative AI: Threat to academic integrity?. </w:t>
      </w:r>
      <w:r w:rsidRPr="00326175">
        <w:rPr>
          <w:rFonts w:cs="Times New Roman"/>
          <w:i/>
          <w:iCs/>
          <w:color w:val="222222"/>
          <w:sz w:val="20"/>
          <w:szCs w:val="20"/>
          <w:shd w:val="clear" w:color="auto" w:fill="FFFFFF"/>
        </w:rPr>
        <w:t>Journal of Responsible Technology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13</w:t>
      </w:r>
      <w:r w:rsidRPr="00326175">
        <w:rPr>
          <w:rFonts w:cs="Times New Roman"/>
          <w:color w:val="222222"/>
          <w:sz w:val="20"/>
          <w:szCs w:val="20"/>
          <w:shd w:val="clear" w:color="auto" w:fill="FFFFFF"/>
        </w:rPr>
        <w:t>, 100060.</w:t>
      </w:r>
    </w:p>
    <w:p w14:paraId="5E6F18DD"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Solaiman, I., Talat, Z., Agnew, W., Ahmad, L., Baker, D., Blodgett, S. L., ... &amp; Subramonian, A. (2023). Evaluating the social impact of generative ai systems in systems and society. </w:t>
      </w:r>
      <w:r w:rsidRPr="00326175">
        <w:rPr>
          <w:rFonts w:cs="Times New Roman"/>
          <w:i/>
          <w:iCs/>
          <w:color w:val="222222"/>
          <w:sz w:val="20"/>
          <w:szCs w:val="20"/>
          <w:shd w:val="clear" w:color="auto" w:fill="FFFFFF"/>
        </w:rPr>
        <w:t>arXiv preprint arXiv:2306.05949</w:t>
      </w:r>
      <w:r w:rsidRPr="00326175">
        <w:rPr>
          <w:rFonts w:cs="Times New Roman"/>
          <w:color w:val="222222"/>
          <w:sz w:val="20"/>
          <w:szCs w:val="20"/>
          <w:shd w:val="clear" w:color="auto" w:fill="FFFFFF"/>
        </w:rPr>
        <w:t>.</w:t>
      </w:r>
    </w:p>
    <w:p w14:paraId="6719BD0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 xml:space="preserve">Bommasani, R., Hudson, D. A., Adeli, E., Altman, R., Arora, S., von Arx, S., ... &amp; Liang, P. (2021). On the opportunities </w:t>
      </w:r>
      <w:r w:rsidRPr="00326175">
        <w:rPr>
          <w:rFonts w:cs="Times New Roman"/>
          <w:color w:val="222222"/>
          <w:sz w:val="20"/>
          <w:szCs w:val="20"/>
          <w:shd w:val="clear" w:color="auto" w:fill="FFFFFF"/>
        </w:rPr>
        <w:lastRenderedPageBreak/>
        <w:t>and risks of foundation models. </w:t>
      </w:r>
      <w:r w:rsidRPr="00326175">
        <w:rPr>
          <w:rFonts w:cs="Times New Roman"/>
          <w:i/>
          <w:iCs/>
          <w:color w:val="222222"/>
          <w:sz w:val="20"/>
          <w:szCs w:val="20"/>
          <w:shd w:val="clear" w:color="auto" w:fill="FFFFFF"/>
        </w:rPr>
        <w:t>arXiv preprint arXiv:2108.07258</w:t>
      </w:r>
      <w:r w:rsidRPr="00326175">
        <w:rPr>
          <w:rFonts w:cs="Times New Roman"/>
          <w:color w:val="222222"/>
          <w:sz w:val="20"/>
          <w:szCs w:val="20"/>
          <w:shd w:val="clear" w:color="auto" w:fill="FFFFFF"/>
        </w:rPr>
        <w:t>.</w:t>
      </w:r>
    </w:p>
    <w:p w14:paraId="6174F70D"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Chai, C. S., Lin, P. Y., Jong, M. S. Y., Dai, Y., Chiu, T. K., &amp; Huang, B. (2020, August). Factors influencing students' behavioral intention to continue artificial intelligence learning. In </w:t>
      </w:r>
      <w:r w:rsidRPr="00326175">
        <w:rPr>
          <w:rFonts w:cs="Times New Roman"/>
          <w:i/>
          <w:iCs/>
          <w:color w:val="222222"/>
          <w:sz w:val="20"/>
          <w:szCs w:val="20"/>
          <w:shd w:val="clear" w:color="auto" w:fill="FFFFFF"/>
        </w:rPr>
        <w:t>2020 international symposium on educational technology (ISET)</w:t>
      </w:r>
      <w:r w:rsidRPr="00326175">
        <w:rPr>
          <w:rFonts w:cs="Times New Roman"/>
          <w:color w:val="222222"/>
          <w:sz w:val="20"/>
          <w:szCs w:val="20"/>
          <w:shd w:val="clear" w:color="auto" w:fill="FFFFFF"/>
        </w:rPr>
        <w:t> (pp. 147-150). IEEE.</w:t>
      </w:r>
    </w:p>
    <w:p w14:paraId="5F369B3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Wang, X., Gong, Z., Wang, G., Jia, J., Xu, Y., Zhao, J., ... &amp; Li, X. (2023). ChatGPT performs on the Chinese national medical licensing examination. </w:t>
      </w:r>
      <w:r w:rsidRPr="00326175">
        <w:rPr>
          <w:rFonts w:cs="Times New Roman"/>
          <w:i/>
          <w:iCs/>
          <w:color w:val="222222"/>
          <w:sz w:val="20"/>
          <w:szCs w:val="20"/>
          <w:shd w:val="clear" w:color="auto" w:fill="FFFFFF"/>
        </w:rPr>
        <w:t>Journal of medical systems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47</w:t>
      </w:r>
      <w:r w:rsidRPr="00326175">
        <w:rPr>
          <w:rFonts w:cs="Times New Roman"/>
          <w:color w:val="222222"/>
          <w:sz w:val="20"/>
          <w:szCs w:val="20"/>
          <w:shd w:val="clear" w:color="auto" w:fill="FFFFFF"/>
        </w:rPr>
        <w:t>(1), 86.</w:t>
      </w:r>
    </w:p>
    <w:p w14:paraId="4CEC8F1A"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Touvron, H., Martin, L., Stone, K., Albert, P., Almahairi, A., Babaei, Y., ... &amp; Scialom, T. (2023). Llama 2: Open foundation and fine-tuned chat models. </w:t>
      </w:r>
      <w:r w:rsidRPr="00326175">
        <w:rPr>
          <w:rFonts w:cs="Times New Roman"/>
          <w:i/>
          <w:iCs/>
          <w:color w:val="222222"/>
          <w:sz w:val="20"/>
          <w:szCs w:val="20"/>
          <w:shd w:val="clear" w:color="auto" w:fill="FFFFFF"/>
        </w:rPr>
        <w:t>arXiv preprint arXiv:2307.09288</w:t>
      </w:r>
      <w:r w:rsidRPr="00326175">
        <w:rPr>
          <w:rFonts w:cs="Times New Roman"/>
          <w:color w:val="222222"/>
          <w:sz w:val="20"/>
          <w:szCs w:val="20"/>
          <w:shd w:val="clear" w:color="auto" w:fill="FFFFFF"/>
        </w:rPr>
        <w:t>.</w:t>
      </w:r>
    </w:p>
    <w:p w14:paraId="2A3AAC4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Gupta, K. P., &amp; Bhaskar, P. (2020). Inhibiting and motivating factors influencing teachers’ adoption of AI-based teaching and learning solutions: Prioritization using analytic hierarchy process. </w:t>
      </w:r>
      <w:r w:rsidRPr="00326175">
        <w:rPr>
          <w:rFonts w:cs="Times New Roman"/>
          <w:i/>
          <w:iCs/>
          <w:color w:val="222222"/>
          <w:sz w:val="20"/>
          <w:szCs w:val="20"/>
          <w:shd w:val="clear" w:color="auto" w:fill="FFFFFF"/>
        </w:rPr>
        <w:t>Journal of Information Technology Education. Research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19</w:t>
      </w:r>
      <w:r w:rsidRPr="00326175">
        <w:rPr>
          <w:rFonts w:cs="Times New Roman"/>
          <w:color w:val="222222"/>
          <w:sz w:val="20"/>
          <w:szCs w:val="20"/>
          <w:shd w:val="clear" w:color="auto" w:fill="FFFFFF"/>
        </w:rPr>
        <w:t>, 693.</w:t>
      </w:r>
    </w:p>
    <w:p w14:paraId="27F0768A"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Roy, R., Babakerkhell, M. D., Mukherjee, S., Pal, D., &amp; Funilkul, S. (2022). Evaluating the intention for the adoption of artificial intelligence-based robots in the university to educate the students. </w:t>
      </w:r>
      <w:r w:rsidRPr="00326175">
        <w:rPr>
          <w:rFonts w:cs="Times New Roman"/>
          <w:i/>
          <w:iCs/>
          <w:color w:val="222222"/>
          <w:sz w:val="20"/>
          <w:szCs w:val="20"/>
          <w:shd w:val="clear" w:color="auto" w:fill="FFFFFF"/>
        </w:rPr>
        <w:t>IEEE Access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10</w:t>
      </w:r>
      <w:r w:rsidRPr="00326175">
        <w:rPr>
          <w:rFonts w:cs="Times New Roman"/>
          <w:color w:val="222222"/>
          <w:sz w:val="20"/>
          <w:szCs w:val="20"/>
          <w:shd w:val="clear" w:color="auto" w:fill="FFFFFF"/>
        </w:rPr>
        <w:t>, 125666-125678.</w:t>
      </w:r>
    </w:p>
    <w:p w14:paraId="4F0055F0"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Jauhiainen, J. S., &amp; Guerra, A. G. (2023). Generative AI and ChatGPT in school children’s education: Evidence from a school lesson. </w:t>
      </w:r>
      <w:r w:rsidRPr="00326175">
        <w:rPr>
          <w:rFonts w:cs="Times New Roman"/>
          <w:i/>
          <w:iCs/>
          <w:color w:val="222222"/>
          <w:sz w:val="20"/>
          <w:szCs w:val="20"/>
          <w:shd w:val="clear" w:color="auto" w:fill="FFFFFF"/>
        </w:rPr>
        <w:t>Sustainability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15</w:t>
      </w:r>
      <w:r w:rsidRPr="00326175">
        <w:rPr>
          <w:rFonts w:cs="Times New Roman"/>
          <w:color w:val="222222"/>
          <w:sz w:val="20"/>
          <w:szCs w:val="20"/>
          <w:shd w:val="clear" w:color="auto" w:fill="FFFFFF"/>
        </w:rPr>
        <w:t>(18), 14025.</w:t>
      </w:r>
    </w:p>
    <w:p w14:paraId="5AEDAECE"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Pataranutaporn, P., Danry, V., Leong, J., Punpongsanon, P., Novy, D., Maes, P., &amp; Sra, M. (2021). AI-generated characters for supporting personalized learning and well-being. </w:t>
      </w:r>
      <w:r w:rsidRPr="00326175">
        <w:rPr>
          <w:rFonts w:cs="Times New Roman"/>
          <w:i/>
          <w:iCs/>
          <w:color w:val="222222"/>
          <w:sz w:val="20"/>
          <w:szCs w:val="20"/>
          <w:shd w:val="clear" w:color="auto" w:fill="FFFFFF"/>
        </w:rPr>
        <w:t>Nature Machine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w:t>
      </w:r>
      <w:r w:rsidRPr="00326175">
        <w:rPr>
          <w:rFonts w:cs="Times New Roman"/>
          <w:color w:val="222222"/>
          <w:sz w:val="20"/>
          <w:szCs w:val="20"/>
          <w:shd w:val="clear" w:color="auto" w:fill="FFFFFF"/>
        </w:rPr>
        <w:t>(12), 1013-1022.</w:t>
      </w:r>
    </w:p>
    <w:p w14:paraId="6B57EDC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Morze, N., Varchenko-Trotsenko, L., Terletska, T., &amp; Smyrnova-Trybulska, E. (2021, March). Implementation of adaptive learning at higher education institutions by means of Moodle LMS. In </w:t>
      </w:r>
      <w:r w:rsidRPr="00326175">
        <w:rPr>
          <w:rFonts w:cs="Times New Roman"/>
          <w:i/>
          <w:iCs/>
          <w:color w:val="222222"/>
          <w:sz w:val="20"/>
          <w:szCs w:val="20"/>
          <w:shd w:val="clear" w:color="auto" w:fill="FFFFFF"/>
        </w:rPr>
        <w:t>Journal of physics: Conference series</w:t>
      </w:r>
      <w:r w:rsidRPr="00326175">
        <w:rPr>
          <w:rFonts w:cs="Times New Roman"/>
          <w:color w:val="222222"/>
          <w:sz w:val="20"/>
          <w:szCs w:val="20"/>
          <w:shd w:val="clear" w:color="auto" w:fill="FFFFFF"/>
        </w:rPr>
        <w:t> (Vol. 1840, No. 1, p. 012062). IOP Publishing.</w:t>
      </w:r>
    </w:p>
    <w:p w14:paraId="2749B61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Kasneci, E., Seßler, K., Küchemann, S., Bannert, M., Dementieva, D., Fischer, F., ... &amp; Kasneci, G. (2023). ChatGPT for good? On opportunities and challenges of large language models for education. </w:t>
      </w:r>
      <w:r w:rsidRPr="00326175">
        <w:rPr>
          <w:rFonts w:cs="Times New Roman"/>
          <w:i/>
          <w:iCs/>
          <w:color w:val="222222"/>
          <w:sz w:val="20"/>
          <w:szCs w:val="20"/>
          <w:shd w:val="clear" w:color="auto" w:fill="FFFFFF"/>
        </w:rPr>
        <w:t>Learning and individual differences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103</w:t>
      </w:r>
      <w:r w:rsidRPr="00326175">
        <w:rPr>
          <w:rFonts w:cs="Times New Roman"/>
          <w:color w:val="222222"/>
          <w:sz w:val="20"/>
          <w:szCs w:val="20"/>
          <w:shd w:val="clear" w:color="auto" w:fill="FFFFFF"/>
        </w:rPr>
        <w:t>, 102274.</w:t>
      </w:r>
    </w:p>
    <w:p w14:paraId="51DAB52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Yuan, A., Coenen, A., Reif, E., &amp; Ippolito, D. (2022, March). Wordcraft: story writing with large language models. In </w:t>
      </w:r>
      <w:r w:rsidRPr="00326175">
        <w:rPr>
          <w:rFonts w:cs="Times New Roman"/>
          <w:i/>
          <w:iCs/>
          <w:color w:val="222222"/>
          <w:sz w:val="20"/>
          <w:szCs w:val="20"/>
          <w:shd w:val="clear" w:color="auto" w:fill="FFFFFF"/>
        </w:rPr>
        <w:t>Proceedings of the 27th International Conference on Intelligent User Interfaces</w:t>
      </w:r>
      <w:r w:rsidRPr="00326175">
        <w:rPr>
          <w:rFonts w:cs="Times New Roman"/>
          <w:color w:val="222222"/>
          <w:sz w:val="20"/>
          <w:szCs w:val="20"/>
          <w:shd w:val="clear" w:color="auto" w:fill="FFFFFF"/>
        </w:rPr>
        <w:t> (pp. 841-852).</w:t>
      </w:r>
    </w:p>
    <w:p w14:paraId="4E650A49"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Elgarf, M., Zojaji, S., Skantze, G., &amp; Peters, C. (2022, November). CreativeBot: a Creative Storyteller robot to stimulate creativity in children. In </w:t>
      </w:r>
      <w:r w:rsidRPr="00326175">
        <w:rPr>
          <w:rFonts w:cs="Times New Roman"/>
          <w:i/>
          <w:iCs/>
          <w:color w:val="222222"/>
          <w:sz w:val="20"/>
          <w:szCs w:val="20"/>
          <w:shd w:val="clear" w:color="auto" w:fill="FFFFFF"/>
        </w:rPr>
        <w:t>Proceedings of the 2022 International Conference on Multimodal Interaction</w:t>
      </w:r>
      <w:r w:rsidRPr="00326175">
        <w:rPr>
          <w:rFonts w:cs="Times New Roman"/>
          <w:color w:val="222222"/>
          <w:sz w:val="20"/>
          <w:szCs w:val="20"/>
          <w:shd w:val="clear" w:color="auto" w:fill="FFFFFF"/>
        </w:rPr>
        <w:t> (pp. 540-548).</w:t>
      </w:r>
    </w:p>
    <w:p w14:paraId="1548804B"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Zhang, C., Yao, C., Liu, J., Zhou, Z., Zhang, W., Liu, L., ... &amp; Wang, G. (2021, May). StoryDrawer: A Co-Creative Agent Supporting Children's Storytelling through Collaborative Drawing. In </w:t>
      </w:r>
      <w:r w:rsidRPr="00326175">
        <w:rPr>
          <w:rFonts w:cs="Times New Roman"/>
          <w:i/>
          <w:iCs/>
          <w:color w:val="222222"/>
          <w:sz w:val="20"/>
          <w:szCs w:val="20"/>
          <w:shd w:val="clear" w:color="auto" w:fill="FFFFFF"/>
        </w:rPr>
        <w:t>Extended Abstracts of the 2021 CHI Conference on Human Factors in Computing Systems</w:t>
      </w:r>
      <w:r w:rsidRPr="00326175">
        <w:rPr>
          <w:rFonts w:cs="Times New Roman"/>
          <w:color w:val="222222"/>
          <w:sz w:val="20"/>
          <w:szCs w:val="20"/>
          <w:shd w:val="clear" w:color="auto" w:fill="FFFFFF"/>
        </w:rPr>
        <w:t> (pp. 1-6).</w:t>
      </w:r>
    </w:p>
    <w:p w14:paraId="196E74B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Nichols, E., Gao, L., &amp; Gomez, R. (2020, October). Collaborative storytelling with large-scale neural language models. In </w:t>
      </w:r>
      <w:r w:rsidRPr="00326175">
        <w:rPr>
          <w:rFonts w:cs="Times New Roman"/>
          <w:i/>
          <w:iCs/>
          <w:color w:val="222222"/>
          <w:sz w:val="20"/>
          <w:szCs w:val="20"/>
          <w:shd w:val="clear" w:color="auto" w:fill="FFFFFF"/>
        </w:rPr>
        <w:t>Proceedings of the 13th acm siggraph conference on motion, interaction and games</w:t>
      </w:r>
      <w:r w:rsidRPr="00326175">
        <w:rPr>
          <w:rFonts w:cs="Times New Roman"/>
          <w:color w:val="222222"/>
          <w:sz w:val="20"/>
          <w:szCs w:val="20"/>
          <w:shd w:val="clear" w:color="auto" w:fill="FFFFFF"/>
        </w:rPr>
        <w:t> (pp. 1-10).</w:t>
      </w:r>
    </w:p>
    <w:p w14:paraId="3D7F940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Swanson, B., Mathewson, K., Pietrzak, B., Chen, S., &amp; Dinalescu, M. (2021, April). Story centaur: Large language model few shot learning as a creative writing tool. In </w:t>
      </w:r>
      <w:r w:rsidRPr="00326175">
        <w:rPr>
          <w:rFonts w:cs="Times New Roman"/>
          <w:i/>
          <w:iCs/>
          <w:color w:val="222222"/>
          <w:sz w:val="20"/>
          <w:szCs w:val="20"/>
          <w:shd w:val="clear" w:color="auto" w:fill="FFFFFF"/>
        </w:rPr>
        <w:t>Proceedings of the 16th Conference of the European Chapter of the Association for Computational Linguistics: System Demonstrations</w:t>
      </w:r>
      <w:r w:rsidRPr="00326175">
        <w:rPr>
          <w:rFonts w:cs="Times New Roman"/>
          <w:color w:val="222222"/>
          <w:sz w:val="20"/>
          <w:szCs w:val="20"/>
          <w:shd w:val="clear" w:color="auto" w:fill="FFFFFF"/>
        </w:rPr>
        <w:t> (pp. 244-256).</w:t>
      </w:r>
    </w:p>
    <w:p w14:paraId="625E8F55"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Czikszentmihalyi, M. (1990). </w:t>
      </w:r>
      <w:r w:rsidRPr="00326175">
        <w:rPr>
          <w:rFonts w:cs="Times New Roman"/>
          <w:i/>
          <w:iCs/>
          <w:color w:val="222222"/>
          <w:sz w:val="20"/>
          <w:szCs w:val="20"/>
          <w:shd w:val="clear" w:color="auto" w:fill="FFFFFF"/>
        </w:rPr>
        <w:t>Flow: The psychology of optimal experience</w:t>
      </w:r>
      <w:r w:rsidRPr="00326175">
        <w:rPr>
          <w:rFonts w:cs="Times New Roman"/>
          <w:color w:val="222222"/>
          <w:sz w:val="20"/>
          <w:szCs w:val="20"/>
          <w:shd w:val="clear" w:color="auto" w:fill="FFFFFF"/>
        </w:rPr>
        <w:t> (pp. 75-77). New York: Harper &amp; Row.</w:t>
      </w:r>
    </w:p>
    <w:p w14:paraId="60AD91F5"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Zhang, P. (2023). Taking advice from chatgpt. </w:t>
      </w:r>
      <w:r w:rsidRPr="00326175">
        <w:rPr>
          <w:rFonts w:cs="Times New Roman"/>
          <w:i/>
          <w:iCs/>
          <w:color w:val="222222"/>
          <w:sz w:val="20"/>
          <w:szCs w:val="20"/>
          <w:shd w:val="clear" w:color="auto" w:fill="FFFFFF"/>
        </w:rPr>
        <w:t>arXiv preprint arXiv:2305.11888</w:t>
      </w:r>
      <w:r w:rsidRPr="00326175">
        <w:rPr>
          <w:rFonts w:cs="Times New Roman"/>
          <w:color w:val="222222"/>
          <w:sz w:val="20"/>
          <w:szCs w:val="20"/>
          <w:shd w:val="clear" w:color="auto" w:fill="FFFFFF"/>
        </w:rPr>
        <w:t>.</w:t>
      </w:r>
    </w:p>
    <w:p w14:paraId="7DC55B49"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Zirpoli, C. T. (2023). Generative artificial intelligence and copyright law.</w:t>
      </w:r>
    </w:p>
    <w:p w14:paraId="174C065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 xml:space="preserve">Xu, Z., Jain, S., &amp; Kankanhalli, M. (2024). Hallucination is inevitable: An innate limitation of large language </w:t>
      </w:r>
      <w:r w:rsidRPr="00326175">
        <w:rPr>
          <w:rFonts w:cs="Times New Roman"/>
          <w:color w:val="222222"/>
          <w:sz w:val="20"/>
          <w:szCs w:val="20"/>
          <w:shd w:val="clear" w:color="auto" w:fill="FFFFFF"/>
        </w:rPr>
        <w:lastRenderedPageBreak/>
        <w:t>models. </w:t>
      </w:r>
      <w:r w:rsidRPr="00326175">
        <w:rPr>
          <w:rFonts w:cs="Times New Roman"/>
          <w:i/>
          <w:iCs/>
          <w:color w:val="222222"/>
          <w:sz w:val="20"/>
          <w:szCs w:val="20"/>
          <w:shd w:val="clear" w:color="auto" w:fill="FFFFFF"/>
        </w:rPr>
        <w:t>arXiv preprint arXiv:2401.11817</w:t>
      </w:r>
      <w:r w:rsidRPr="00326175">
        <w:rPr>
          <w:rFonts w:cs="Times New Roman"/>
          <w:color w:val="222222"/>
          <w:sz w:val="20"/>
          <w:szCs w:val="20"/>
          <w:shd w:val="clear" w:color="auto" w:fill="FFFFFF"/>
        </w:rPr>
        <w:t>.</w:t>
      </w:r>
    </w:p>
    <w:p w14:paraId="5A9B229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Yao, J. Y., Ning, K. P., Liu, Z. H., Ning, M. N., &amp; Yuan, L. (2023). Llm lies: Hallucinations are not bugs, but features as adversarial examples. </w:t>
      </w:r>
      <w:r w:rsidRPr="00326175">
        <w:rPr>
          <w:rFonts w:cs="Times New Roman"/>
          <w:i/>
          <w:iCs/>
          <w:color w:val="222222"/>
          <w:sz w:val="20"/>
          <w:szCs w:val="20"/>
          <w:shd w:val="clear" w:color="auto" w:fill="FFFFFF"/>
        </w:rPr>
        <w:t>arXiv preprint arXiv:2310.01469</w:t>
      </w:r>
      <w:r w:rsidRPr="00326175">
        <w:rPr>
          <w:rFonts w:cs="Times New Roman"/>
          <w:color w:val="222222"/>
          <w:sz w:val="20"/>
          <w:szCs w:val="20"/>
          <w:shd w:val="clear" w:color="auto" w:fill="FFFFFF"/>
        </w:rPr>
        <w:t>.</w:t>
      </w:r>
    </w:p>
    <w:p w14:paraId="0C8A306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Ray, P. P. (2023). ChatGPT: A comprehensive review on background, applications, key challenges, bias, ethics, limitations and future scope. </w:t>
      </w:r>
      <w:r w:rsidRPr="00326175">
        <w:rPr>
          <w:rFonts w:cs="Times New Roman"/>
          <w:i/>
          <w:iCs/>
          <w:color w:val="222222"/>
          <w:sz w:val="20"/>
          <w:szCs w:val="20"/>
          <w:shd w:val="clear" w:color="auto" w:fill="FFFFFF"/>
        </w:rPr>
        <w:t>Internet of Things and Cyber-Physical Systems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w:t>
      </w:r>
      <w:r w:rsidRPr="00326175">
        <w:rPr>
          <w:rFonts w:cs="Times New Roman"/>
          <w:color w:val="222222"/>
          <w:sz w:val="20"/>
          <w:szCs w:val="20"/>
          <w:shd w:val="clear" w:color="auto" w:fill="FFFFFF"/>
        </w:rPr>
        <w:t>, 121-154.</w:t>
      </w:r>
    </w:p>
    <w:p w14:paraId="2C6EBDF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Chang, M., Druga, S., Fiannaca, A. J., Vergani, P., Kulkarni, C., Cai, C. J., &amp; Terry, M. (2023, June). The prompt artists. In </w:t>
      </w:r>
      <w:r w:rsidRPr="00326175">
        <w:rPr>
          <w:rFonts w:cs="Times New Roman"/>
          <w:i/>
          <w:iCs/>
          <w:color w:val="222222"/>
          <w:sz w:val="20"/>
          <w:szCs w:val="20"/>
          <w:shd w:val="clear" w:color="auto" w:fill="FFFFFF"/>
        </w:rPr>
        <w:t>Proceedings of the 15th Conference on Creativity and Cognition</w:t>
      </w:r>
      <w:r w:rsidRPr="00326175">
        <w:rPr>
          <w:rFonts w:cs="Times New Roman"/>
          <w:color w:val="222222"/>
          <w:sz w:val="20"/>
          <w:szCs w:val="20"/>
          <w:shd w:val="clear" w:color="auto" w:fill="FFFFFF"/>
        </w:rPr>
        <w:t> (pp. 75-87).</w:t>
      </w:r>
    </w:p>
    <w:p w14:paraId="2F79DC69"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Zhuang, S., &amp; Hadfield-Menell, D. (2020). Consequences of misaligned AI. </w:t>
      </w:r>
      <w:r w:rsidRPr="00326175">
        <w:rPr>
          <w:rFonts w:cs="Times New Roman"/>
          <w:i/>
          <w:iCs/>
          <w:color w:val="222222"/>
          <w:sz w:val="20"/>
          <w:szCs w:val="20"/>
          <w:shd w:val="clear" w:color="auto" w:fill="FFFFFF"/>
        </w:rPr>
        <w:t>Advances in Neural Information Processing Systems</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33</w:t>
      </w:r>
      <w:r w:rsidRPr="00326175">
        <w:rPr>
          <w:rFonts w:cs="Times New Roman"/>
          <w:color w:val="222222"/>
          <w:sz w:val="20"/>
          <w:szCs w:val="20"/>
          <w:shd w:val="clear" w:color="auto" w:fill="FFFFFF"/>
        </w:rPr>
        <w:t>, 15763-15773.</w:t>
      </w:r>
    </w:p>
    <w:p w14:paraId="71096668"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Ji, Z., Yu, T., Xu, Y., Lee, N., Ishii, E., &amp; Fung, P. (2023, December). Towards mitigating LLM hallucination via self reflection. In </w:t>
      </w:r>
      <w:r w:rsidRPr="00326175">
        <w:rPr>
          <w:rFonts w:cs="Times New Roman"/>
          <w:i/>
          <w:iCs/>
          <w:color w:val="222222"/>
          <w:sz w:val="20"/>
          <w:szCs w:val="20"/>
          <w:shd w:val="clear" w:color="auto" w:fill="FFFFFF"/>
        </w:rPr>
        <w:t>Findings of the Association for Computational Linguistics: EMNLP 2023</w:t>
      </w:r>
      <w:r w:rsidRPr="00326175">
        <w:rPr>
          <w:rFonts w:cs="Times New Roman"/>
          <w:color w:val="222222"/>
          <w:sz w:val="20"/>
          <w:szCs w:val="20"/>
          <w:shd w:val="clear" w:color="auto" w:fill="FFFFFF"/>
        </w:rPr>
        <w:t> (pp. 1827-1843).</w:t>
      </w:r>
    </w:p>
    <w:p w14:paraId="10AAA1D0"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Wei, J., Yao, Y., Ton, J. F., Guo, H., Estornell, A., &amp; Liu, Y. (2024). Measuring and reducing llm hallucination without gold-standard answers via expertise-weighting. </w:t>
      </w:r>
      <w:r w:rsidRPr="00326175">
        <w:rPr>
          <w:rFonts w:cs="Times New Roman"/>
          <w:i/>
          <w:iCs/>
          <w:color w:val="222222"/>
          <w:sz w:val="20"/>
          <w:szCs w:val="20"/>
          <w:shd w:val="clear" w:color="auto" w:fill="FFFFFF"/>
        </w:rPr>
        <w:t>arXiv preprint arXiv:2402.10412</w:t>
      </w:r>
      <w:r w:rsidRPr="00326175">
        <w:rPr>
          <w:rFonts w:cs="Times New Roman"/>
          <w:color w:val="222222"/>
          <w:sz w:val="20"/>
          <w:szCs w:val="20"/>
          <w:shd w:val="clear" w:color="auto" w:fill="FFFFFF"/>
        </w:rPr>
        <w:t>.</w:t>
      </w:r>
    </w:p>
    <w:p w14:paraId="7D0E701E"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Galitsky, B. A. (2023). Truth-o-meter: Collaborating with llm in fighting its hallucinations.</w:t>
      </w:r>
    </w:p>
    <w:p w14:paraId="2DF01AA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Gichoya, J. W., Thomas, K., Celi, L. A., Safdar, N., Banerjee, I., Banja, J. D., ... &amp; Purkayastha, S. (2023). AI pitfalls and what not to do: mitigating bias in AI. </w:t>
      </w:r>
      <w:r w:rsidRPr="00326175">
        <w:rPr>
          <w:rFonts w:cs="Times New Roman"/>
          <w:i/>
          <w:iCs/>
          <w:color w:val="222222"/>
          <w:sz w:val="20"/>
          <w:szCs w:val="20"/>
          <w:shd w:val="clear" w:color="auto" w:fill="FFFFFF"/>
        </w:rPr>
        <w:t>The British Journal of Radiology</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96</w:t>
      </w:r>
      <w:r w:rsidRPr="00326175">
        <w:rPr>
          <w:rFonts w:cs="Times New Roman"/>
          <w:color w:val="222222"/>
          <w:sz w:val="20"/>
          <w:szCs w:val="20"/>
          <w:shd w:val="clear" w:color="auto" w:fill="FFFFFF"/>
        </w:rPr>
        <w:t>(1150), 20230023.</w:t>
      </w:r>
    </w:p>
    <w:p w14:paraId="6F3B0D9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Bernius, J. P., Krusche, S., &amp; Bruegge, B. (2022). Machine learning based feedback on textual student answers in large courses. </w:t>
      </w:r>
      <w:r w:rsidRPr="00326175">
        <w:rPr>
          <w:rFonts w:cs="Times New Roman"/>
          <w:i/>
          <w:iCs/>
          <w:color w:val="222222"/>
          <w:sz w:val="20"/>
          <w:szCs w:val="20"/>
          <w:shd w:val="clear" w:color="auto" w:fill="FFFFFF"/>
        </w:rPr>
        <w:t>Computers and Education: Artificial Intelligence</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3</w:t>
      </w:r>
      <w:r w:rsidRPr="00326175">
        <w:rPr>
          <w:rFonts w:cs="Times New Roman"/>
          <w:color w:val="222222"/>
          <w:sz w:val="20"/>
          <w:szCs w:val="20"/>
          <w:shd w:val="clear" w:color="auto" w:fill="FFFFFF"/>
        </w:rPr>
        <w:t>, 100081.</w:t>
      </w:r>
    </w:p>
    <w:p w14:paraId="47848DE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Sailer, M., Bauer, E., Hofmann, R., Kiesewetter, J., Glas, J., Gurevych, I., &amp; Fischer, F. (2023). Adaptive feedback from artificial neural networks facilitates pre-service teachers’ diagnostic reasoning in simulation-based learning. </w:t>
      </w:r>
      <w:r w:rsidRPr="00326175">
        <w:rPr>
          <w:rFonts w:cs="Times New Roman"/>
          <w:i/>
          <w:iCs/>
          <w:color w:val="222222"/>
          <w:sz w:val="20"/>
          <w:szCs w:val="20"/>
          <w:shd w:val="clear" w:color="auto" w:fill="FFFFFF"/>
        </w:rPr>
        <w:t>Learning and Instruction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83</w:t>
      </w:r>
      <w:r w:rsidRPr="00326175">
        <w:rPr>
          <w:rFonts w:cs="Times New Roman"/>
          <w:color w:val="222222"/>
          <w:sz w:val="20"/>
          <w:szCs w:val="20"/>
          <w:shd w:val="clear" w:color="auto" w:fill="FFFFFF"/>
        </w:rPr>
        <w:t>, 101620.</w:t>
      </w:r>
    </w:p>
    <w:p w14:paraId="4343C3AF"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Franceschelli, G., &amp; Musolesi, M. (2023). On the creativity of large language models. </w:t>
      </w:r>
      <w:r w:rsidRPr="00326175">
        <w:rPr>
          <w:rFonts w:cs="Times New Roman"/>
          <w:i/>
          <w:iCs/>
          <w:color w:val="222222"/>
          <w:sz w:val="20"/>
          <w:szCs w:val="20"/>
          <w:shd w:val="clear" w:color="auto" w:fill="FFFFFF"/>
        </w:rPr>
        <w:t>arXiv preprint arXiv:2304.00008</w:t>
      </w:r>
      <w:r w:rsidRPr="00326175">
        <w:rPr>
          <w:rFonts w:cs="Times New Roman"/>
          <w:color w:val="222222"/>
          <w:sz w:val="20"/>
          <w:szCs w:val="20"/>
          <w:shd w:val="clear" w:color="auto" w:fill="FFFFFF"/>
        </w:rPr>
        <w:t>.</w:t>
      </w:r>
    </w:p>
    <w:p w14:paraId="19B6ED57"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Fornell, C., &amp; Larcker, D. F. (1981). Evaluating structural equation models with unobservable variables and measurement error. </w:t>
      </w:r>
      <w:r w:rsidRPr="00326175">
        <w:rPr>
          <w:rFonts w:cs="Times New Roman"/>
          <w:i/>
          <w:iCs/>
          <w:color w:val="222222"/>
          <w:sz w:val="20"/>
          <w:szCs w:val="20"/>
          <w:shd w:val="clear" w:color="auto" w:fill="FFFFFF"/>
        </w:rPr>
        <w:t>Journal of marketing research</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18</w:t>
      </w:r>
      <w:r w:rsidRPr="00326175">
        <w:rPr>
          <w:rFonts w:cs="Times New Roman"/>
          <w:color w:val="222222"/>
          <w:sz w:val="20"/>
          <w:szCs w:val="20"/>
          <w:shd w:val="clear" w:color="auto" w:fill="FFFFFF"/>
        </w:rPr>
        <w:t>(1), 39-50.</w:t>
      </w:r>
    </w:p>
    <w:p w14:paraId="19BBD12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Millet, K., Buehler, F., Du, G., &amp; Kokkoris, M. D. (2023). Defending humankind: Anthropocentric bias in the appreciation of AI art. </w:t>
      </w:r>
      <w:r w:rsidRPr="00326175">
        <w:rPr>
          <w:rFonts w:cs="Times New Roman"/>
          <w:i/>
          <w:iCs/>
          <w:color w:val="222222"/>
          <w:sz w:val="20"/>
          <w:szCs w:val="20"/>
          <w:shd w:val="clear" w:color="auto" w:fill="FFFFFF"/>
        </w:rPr>
        <w:t>Computers in Human Behavior</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143</w:t>
      </w:r>
      <w:r w:rsidRPr="00326175">
        <w:rPr>
          <w:rFonts w:cs="Times New Roman"/>
          <w:color w:val="222222"/>
          <w:sz w:val="20"/>
          <w:szCs w:val="20"/>
          <w:shd w:val="clear" w:color="auto" w:fill="FFFFFF"/>
        </w:rPr>
        <w:t>, 107707.</w:t>
      </w:r>
    </w:p>
    <w:p w14:paraId="5552FDD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Hair Jr, J. F., Hult, G. T. M., Ringle, C. M., Sarstedt, M., Danks, N. P., &amp; Ray, S. (2021). </w:t>
      </w:r>
      <w:r w:rsidRPr="00326175">
        <w:rPr>
          <w:rFonts w:cs="Times New Roman"/>
          <w:i/>
          <w:iCs/>
          <w:color w:val="222222"/>
          <w:sz w:val="20"/>
          <w:szCs w:val="20"/>
          <w:shd w:val="clear" w:color="auto" w:fill="FFFFFF"/>
        </w:rPr>
        <w:t>Partial least squares structural equation modeling (PLS-SEM) using R: A workbook</w:t>
      </w:r>
      <w:r w:rsidRPr="00326175">
        <w:rPr>
          <w:rFonts w:cs="Times New Roman"/>
          <w:color w:val="222222"/>
          <w:sz w:val="20"/>
          <w:szCs w:val="20"/>
          <w:shd w:val="clear" w:color="auto" w:fill="FFFFFF"/>
        </w:rPr>
        <w:t> (p. 197). Springer Nature.</w:t>
      </w:r>
    </w:p>
    <w:p w14:paraId="6BE0D79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Santosa, P. I. (2018). Metode penelitian kuantitatif: Pengembangan hipotesis dan pengujiannya menggunakan SmartPLS.</w:t>
      </w:r>
    </w:p>
    <w:p w14:paraId="2BBB24A1"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Fakhri, M. M., Ahmar, A. S., Isma, A., Rosidah, R., &amp; Fadhilatunisa, D. (2024). Exploring Generative AI Tools Frequency: Impacts on Attitude, Satisfaction, and Competency in Achieving Higher Education Learning Goals. </w:t>
      </w:r>
      <w:r w:rsidRPr="00326175">
        <w:rPr>
          <w:rFonts w:cs="Times New Roman"/>
          <w:i/>
          <w:iCs/>
          <w:color w:val="222222"/>
          <w:sz w:val="20"/>
          <w:szCs w:val="20"/>
          <w:shd w:val="clear" w:color="auto" w:fill="FFFFFF"/>
        </w:rPr>
        <w:t>EduLine: Journal of Education and Learning Innovation</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w:t>
      </w:r>
      <w:r w:rsidRPr="00326175">
        <w:rPr>
          <w:rFonts w:cs="Times New Roman"/>
          <w:color w:val="222222"/>
          <w:sz w:val="20"/>
          <w:szCs w:val="20"/>
          <w:shd w:val="clear" w:color="auto" w:fill="FFFFFF"/>
        </w:rPr>
        <w:t>(1), 196-208.</w:t>
      </w:r>
    </w:p>
    <w:p w14:paraId="457902A3"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Ali, J. K. M., Shamsan, M. A. A., Hezam, T. A., &amp; Mohammed, A. A. (2023). Impact of ChatGPT on learning motivation: teachers and students' voices. </w:t>
      </w:r>
      <w:r w:rsidRPr="00326175">
        <w:rPr>
          <w:rFonts w:cs="Times New Roman"/>
          <w:i/>
          <w:iCs/>
          <w:color w:val="222222"/>
          <w:sz w:val="20"/>
          <w:szCs w:val="20"/>
          <w:shd w:val="clear" w:color="auto" w:fill="FFFFFF"/>
        </w:rPr>
        <w:t>Journal of English Studies in Arabia Felix</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2</w:t>
      </w:r>
      <w:r w:rsidRPr="00326175">
        <w:rPr>
          <w:rFonts w:cs="Times New Roman"/>
          <w:color w:val="222222"/>
          <w:sz w:val="20"/>
          <w:szCs w:val="20"/>
          <w:shd w:val="clear" w:color="auto" w:fill="FFFFFF"/>
        </w:rPr>
        <w:t>(1), 41-49.</w:t>
      </w:r>
    </w:p>
    <w:p w14:paraId="4E67125D"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Yang, Q., Steinfeld, A., Rosé, C., &amp; Zimmerman, J. (2020, April). Re-examining whether, why, and how human-AI interaction is uniquely difficult to design. In </w:t>
      </w:r>
      <w:r w:rsidRPr="00326175">
        <w:rPr>
          <w:rFonts w:cs="Times New Roman"/>
          <w:i/>
          <w:iCs/>
          <w:color w:val="222222"/>
          <w:sz w:val="20"/>
          <w:szCs w:val="20"/>
          <w:shd w:val="clear" w:color="auto" w:fill="FFFFFF"/>
        </w:rPr>
        <w:t>Proceedings of the 2020 chi conference on human factors in computing systems</w:t>
      </w:r>
      <w:r w:rsidRPr="00326175">
        <w:rPr>
          <w:rFonts w:cs="Times New Roman"/>
          <w:color w:val="222222"/>
          <w:sz w:val="20"/>
          <w:szCs w:val="20"/>
          <w:shd w:val="clear" w:color="auto" w:fill="FFFFFF"/>
        </w:rPr>
        <w:t> (pp. 1-13).</w:t>
      </w:r>
    </w:p>
    <w:p w14:paraId="633849E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Lehmann, F. (2023, April). Mixed-Initiative Interaction with Computational Generative Systems. In </w:t>
      </w:r>
      <w:r w:rsidRPr="00326175">
        <w:rPr>
          <w:rFonts w:cs="Times New Roman"/>
          <w:i/>
          <w:iCs/>
          <w:color w:val="222222"/>
          <w:sz w:val="20"/>
          <w:szCs w:val="20"/>
          <w:shd w:val="clear" w:color="auto" w:fill="FFFFFF"/>
        </w:rPr>
        <w:t>Extended Abstracts of the 2023 CHI Conference on Human Factors in Computing Systems</w:t>
      </w:r>
      <w:r w:rsidRPr="00326175">
        <w:rPr>
          <w:rFonts w:cs="Times New Roman"/>
          <w:color w:val="222222"/>
          <w:sz w:val="20"/>
          <w:szCs w:val="20"/>
          <w:shd w:val="clear" w:color="auto" w:fill="FFFFFF"/>
        </w:rPr>
        <w:t> (pp. 1-6).</w:t>
      </w:r>
    </w:p>
    <w:p w14:paraId="0177439D" w14:textId="77777777" w:rsidR="00326175" w:rsidRPr="00326175" w:rsidRDefault="00326175" w:rsidP="00326175">
      <w:pPr>
        <w:tabs>
          <w:tab w:val="left" w:pos="1230"/>
        </w:tabs>
        <w:ind w:left="400" w:hanging="400"/>
        <w:rPr>
          <w:rFonts w:cs="Times New Roman"/>
          <w:color w:val="222222"/>
          <w:sz w:val="20"/>
          <w:szCs w:val="20"/>
          <w:shd w:val="clear" w:color="auto" w:fill="FFFFFF"/>
        </w:rPr>
      </w:pPr>
      <w:r w:rsidRPr="00326175">
        <w:rPr>
          <w:rFonts w:cs="Times New Roman"/>
          <w:color w:val="222222"/>
          <w:sz w:val="20"/>
          <w:szCs w:val="20"/>
          <w:shd w:val="clear" w:color="auto" w:fill="FFFFFF"/>
        </w:rPr>
        <w:lastRenderedPageBreak/>
        <w:t>Lee, M., Liang, P., &amp; Yang, Q. (2022, April). Coauthor: Designing a human-ai collaborative writing dataset for exploring language model capabilities. In </w:t>
      </w:r>
      <w:r w:rsidRPr="00326175">
        <w:rPr>
          <w:rFonts w:cs="Times New Roman"/>
          <w:i/>
          <w:iCs/>
          <w:color w:val="222222"/>
          <w:sz w:val="20"/>
          <w:szCs w:val="20"/>
          <w:shd w:val="clear" w:color="auto" w:fill="FFFFFF"/>
        </w:rPr>
        <w:t>Proceedings of the 2022 CHI conference on human factors in computing systems</w:t>
      </w:r>
      <w:r w:rsidRPr="00326175">
        <w:rPr>
          <w:rFonts w:cs="Times New Roman"/>
          <w:color w:val="222222"/>
          <w:sz w:val="20"/>
          <w:szCs w:val="20"/>
          <w:shd w:val="clear" w:color="auto" w:fill="FFFFFF"/>
        </w:rPr>
        <w:t> (pp. 1-19).</w:t>
      </w:r>
    </w:p>
    <w:p w14:paraId="57698FB6"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Yuan, A., Coenen, A., Reif, E., &amp; Ippolito, D. (2022, March). Wordcraft: story writing with large language models. In </w:t>
      </w:r>
      <w:r w:rsidRPr="00326175">
        <w:rPr>
          <w:rFonts w:cs="Times New Roman"/>
          <w:i/>
          <w:iCs/>
          <w:color w:val="222222"/>
          <w:sz w:val="20"/>
          <w:szCs w:val="20"/>
          <w:shd w:val="clear" w:color="auto" w:fill="FFFFFF"/>
        </w:rPr>
        <w:t>Proceedings of the 27th International Conference on Intelligent User Interfaces</w:t>
      </w:r>
      <w:r w:rsidRPr="00326175">
        <w:rPr>
          <w:rFonts w:cs="Times New Roman"/>
          <w:color w:val="222222"/>
          <w:sz w:val="20"/>
          <w:szCs w:val="20"/>
          <w:shd w:val="clear" w:color="auto" w:fill="FFFFFF"/>
        </w:rPr>
        <w:t> (pp. 841-852).</w:t>
      </w:r>
    </w:p>
    <w:p w14:paraId="07BB235F"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Han, Z., Battaglia, F., Udaiyar, A., Fooks, A., &amp; Terlecky, S. R. (2024). An explorative assessment of ChatGPT as an aid in medical education: use it with caution. </w:t>
      </w:r>
      <w:r w:rsidRPr="00326175">
        <w:rPr>
          <w:rFonts w:cs="Times New Roman"/>
          <w:i/>
          <w:iCs/>
          <w:color w:val="222222"/>
          <w:sz w:val="20"/>
          <w:szCs w:val="20"/>
          <w:shd w:val="clear" w:color="auto" w:fill="FFFFFF"/>
        </w:rPr>
        <w:t>Medical Teacher</w:t>
      </w:r>
      <w:r w:rsidRPr="00326175">
        <w:rPr>
          <w:rFonts w:cs="Times New Roman"/>
          <w:color w:val="222222"/>
          <w:sz w:val="20"/>
          <w:szCs w:val="20"/>
          <w:shd w:val="clear" w:color="auto" w:fill="FFFFFF"/>
        </w:rPr>
        <w:t>, </w:t>
      </w:r>
      <w:r w:rsidRPr="00326175">
        <w:rPr>
          <w:rFonts w:cs="Times New Roman"/>
          <w:i/>
          <w:iCs/>
          <w:color w:val="222222"/>
          <w:sz w:val="20"/>
          <w:szCs w:val="20"/>
          <w:shd w:val="clear" w:color="auto" w:fill="FFFFFF"/>
        </w:rPr>
        <w:t>46</w:t>
      </w:r>
      <w:r w:rsidRPr="00326175">
        <w:rPr>
          <w:rFonts w:cs="Times New Roman"/>
          <w:color w:val="222222"/>
          <w:sz w:val="20"/>
          <w:szCs w:val="20"/>
          <w:shd w:val="clear" w:color="auto" w:fill="FFFFFF"/>
        </w:rPr>
        <w:t>(5), 657-664.</w:t>
      </w:r>
    </w:p>
    <w:p w14:paraId="3148A1D2" w14:textId="77777777" w:rsidR="00326175" w:rsidRPr="00326175" w:rsidRDefault="00326175" w:rsidP="00326175">
      <w:pPr>
        <w:tabs>
          <w:tab w:val="left" w:pos="1230"/>
        </w:tabs>
        <w:ind w:left="400" w:hanging="400"/>
        <w:rPr>
          <w:rFonts w:eastAsiaTheme="minorEastAsia" w:cs="Times New Roman"/>
          <w:color w:val="222222"/>
          <w:sz w:val="20"/>
          <w:szCs w:val="20"/>
          <w:shd w:val="clear" w:color="auto" w:fill="FFFFFF"/>
        </w:rPr>
      </w:pPr>
      <w:r w:rsidRPr="00326175">
        <w:rPr>
          <w:rFonts w:cs="Times New Roman"/>
          <w:color w:val="222222"/>
          <w:sz w:val="20"/>
          <w:szCs w:val="20"/>
          <w:shd w:val="clear" w:color="auto" w:fill="FFFFFF"/>
        </w:rPr>
        <w:t>Jakesch, M., Buçinca, Z., Amershi, S., &amp; Olteanu, A. (2022, June). How different groups prioritize ethical values for responsible AI. In </w:t>
      </w:r>
      <w:r w:rsidRPr="00326175">
        <w:rPr>
          <w:rFonts w:cs="Times New Roman"/>
          <w:i/>
          <w:iCs/>
          <w:color w:val="222222"/>
          <w:sz w:val="20"/>
          <w:szCs w:val="20"/>
          <w:shd w:val="clear" w:color="auto" w:fill="FFFFFF"/>
        </w:rPr>
        <w:t>Proceedings of the 2022 ACM Conference on Fairness, Accountability, and Transparency</w:t>
      </w:r>
      <w:r w:rsidRPr="00326175">
        <w:rPr>
          <w:rFonts w:cs="Times New Roman"/>
          <w:color w:val="222222"/>
          <w:sz w:val="20"/>
          <w:szCs w:val="20"/>
          <w:shd w:val="clear" w:color="auto" w:fill="FFFFFF"/>
        </w:rPr>
        <w:t> (pp. 310-323).</w:t>
      </w:r>
    </w:p>
    <w:p w14:paraId="4A79D508" w14:textId="3EEE7F81" w:rsidR="009E4EBE" w:rsidRPr="00326175" w:rsidRDefault="009E4EBE"/>
    <w:p w14:paraId="0EAC860E" w14:textId="77777777" w:rsidR="009E4EBE" w:rsidRPr="000D772A" w:rsidRDefault="009E4EBE"/>
    <w:sectPr w:rsidR="009E4EBE" w:rsidRPr="000D772A" w:rsidSect="000D772A">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A203" w14:textId="77777777" w:rsidR="005755C1" w:rsidRDefault="005755C1" w:rsidP="000D772A">
      <w:r>
        <w:separator/>
      </w:r>
    </w:p>
  </w:endnote>
  <w:endnote w:type="continuationSeparator" w:id="0">
    <w:p w14:paraId="03FF74BA" w14:textId="77777777" w:rsidR="005755C1" w:rsidRDefault="005755C1" w:rsidP="000D7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D2225" w14:textId="77777777" w:rsidR="005755C1" w:rsidRDefault="005755C1" w:rsidP="000D772A">
      <w:r>
        <w:separator/>
      </w:r>
    </w:p>
  </w:footnote>
  <w:footnote w:type="continuationSeparator" w:id="0">
    <w:p w14:paraId="4ED81FE1" w14:textId="77777777" w:rsidR="005755C1" w:rsidRDefault="005755C1" w:rsidP="000D772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C8"/>
    <w:rsid w:val="00023E6D"/>
    <w:rsid w:val="00044A05"/>
    <w:rsid w:val="00052FB4"/>
    <w:rsid w:val="00077478"/>
    <w:rsid w:val="00090F02"/>
    <w:rsid w:val="000959A0"/>
    <w:rsid w:val="000A2F09"/>
    <w:rsid w:val="000A7FC9"/>
    <w:rsid w:val="000D4FE1"/>
    <w:rsid w:val="000D772A"/>
    <w:rsid w:val="000F3E07"/>
    <w:rsid w:val="000F4F64"/>
    <w:rsid w:val="00103878"/>
    <w:rsid w:val="00157FA8"/>
    <w:rsid w:val="00165A84"/>
    <w:rsid w:val="0017303B"/>
    <w:rsid w:val="001A7A15"/>
    <w:rsid w:val="001E33FC"/>
    <w:rsid w:val="001F1418"/>
    <w:rsid w:val="00222E4B"/>
    <w:rsid w:val="00235747"/>
    <w:rsid w:val="002578E0"/>
    <w:rsid w:val="00280381"/>
    <w:rsid w:val="00296D79"/>
    <w:rsid w:val="002F53CA"/>
    <w:rsid w:val="00300CCF"/>
    <w:rsid w:val="0031701F"/>
    <w:rsid w:val="00326175"/>
    <w:rsid w:val="003539E7"/>
    <w:rsid w:val="00387442"/>
    <w:rsid w:val="00391C1B"/>
    <w:rsid w:val="00392B2D"/>
    <w:rsid w:val="003A601E"/>
    <w:rsid w:val="003B4FC3"/>
    <w:rsid w:val="003D1180"/>
    <w:rsid w:val="003F2549"/>
    <w:rsid w:val="00423781"/>
    <w:rsid w:val="004940C8"/>
    <w:rsid w:val="00497438"/>
    <w:rsid w:val="004D7245"/>
    <w:rsid w:val="005342DE"/>
    <w:rsid w:val="00540140"/>
    <w:rsid w:val="00543273"/>
    <w:rsid w:val="005755C1"/>
    <w:rsid w:val="005B0D99"/>
    <w:rsid w:val="005E1D0E"/>
    <w:rsid w:val="005E2325"/>
    <w:rsid w:val="00612D47"/>
    <w:rsid w:val="00622BF1"/>
    <w:rsid w:val="00641C92"/>
    <w:rsid w:val="00642430"/>
    <w:rsid w:val="00693568"/>
    <w:rsid w:val="006A7F37"/>
    <w:rsid w:val="006E1F3F"/>
    <w:rsid w:val="006E4BE4"/>
    <w:rsid w:val="006F29BC"/>
    <w:rsid w:val="0077254F"/>
    <w:rsid w:val="00777ADD"/>
    <w:rsid w:val="00792C42"/>
    <w:rsid w:val="007C0706"/>
    <w:rsid w:val="007C7570"/>
    <w:rsid w:val="007E4B23"/>
    <w:rsid w:val="007F0CA7"/>
    <w:rsid w:val="00801D54"/>
    <w:rsid w:val="008024EE"/>
    <w:rsid w:val="00816957"/>
    <w:rsid w:val="00841A52"/>
    <w:rsid w:val="008440CA"/>
    <w:rsid w:val="00851B46"/>
    <w:rsid w:val="008562E8"/>
    <w:rsid w:val="00885C16"/>
    <w:rsid w:val="008C7276"/>
    <w:rsid w:val="008D507A"/>
    <w:rsid w:val="008F7333"/>
    <w:rsid w:val="0090230C"/>
    <w:rsid w:val="0094520D"/>
    <w:rsid w:val="00957BCF"/>
    <w:rsid w:val="009717E5"/>
    <w:rsid w:val="00971C86"/>
    <w:rsid w:val="00982AA2"/>
    <w:rsid w:val="00985492"/>
    <w:rsid w:val="00987827"/>
    <w:rsid w:val="0099368E"/>
    <w:rsid w:val="009A7615"/>
    <w:rsid w:val="009E103C"/>
    <w:rsid w:val="009E4EBE"/>
    <w:rsid w:val="009E4FB4"/>
    <w:rsid w:val="00A01150"/>
    <w:rsid w:val="00A128A9"/>
    <w:rsid w:val="00A17E6F"/>
    <w:rsid w:val="00A44135"/>
    <w:rsid w:val="00A6077B"/>
    <w:rsid w:val="00A71AFA"/>
    <w:rsid w:val="00A724D0"/>
    <w:rsid w:val="00A910AE"/>
    <w:rsid w:val="00AA3DC1"/>
    <w:rsid w:val="00AE2E89"/>
    <w:rsid w:val="00B102C6"/>
    <w:rsid w:val="00B121F0"/>
    <w:rsid w:val="00B22650"/>
    <w:rsid w:val="00B22764"/>
    <w:rsid w:val="00B34983"/>
    <w:rsid w:val="00B44B52"/>
    <w:rsid w:val="00B47F4A"/>
    <w:rsid w:val="00B629C1"/>
    <w:rsid w:val="00B65E6E"/>
    <w:rsid w:val="00B9751A"/>
    <w:rsid w:val="00C16808"/>
    <w:rsid w:val="00C30800"/>
    <w:rsid w:val="00C3204F"/>
    <w:rsid w:val="00C412EE"/>
    <w:rsid w:val="00C44CEC"/>
    <w:rsid w:val="00C45E54"/>
    <w:rsid w:val="00C5720D"/>
    <w:rsid w:val="00C65E03"/>
    <w:rsid w:val="00CA0B32"/>
    <w:rsid w:val="00CC0CDE"/>
    <w:rsid w:val="00CF3717"/>
    <w:rsid w:val="00D211BD"/>
    <w:rsid w:val="00D36B1B"/>
    <w:rsid w:val="00D90EB4"/>
    <w:rsid w:val="00D915B2"/>
    <w:rsid w:val="00D91737"/>
    <w:rsid w:val="00DA51DC"/>
    <w:rsid w:val="00E44D6C"/>
    <w:rsid w:val="00E47447"/>
    <w:rsid w:val="00E513C5"/>
    <w:rsid w:val="00E53F18"/>
    <w:rsid w:val="00E57FD0"/>
    <w:rsid w:val="00E622E3"/>
    <w:rsid w:val="00E6646D"/>
    <w:rsid w:val="00E73BE9"/>
    <w:rsid w:val="00E75EC5"/>
    <w:rsid w:val="00EB2CFC"/>
    <w:rsid w:val="00ED799B"/>
    <w:rsid w:val="00EE1744"/>
    <w:rsid w:val="00EF5B76"/>
    <w:rsid w:val="00F52AA4"/>
    <w:rsid w:val="00F65AB9"/>
    <w:rsid w:val="00F74B47"/>
    <w:rsid w:val="00FF3B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3D38A5"/>
  <w15:chartTrackingRefBased/>
  <w15:docId w15:val="{49444B75-EE12-4E63-B36D-BACB3E2C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72A"/>
    <w:pPr>
      <w:widowControl w:val="0"/>
    </w:pPr>
    <w:rPr>
      <w:rFonts w:ascii="Times New Roman" w:eastAsia="標楷體" w:hAnsi="Times New Roman"/>
    </w:rPr>
  </w:style>
  <w:style w:type="paragraph" w:styleId="1">
    <w:name w:val="heading 1"/>
    <w:basedOn w:val="a"/>
    <w:next w:val="a"/>
    <w:link w:val="10"/>
    <w:uiPriority w:val="9"/>
    <w:qFormat/>
    <w:rsid w:val="00423781"/>
    <w:pPr>
      <w:keepNext/>
      <w:spacing w:before="180" w:after="180" w:line="720" w:lineRule="auto"/>
      <w:outlineLvl w:val="0"/>
    </w:pPr>
    <w:rPr>
      <w:rFonts w:asciiTheme="majorHAnsi" w:eastAsiaTheme="majorEastAsia" w:hAnsiTheme="majorHAnsi" w:cstheme="majorBidi"/>
      <w:b/>
      <w:bCs/>
      <w:kern w:val="52"/>
      <w:sz w:val="32"/>
      <w:szCs w:val="52"/>
    </w:rPr>
  </w:style>
  <w:style w:type="paragraph" w:styleId="2">
    <w:name w:val="heading 2"/>
    <w:basedOn w:val="a"/>
    <w:next w:val="a"/>
    <w:link w:val="20"/>
    <w:autoRedefine/>
    <w:uiPriority w:val="9"/>
    <w:unhideWhenUsed/>
    <w:qFormat/>
    <w:rsid w:val="00423781"/>
    <w:pPr>
      <w:keepNext/>
      <w:snapToGrid w:val="0"/>
      <w:spacing w:line="360" w:lineRule="auto"/>
      <w:ind w:left="482" w:hanging="482"/>
      <w:jc w:val="center"/>
      <w:outlineLvl w:val="1"/>
    </w:pPr>
    <w:rPr>
      <w:rFonts w:cstheme="majorBidi"/>
      <w:b/>
      <w:bCs/>
      <w:sz w:val="36"/>
      <w:szCs w:val="52"/>
    </w:rPr>
  </w:style>
  <w:style w:type="paragraph" w:styleId="3">
    <w:name w:val="heading 3"/>
    <w:basedOn w:val="a"/>
    <w:next w:val="a"/>
    <w:link w:val="30"/>
    <w:uiPriority w:val="9"/>
    <w:unhideWhenUsed/>
    <w:qFormat/>
    <w:rsid w:val="00B22650"/>
    <w:pPr>
      <w:keepNext/>
      <w:spacing w:line="360" w:lineRule="auto"/>
      <w:outlineLvl w:val="2"/>
    </w:pPr>
    <w:rPr>
      <w:rFonts w:asciiTheme="majorHAnsi"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772A"/>
    <w:pPr>
      <w:tabs>
        <w:tab w:val="center" w:pos="4153"/>
        <w:tab w:val="right" w:pos="8306"/>
      </w:tabs>
      <w:snapToGrid w:val="0"/>
    </w:pPr>
    <w:rPr>
      <w:sz w:val="20"/>
      <w:szCs w:val="20"/>
    </w:rPr>
  </w:style>
  <w:style w:type="character" w:customStyle="1" w:styleId="a4">
    <w:name w:val="頁首 字元"/>
    <w:basedOn w:val="a0"/>
    <w:link w:val="a3"/>
    <w:uiPriority w:val="99"/>
    <w:rsid w:val="000D772A"/>
    <w:rPr>
      <w:sz w:val="20"/>
      <w:szCs w:val="20"/>
    </w:rPr>
  </w:style>
  <w:style w:type="paragraph" w:styleId="a5">
    <w:name w:val="footer"/>
    <w:basedOn w:val="a"/>
    <w:link w:val="a6"/>
    <w:uiPriority w:val="99"/>
    <w:unhideWhenUsed/>
    <w:rsid w:val="000D772A"/>
    <w:pPr>
      <w:tabs>
        <w:tab w:val="center" w:pos="4153"/>
        <w:tab w:val="right" w:pos="8306"/>
      </w:tabs>
      <w:snapToGrid w:val="0"/>
    </w:pPr>
    <w:rPr>
      <w:sz w:val="20"/>
      <w:szCs w:val="20"/>
    </w:rPr>
  </w:style>
  <w:style w:type="character" w:customStyle="1" w:styleId="a6">
    <w:name w:val="頁尾 字元"/>
    <w:basedOn w:val="a0"/>
    <w:link w:val="a5"/>
    <w:uiPriority w:val="99"/>
    <w:rsid w:val="000D772A"/>
    <w:rPr>
      <w:sz w:val="20"/>
      <w:szCs w:val="20"/>
    </w:rPr>
  </w:style>
  <w:style w:type="character" w:customStyle="1" w:styleId="20">
    <w:name w:val="標題 2 字元"/>
    <w:basedOn w:val="a0"/>
    <w:link w:val="2"/>
    <w:uiPriority w:val="9"/>
    <w:rsid w:val="00423781"/>
    <w:rPr>
      <w:rFonts w:ascii="Times New Roman" w:eastAsia="標楷體" w:hAnsi="Times New Roman" w:cstheme="majorBidi"/>
      <w:b/>
      <w:bCs/>
      <w:sz w:val="36"/>
      <w:szCs w:val="52"/>
    </w:rPr>
  </w:style>
  <w:style w:type="paragraph" w:styleId="a7">
    <w:name w:val="No Spacing"/>
    <w:uiPriority w:val="1"/>
    <w:qFormat/>
    <w:rsid w:val="000D772A"/>
    <w:pPr>
      <w:widowControl w:val="0"/>
    </w:pPr>
    <w:rPr>
      <w:rFonts w:eastAsia="標楷體"/>
    </w:rPr>
  </w:style>
  <w:style w:type="character" w:customStyle="1" w:styleId="30">
    <w:name w:val="標題 3 字元"/>
    <w:basedOn w:val="a0"/>
    <w:link w:val="3"/>
    <w:uiPriority w:val="9"/>
    <w:rsid w:val="00B22650"/>
    <w:rPr>
      <w:rFonts w:asciiTheme="majorHAnsi" w:eastAsia="標楷體" w:hAnsiTheme="majorHAnsi" w:cstheme="majorBidi"/>
      <w:b/>
      <w:bCs/>
      <w:sz w:val="28"/>
      <w:szCs w:val="36"/>
    </w:rPr>
  </w:style>
  <w:style w:type="paragraph" w:styleId="a8">
    <w:name w:val="caption"/>
    <w:basedOn w:val="a"/>
    <w:next w:val="a"/>
    <w:uiPriority w:val="35"/>
    <w:unhideWhenUsed/>
    <w:qFormat/>
    <w:rsid w:val="00B22650"/>
    <w:rPr>
      <w:sz w:val="20"/>
      <w:szCs w:val="20"/>
    </w:rPr>
  </w:style>
  <w:style w:type="character" w:customStyle="1" w:styleId="10">
    <w:name w:val="標題 1 字元"/>
    <w:basedOn w:val="a0"/>
    <w:link w:val="1"/>
    <w:uiPriority w:val="9"/>
    <w:rsid w:val="00423781"/>
    <w:rPr>
      <w:rFonts w:asciiTheme="majorHAnsi" w:eastAsiaTheme="majorEastAsia" w:hAnsiTheme="majorHAnsi" w:cstheme="majorBidi"/>
      <w:b/>
      <w:bCs/>
      <w:kern w:val="52"/>
      <w:sz w:val="3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E6D6-DA01-41F9-86D3-E39D9DDA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28</Pages>
  <Words>8081</Words>
  <Characters>46062</Characters>
  <Application>Microsoft Office Word</Application>
  <DocSecurity>0</DocSecurity>
  <Lines>383</Lines>
  <Paragraphs>108</Paragraphs>
  <ScaleCrop>false</ScaleCrop>
  <Company/>
  <LinksUpToDate>false</LinksUpToDate>
  <CharactersWithSpaces>54035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維誠 陳</dc:creator>
  <cp:keywords/>
  <dc:description/>
  <cp:lastModifiedBy>維誠 陳</cp:lastModifiedBy>
  <cp:revision>131</cp:revision>
  <cp:lastPrinted>2025-05-31T08:49:00Z</cp:lastPrinted>
  <dcterms:created xsi:type="dcterms:W3CDTF">2024-07-12T12:47:00Z</dcterms:created>
  <dcterms:modified xsi:type="dcterms:W3CDTF">2025-05-31T08:50:00Z</dcterms:modified>
</cp:coreProperties>
</file>