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765B" w14:textId="55EE23C6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Luo, R. Z., &amp; Zhou, Y. L. (2024). The effectiveness of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regulated learning strategies in higher education blended learning: A five years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Assisted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3005-3029.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https://doi.org/10.1111/jcal.13052</w:t>
        </w:r>
      </w:hyperlink>
    </w:p>
    <w:p w14:paraId="366EFD1C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Chang, D. H., Lin, M. P.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Hajian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Wang, Q. Q. (2023). Educational design principles of using AI chatbot that supports self-regulated learning in education: Goal setting, feedback, and personalization.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(17), 12921.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https://doi.org/10.3390/su151712921</w:t>
        </w:r>
      </w:hyperlink>
    </w:p>
    <w:p w14:paraId="6C7B4CF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W. S., Lin, C. J., Lee, H. Y., Huang, Y. M., &amp; Wu, T. T. (2025). Enhancing self-regulated learning and higher-order thinking skills in virtual reality: the impact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-integrated feedback aids.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https://doi.org/10.1007/s10639-025-13557-x</w:t>
        </w:r>
      </w:hyperlink>
    </w:p>
    <w:p w14:paraId="76F9073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Panadero,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60EBF4F6" w14:textId="08B3F673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Braumann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van de Pol,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Pijeira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-Díaz, H. J.,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Wermeskerken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de Bruin, A. B., &amp; van Gog, T. (2024). The role of feedback on students’ diagramming: Effects on monitoring accuracy and text comprehension.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102251.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https://doi.org/10.1016/j.cedpsych.2023.102251</w:t>
        </w:r>
      </w:hyperlink>
    </w:p>
    <w:p w14:paraId="7B5632F3" w14:textId="231481CB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Liu, C. C., Hwang, G. J., Yu, P., Tu, Y. F., &amp; Wang, Y. (2025). Effects of an automated corrective feedback-based peer assessment approach on students’ learning achievement, motivation, and self-regulated learning conceptions in foreign language pronunciation.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technology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1-22.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https://doi.org/10.1007/s11423-025-10484-z</w:t>
        </w:r>
      </w:hyperlink>
    </w:p>
    <w:p w14:paraId="7C20079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Meyer, J., Jansen, T., Schiller,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Liebenow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W., Steinbach,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Horbach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&amp; Fleckenstein, J. (2024). Using LLMs to bring evidence-based feedback into the classroom: AI-generated feedback increases secondary students’ text revision, motivation, and positive emotions.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100199.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1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https://doi.org/10.1016/j.caeai.2023.100199</w:t>
        </w:r>
      </w:hyperlink>
    </w:p>
    <w:p w14:paraId="173B3D78" w14:textId="5BABD11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Lew, M.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Alwis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W. A. M., &amp; Schmidt, H. G. (2010). Accuracy of students'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assessment and their beliefs about its utility.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135-156.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2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https://doi.org/10.1080/02602930802687737</w:t>
        </w:r>
      </w:hyperlink>
    </w:p>
    <w:p w14:paraId="27CF1BAD" w14:textId="116D3C09" w:rsidR="003643B8" w:rsidRDefault="003643B8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1247-1262.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003696A7" w14:textId="48309E5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Hacker, D. J., &amp; Bol, L. (2019). Calibration and self-regulated learning: Making the connections.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https://doi.org/10.1017/9781108235631.026</w:t>
        </w:r>
      </w:hyperlink>
    </w:p>
    <w:p w14:paraId="3003F6EB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de Bruin, A. B.,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Merriënboer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J. (2017). Bridging cognitive load and self-regulated learning research: A complementary approach to contemporary issues in educational research.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https://doi.org/10.1016/j.learninstruc.2017.06.001</w:t>
        </w:r>
      </w:hyperlink>
    </w:p>
    <w:p w14:paraId="7B89D161" w14:textId="377CD8B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Rickey, N., Panadero, E., &amp; DeLuca, C. (2025). How do students self-assess? examining the metacognitive processes of student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https://doi.org/10.1007/s11409-025-09430-4</w:t>
        </w:r>
      </w:hyperlink>
    </w:p>
    <w:p w14:paraId="3160C85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Andrade, H. L. (2019, August). A critical review of research on student self-assessment.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(Vol. 4, p. 87). Frontiers Media SA.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https://doi.org/10.3389/feduc.2019.00087</w:t>
        </w:r>
      </w:hyperlink>
    </w:p>
    <w:p w14:paraId="31824FAE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Ernst, H. M., Prinz-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Weiß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Wittwer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&amp; Voss, T. (2025). Discrepancy between performance and feedback affects mathematics student teachers’ self-efficacy but not their self-assessment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, 1391093.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https://doi.org/10.3389/fpsyg.2024.1391093</w:t>
        </w:r>
      </w:hyperlink>
    </w:p>
    <w:p w14:paraId="6D1FB790" w14:textId="29CDA29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Thiede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 W., Griffin, T. D., Wiley, J., &amp; Anderson, M. C. (2010). Poor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metacomprehension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accuracy as a result of inappropriate cue use.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Discourse Processes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331-362.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https://doi.org/10.1080/01638530902959927</w:t>
        </w:r>
      </w:hyperlink>
    </w:p>
    <w:p w14:paraId="3FEC3E6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3056716"/>
      <w:r>
        <w:rPr>
          <w:rFonts w:ascii="Arial" w:hAnsi="Arial" w:cs="Arial"/>
          <w:color w:val="222222"/>
          <w:szCs w:val="20"/>
          <w:shd w:val="clear" w:color="auto" w:fill="FFFFFF"/>
        </w:rPr>
        <w:t>Panadero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02DB2488" w14:textId="14CD2A9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León, S. P., Panadero, E., &amp; García-Martínez, I. (2023). How accurate are our students? A meta-analytic systematic review on self-assessment scoring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106.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https://doi.org/10.1007/s10648-023-09819-0</w:t>
        </w:r>
      </w:hyperlink>
    </w:p>
    <w:p w14:paraId="1DE89F81" w14:textId="56A7A766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Kakaria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Simonetti,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Bigne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(2024). Interaction between extrinsic and intrinsic online review cues: perspectives from cue utilization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Electronic Commerce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2469-2497.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https://doi.org/10.1007/s10660-022-09665-2</w:t>
        </w:r>
      </w:hyperlink>
    </w:p>
    <w:p w14:paraId="36F2627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Koriat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(1997). Monitoring one's own knowledge during study: A cue-utilization approach to judgments of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experimental psychology: General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349.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https://doi.org/10.1037/0096-3445.126.4.349</w:t>
        </w:r>
      </w:hyperlink>
    </w:p>
    <w:p w14:paraId="1E4F4704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E., Nash, R. A., Parker, M., &amp; Rowntree, J. (2017). Supporting learners' agentic engagement with feedback: A systematic review and a taxonomy of recipience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psychologist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17-37.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4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https://doi.org/10.1080/00461520.2016.1207538</w:t>
        </w:r>
      </w:hyperlink>
    </w:p>
    <w:p w14:paraId="78C20C93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Butler, D. L., &amp; Winne, P. H. (1995). Feedback and self-regulated learning: A theoretical synthesis.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245-281.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https://doi.org/10.3102/00346543065003245</w:t>
        </w:r>
      </w:hyperlink>
    </w:p>
    <w:p w14:paraId="78CDD229" w14:textId="1A1CB05E" w:rsidR="003643B8" w:rsidRDefault="003643B8" w:rsidP="003643B8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Gutierrez de Blume, A. P. (2022). Calibrating calibration: A meta-analysis of learning strategy instruction interventions to improve metacognitive monitoring accuracy.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Journal of Educational Psychology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,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114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(4), 681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B9203AC" w14:textId="369EBC2F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1247-1262.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6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3F0F4A83" w14:textId="32CD021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Carless,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(2018). The development of student feedback literacy: enabling uptake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1315-1325.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7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https://doi.org/10.1080/02602938.2018.1463354</w:t>
        </w:r>
      </w:hyperlink>
    </w:p>
    <w:p w14:paraId="7DD63279" w14:textId="132E64D3" w:rsidR="003643B8" w:rsidRPr="003643B8" w:rsidRDefault="003643B8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Malecka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Carless, D. (2022). Eliciting, processing and enacting feedback: mechanisms for embedding student feedback literacy within the curriculum.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Teaching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>(7), 908-922.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https://doi.org/10.1080/13562517.2020.1754784</w:t>
        </w:r>
      </w:hyperlink>
    </w:p>
    <w:p w14:paraId="36B1CD7D" w14:textId="007A3DC5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Nicol, D. (2021). The power of internal feedback: Exploiting natural comparison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756-778.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https://doi.org/10.1080/02602938.2020.1823314</w:t>
        </w:r>
      </w:hyperlink>
    </w:p>
    <w:p w14:paraId="6CA06CD4" w14:textId="538F4648" w:rsidR="003643B8" w:rsidRDefault="003643B8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Molloy,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Henderson, M. (2020). Developing a learning-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centred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framework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527-540.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0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https://doi.org/10.1080/02602938.2019.1667955</w:t>
        </w:r>
      </w:hyperlink>
    </w:p>
    <w:p w14:paraId="2C5FFDD7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30770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Ashford, S. J., &amp; Cummings, L. L. (1983). Feedback as an individual resource: Personal strategies of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creating information.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Organizational behavior and human performance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370-398.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https://doi.org/10.1016/0030-5073(83)90156-3</w:t>
        </w:r>
      </w:hyperlink>
    </w:p>
    <w:p w14:paraId="45963FCF" w14:textId="334B50E2" w:rsidR="003643B8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Leenknecht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Hompus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van der Schaaf, M. (2019).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higher education: the association with students’ goal orientation and deep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Cs w:val="20"/>
          <w:shd w:val="clear" w:color="auto" w:fill="FFFFFF"/>
        </w:rPr>
        <w:t>(7), 1069-1078.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2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https://doi.org/10.1080/02602938.2019.1571161</w:t>
        </w:r>
      </w:hyperlink>
    </w:p>
    <w:p w14:paraId="6E6D51B5" w14:textId="0DCF62B1" w:rsidR="0091055E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Joughin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P., &amp; Tai, J. (2021). What can higher education learn from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organisations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? Implications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80-91.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3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https://doi.org/10.1080/02602938.2020.1733491</w:t>
        </w:r>
      </w:hyperlink>
    </w:p>
    <w:p w14:paraId="28F84596" w14:textId="7918967E" w:rsidR="0091055E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(1999). Avoiding the traps: Seeking good practice in the use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self assessment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reflection in professional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Social work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121-132.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https://doi.org/10.1080/02615479911220131</w:t>
        </w:r>
      </w:hyperlink>
    </w:p>
    <w:p w14:paraId="294530B3" w14:textId="1070F270" w:rsidR="00396A80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Carless, D. (2019).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Designing effective feedback processes in higher education: A learning-focused approach</w:t>
      </w:r>
      <w:r>
        <w:rPr>
          <w:rFonts w:ascii="Arial" w:hAnsi="Arial" w:cs="Arial"/>
          <w:color w:val="222222"/>
          <w:szCs w:val="20"/>
          <w:shd w:val="clear" w:color="auto" w:fill="FFFFFF"/>
        </w:rPr>
        <w:t>. Routledge.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5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https://doi.org/10.4324/9781351115940</w:t>
        </w:r>
      </w:hyperlink>
    </w:p>
    <w:p w14:paraId="26464204" w14:textId="00A06CA7" w:rsidR="00396A80" w:rsidRDefault="00452ECA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 (2020). Self-assessment in the process of self-regulated learning and its relationship with academic achievement.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224-238.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6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https://doi.org/10.1080/02602938.2019.1629390</w:t>
        </w:r>
      </w:hyperlink>
    </w:p>
    <w:p w14:paraId="615D240C" w14:textId="020F6C94" w:rsidR="00452ECA" w:rsidRDefault="00CD6861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2" w:name="_Hlk203168057"/>
      <w:r>
        <w:rPr>
          <w:rFonts w:ascii="Arial" w:hAnsi="Arial" w:cs="Arial"/>
          <w:color w:val="222222"/>
          <w:szCs w:val="20"/>
          <w:shd w:val="clear" w:color="auto" w:fill="FFFFFF"/>
        </w:rPr>
        <w:t>Schraw</w:t>
      </w:r>
      <w:bookmarkEnd w:id="2"/>
      <w:r>
        <w:rPr>
          <w:rFonts w:ascii="Arial" w:hAnsi="Arial" w:cs="Arial"/>
          <w:color w:val="222222"/>
          <w:szCs w:val="20"/>
          <w:shd w:val="clear" w:color="auto" w:fill="FFFFFF"/>
        </w:rPr>
        <w:t>, G. (2009). A conceptual analysis of five measures of metacognitive monitoring.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Cs w:val="20"/>
          <w:shd w:val="clear" w:color="auto" w:fill="FFFFFF"/>
        </w:rPr>
        <w:t>, 33-45.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7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https://doi.org/10.1007/s11409-008-9031-3</w:t>
        </w:r>
      </w:hyperlink>
    </w:p>
    <w:p w14:paraId="5A045FAF" w14:textId="77777777" w:rsidR="00CD6861" w:rsidRDefault="00CD6861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bookmarkEnd w:id="1"/>
    <w:p w14:paraId="7EFB05B5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2D800041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2CD7664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CD4F2D1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80DDA52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32CEE1B4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E76FB1E" w14:textId="1942107F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正確的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)</w:t>
      </w:r>
    </w:p>
    <w:p w14:paraId="05D843C0" w14:textId="77777777" w:rsidR="003643B8" w:rsidRDefault="003643B8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A6C1CA4" w14:textId="77777777" w:rsidR="0019340F" w:rsidRDefault="0019340F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17CB7BBF" w14:textId="74570C5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A81BADA" w14:textId="6DEA153C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83D890C" w14:textId="77777777" w:rsidR="0087421B" w:rsidRDefault="0087421B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1BFFD3BD" w14:textId="406AC98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BC2585F" w14:textId="77777777" w:rsidR="0087421B" w:rsidRPr="007A0833" w:rsidRDefault="0087421B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0547BF77" w14:textId="77777777" w:rsidR="007A0833" w:rsidRDefault="007A0833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CDB582A" w14:textId="77777777" w:rsidR="00C00516" w:rsidRPr="00956A77" w:rsidRDefault="00C00516" w:rsidP="003D1202">
      <w:pPr>
        <w:pStyle w:val="a5"/>
        <w:rPr>
          <w:rFonts w:hint="eastAsia"/>
        </w:rPr>
      </w:pPr>
    </w:p>
    <w:p w14:paraId="55CAB3AC" w14:textId="77777777" w:rsidR="003D1202" w:rsidRDefault="003D1202" w:rsidP="003D1202">
      <w:pPr>
        <w:pStyle w:val="a5"/>
      </w:pPr>
    </w:p>
    <w:p w14:paraId="5C5BA752" w14:textId="77777777" w:rsidR="003D1202" w:rsidRDefault="003D1202" w:rsidP="003D1202"/>
    <w:p w14:paraId="432EECD3" w14:textId="77777777" w:rsidR="003D1202" w:rsidRDefault="003D1202" w:rsidP="003D1202"/>
    <w:p w14:paraId="7A40340A" w14:textId="77777777" w:rsidR="003D1202" w:rsidRDefault="003D1202" w:rsidP="003D1202"/>
    <w:p w14:paraId="0C19583A" w14:textId="77777777" w:rsidR="003D1202" w:rsidRDefault="003D1202" w:rsidP="003D1202"/>
    <w:p w14:paraId="435A4E76" w14:textId="77777777" w:rsidR="003D1202" w:rsidRDefault="003D1202" w:rsidP="003D1202"/>
    <w:p w14:paraId="7A80D0D7" w14:textId="77777777" w:rsidR="003D1202" w:rsidRDefault="003D1202" w:rsidP="003D1202"/>
    <w:p w14:paraId="3AD8CF5A" w14:textId="77777777" w:rsidR="003D1202" w:rsidRDefault="003D1202" w:rsidP="003D1202"/>
    <w:p w14:paraId="2A97844A" w14:textId="77777777" w:rsidR="003D1202" w:rsidRDefault="003D1202" w:rsidP="003D1202"/>
    <w:p w14:paraId="11BAE77F" w14:textId="77777777" w:rsidR="003D1202" w:rsidRDefault="003D1202" w:rsidP="003D1202"/>
    <w:p w14:paraId="5B93DC5B" w14:textId="77777777" w:rsidR="003D1202" w:rsidRPr="00956A77" w:rsidRDefault="003D1202" w:rsidP="003D1202">
      <w:pPr>
        <w:pStyle w:val="a5"/>
      </w:pPr>
    </w:p>
    <w:p w14:paraId="527968AC" w14:textId="77777777" w:rsidR="003D1202" w:rsidRDefault="003D1202" w:rsidP="003D1202">
      <w:pPr>
        <w:pStyle w:val="a5"/>
      </w:pPr>
    </w:p>
    <w:p w14:paraId="16B1719E" w14:textId="77777777" w:rsidR="003D1202" w:rsidRDefault="003D1202" w:rsidP="003D1202"/>
    <w:p w14:paraId="306079CA" w14:textId="77777777" w:rsidR="003D1202" w:rsidRDefault="003D1202" w:rsidP="003D1202"/>
    <w:p w14:paraId="002D077D" w14:textId="77777777" w:rsidR="003D1202" w:rsidRDefault="003D1202" w:rsidP="003D1202"/>
    <w:p w14:paraId="5A84F65D" w14:textId="77777777" w:rsidR="003D1202" w:rsidRDefault="003D1202" w:rsidP="003D1202"/>
    <w:p w14:paraId="39EC3138" w14:textId="77777777" w:rsidR="003D1202" w:rsidRDefault="003D1202" w:rsidP="003D1202"/>
    <w:p w14:paraId="3528F4A1" w14:textId="77777777" w:rsidR="003D1202" w:rsidRDefault="003D1202" w:rsidP="003D1202"/>
    <w:p w14:paraId="7F3DA2AB" w14:textId="77777777" w:rsidR="003D1202" w:rsidRDefault="003D1202" w:rsidP="003D1202"/>
    <w:p w14:paraId="7A9686AF" w14:textId="77777777" w:rsidR="003D1202" w:rsidRDefault="003D1202" w:rsidP="003D1202"/>
    <w:p w14:paraId="7BB9DE7B" w14:textId="77777777" w:rsidR="003D1202" w:rsidRDefault="003D1202" w:rsidP="003D1202"/>
    <w:p w14:paraId="64EAC3D4" w14:textId="77777777" w:rsidR="003D1202" w:rsidRPr="00956A77" w:rsidRDefault="003D1202" w:rsidP="003D1202">
      <w:pPr>
        <w:pStyle w:val="a5"/>
      </w:pPr>
    </w:p>
    <w:p w14:paraId="1D6777F4" w14:textId="77777777" w:rsidR="003D1202" w:rsidRDefault="003D1202" w:rsidP="003D1202">
      <w:pPr>
        <w:pStyle w:val="a5"/>
      </w:pPr>
    </w:p>
    <w:p w14:paraId="2571A09C" w14:textId="77777777" w:rsidR="003D1202" w:rsidRDefault="003D1202" w:rsidP="003D1202"/>
    <w:p w14:paraId="132B59C4" w14:textId="77777777" w:rsidR="003D1202" w:rsidRDefault="003D1202" w:rsidP="003D1202"/>
    <w:p w14:paraId="011F668F" w14:textId="77777777" w:rsidR="003D1202" w:rsidRDefault="003D1202" w:rsidP="003D1202"/>
    <w:p w14:paraId="2CAE31D3" w14:textId="77777777" w:rsidR="003D1202" w:rsidRDefault="003D1202" w:rsidP="003D1202"/>
    <w:p w14:paraId="31BA3622" w14:textId="77777777" w:rsidR="003D1202" w:rsidRDefault="003D1202" w:rsidP="003D1202"/>
    <w:p w14:paraId="4FBB8A75" w14:textId="77777777" w:rsidR="003D1202" w:rsidRDefault="003D1202" w:rsidP="003D1202"/>
    <w:p w14:paraId="68BB935D" w14:textId="77777777" w:rsidR="003D1202" w:rsidRDefault="003D1202" w:rsidP="003D1202"/>
    <w:p w14:paraId="7F114BAB" w14:textId="77777777" w:rsidR="003D1202" w:rsidRDefault="003D1202" w:rsidP="003D1202"/>
    <w:p w14:paraId="5590ED1C" w14:textId="77777777" w:rsidR="003D1202" w:rsidRDefault="003D1202" w:rsidP="003D1202"/>
    <w:p w14:paraId="6127E234" w14:textId="77777777" w:rsidR="003D1202" w:rsidRPr="00956A77" w:rsidRDefault="003D1202" w:rsidP="003D1202">
      <w:pPr>
        <w:pStyle w:val="a5"/>
      </w:pPr>
    </w:p>
    <w:p w14:paraId="521DDBCD" w14:textId="77777777" w:rsidR="003D1202" w:rsidRDefault="003D1202" w:rsidP="003D1202">
      <w:pPr>
        <w:pStyle w:val="a5"/>
      </w:pPr>
    </w:p>
    <w:p w14:paraId="5E862B6D" w14:textId="77777777" w:rsidR="003D1202" w:rsidRDefault="003D1202" w:rsidP="003D1202"/>
    <w:p w14:paraId="5C3CDA46" w14:textId="77777777" w:rsidR="003D1202" w:rsidRDefault="003D1202" w:rsidP="003D1202"/>
    <w:p w14:paraId="258E9BEE" w14:textId="77777777" w:rsidR="003D1202" w:rsidRDefault="003D1202" w:rsidP="003D1202"/>
    <w:p w14:paraId="6B00AD89" w14:textId="77777777" w:rsidR="003D1202" w:rsidRDefault="003D1202" w:rsidP="003D1202"/>
    <w:p w14:paraId="140E43D4" w14:textId="77777777" w:rsidR="003D1202" w:rsidRDefault="003D1202" w:rsidP="003D1202"/>
    <w:p w14:paraId="024CD497" w14:textId="77777777" w:rsidR="003D1202" w:rsidRDefault="003D1202" w:rsidP="003D1202"/>
    <w:p w14:paraId="58845DA6" w14:textId="77777777" w:rsidR="003D1202" w:rsidRDefault="003D1202" w:rsidP="003D1202"/>
    <w:p w14:paraId="69099D5E" w14:textId="77777777" w:rsidR="003D1202" w:rsidRDefault="003D1202" w:rsidP="003D1202"/>
    <w:p w14:paraId="30E71DDA" w14:textId="77777777" w:rsidR="003D1202" w:rsidRDefault="003D1202" w:rsidP="003D1202"/>
    <w:p w14:paraId="515FA7C8" w14:textId="77777777" w:rsidR="003D1202" w:rsidRPr="00956A77" w:rsidRDefault="003D1202" w:rsidP="003D1202">
      <w:pPr>
        <w:pStyle w:val="a5"/>
      </w:pPr>
    </w:p>
    <w:p w14:paraId="5DB473E7" w14:textId="77777777" w:rsidR="003D1202" w:rsidRDefault="003D1202" w:rsidP="003D1202">
      <w:pPr>
        <w:pStyle w:val="a5"/>
      </w:pPr>
    </w:p>
    <w:p w14:paraId="6ECF5ED3" w14:textId="77777777" w:rsidR="003D1202" w:rsidRDefault="003D1202" w:rsidP="003D1202"/>
    <w:p w14:paraId="2475B2CD" w14:textId="77777777" w:rsidR="003D1202" w:rsidRDefault="003D1202" w:rsidP="003D1202"/>
    <w:p w14:paraId="5259168C" w14:textId="77777777" w:rsidR="003D1202" w:rsidRDefault="003D1202" w:rsidP="003D1202"/>
    <w:p w14:paraId="3EC2DBEA" w14:textId="77777777" w:rsidR="003D1202" w:rsidRDefault="003D1202" w:rsidP="003D1202"/>
    <w:p w14:paraId="547B7ECB" w14:textId="77777777" w:rsidR="003D1202" w:rsidRDefault="003D1202" w:rsidP="003D1202"/>
    <w:p w14:paraId="20BC02F8" w14:textId="77777777" w:rsidR="003D1202" w:rsidRDefault="003D1202" w:rsidP="003D1202"/>
    <w:p w14:paraId="67CABA09" w14:textId="77777777" w:rsidR="003D1202" w:rsidRDefault="003D1202" w:rsidP="003D1202"/>
    <w:p w14:paraId="674FD238" w14:textId="77777777" w:rsidR="003D1202" w:rsidRDefault="003D1202" w:rsidP="003D1202"/>
    <w:p w14:paraId="7C409E35" w14:textId="77777777" w:rsidR="003D1202" w:rsidRDefault="003D1202" w:rsidP="003D1202"/>
    <w:p w14:paraId="3A2108CB" w14:textId="77777777" w:rsidR="00754985" w:rsidRPr="003D1202" w:rsidRDefault="00754985" w:rsidP="003D1202"/>
    <w:sectPr w:rsidR="00754985" w:rsidRPr="003D1202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760DE"/>
    <w:multiLevelType w:val="multilevel"/>
    <w:tmpl w:val="782EE0DA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6A4B"/>
    <w:rsid w:val="000224C8"/>
    <w:rsid w:val="0002356F"/>
    <w:rsid w:val="00024BB9"/>
    <w:rsid w:val="000D5206"/>
    <w:rsid w:val="00155ED6"/>
    <w:rsid w:val="00167639"/>
    <w:rsid w:val="0019340F"/>
    <w:rsid w:val="00314F8D"/>
    <w:rsid w:val="003643B8"/>
    <w:rsid w:val="00396A80"/>
    <w:rsid w:val="003B4D99"/>
    <w:rsid w:val="003D1202"/>
    <w:rsid w:val="00452ECA"/>
    <w:rsid w:val="005B7C69"/>
    <w:rsid w:val="005D256E"/>
    <w:rsid w:val="007018B8"/>
    <w:rsid w:val="00754985"/>
    <w:rsid w:val="007A0833"/>
    <w:rsid w:val="007A7F6D"/>
    <w:rsid w:val="0087421B"/>
    <w:rsid w:val="0091055E"/>
    <w:rsid w:val="00956A77"/>
    <w:rsid w:val="00B35CBE"/>
    <w:rsid w:val="00B857F3"/>
    <w:rsid w:val="00C00516"/>
    <w:rsid w:val="00C02ADC"/>
    <w:rsid w:val="00C141D3"/>
    <w:rsid w:val="00CD5ADF"/>
    <w:rsid w:val="00CD6861"/>
    <w:rsid w:val="00D77E8B"/>
    <w:rsid w:val="00E04B69"/>
    <w:rsid w:val="00E1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8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02ADC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ADC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No Spacing"/>
    <w:uiPriority w:val="1"/>
    <w:qFormat/>
    <w:rsid w:val="00956A77"/>
    <w:pPr>
      <w:widowControl w:val="0"/>
    </w:pPr>
    <w:rPr>
      <w:rFonts w:ascii="Times New Roman" w:eastAsia="標楷體" w:hAnsi="Times New Roman"/>
      <w:sz w:val="20"/>
    </w:rPr>
  </w:style>
  <w:style w:type="character" w:styleId="a6">
    <w:name w:val="Hyperlink"/>
    <w:basedOn w:val="a0"/>
    <w:uiPriority w:val="99"/>
    <w:unhideWhenUsed/>
    <w:rsid w:val="000235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0/02602938.2016.1260091" TargetMode="External"/><Relationship Id="rId18" Type="http://schemas.openxmlformats.org/officeDocument/2006/relationships/hyperlink" Target="https://doi.org/10.3389/fpsyg.2024.1391093" TargetMode="External"/><Relationship Id="rId26" Type="http://schemas.openxmlformats.org/officeDocument/2006/relationships/hyperlink" Target="https://doi.org/10.1080/02602938.2016.126009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007/s10648-023-09819-0" TargetMode="External"/><Relationship Id="rId34" Type="http://schemas.openxmlformats.org/officeDocument/2006/relationships/hyperlink" Target="https://doi.org/10.1080/02615479911220131" TargetMode="External"/><Relationship Id="rId7" Type="http://schemas.openxmlformats.org/officeDocument/2006/relationships/hyperlink" Target="https://doi.org/10.1007/s10639-025-13557-x" TargetMode="External"/><Relationship Id="rId12" Type="http://schemas.openxmlformats.org/officeDocument/2006/relationships/hyperlink" Target="https://doi.org/10.1080/02602930802687737" TargetMode="External"/><Relationship Id="rId17" Type="http://schemas.openxmlformats.org/officeDocument/2006/relationships/hyperlink" Target="https://doi.org/10.3389/feduc.2019.00087" TargetMode="External"/><Relationship Id="rId25" Type="http://schemas.openxmlformats.org/officeDocument/2006/relationships/hyperlink" Target="https://doi.org/10.3102/00346543065003245" TargetMode="External"/><Relationship Id="rId33" Type="http://schemas.openxmlformats.org/officeDocument/2006/relationships/hyperlink" Target="https://doi.org/10.1080/02602938.2020.173349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7/s11409-025-09430-4" TargetMode="External"/><Relationship Id="rId20" Type="http://schemas.openxmlformats.org/officeDocument/2006/relationships/hyperlink" Target="https://doi.org/10.1007/s10648-015-9350-2" TargetMode="External"/><Relationship Id="rId29" Type="http://schemas.openxmlformats.org/officeDocument/2006/relationships/hyperlink" Target="https://doi.org/10.1080/02602938.2020.18233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3390/su151712921" TargetMode="External"/><Relationship Id="rId11" Type="http://schemas.openxmlformats.org/officeDocument/2006/relationships/hyperlink" Target="https://doi.org/10.1016/j.caeai.2023.100199" TargetMode="External"/><Relationship Id="rId24" Type="http://schemas.openxmlformats.org/officeDocument/2006/relationships/hyperlink" Target="https://doi.org/10.1080/00461520.2016.1207538" TargetMode="External"/><Relationship Id="rId32" Type="http://schemas.openxmlformats.org/officeDocument/2006/relationships/hyperlink" Target="https://doi.org/10.1080/02602938.2019.1571161" TargetMode="External"/><Relationship Id="rId37" Type="http://schemas.openxmlformats.org/officeDocument/2006/relationships/hyperlink" Target="https://doi.org/10.1007/s11409-008-9031-3" TargetMode="External"/><Relationship Id="rId5" Type="http://schemas.openxmlformats.org/officeDocument/2006/relationships/hyperlink" Target="https://doi.org/10.1111/jcal.13052" TargetMode="External"/><Relationship Id="rId15" Type="http://schemas.openxmlformats.org/officeDocument/2006/relationships/hyperlink" Target="https://doi.org/10.1016/j.learninstruc.2017.06.001" TargetMode="External"/><Relationship Id="rId23" Type="http://schemas.openxmlformats.org/officeDocument/2006/relationships/hyperlink" Target="https://doi.org/10.1037/0096-3445.126.4.349" TargetMode="External"/><Relationship Id="rId28" Type="http://schemas.openxmlformats.org/officeDocument/2006/relationships/hyperlink" Target="https://doi.org/10.1080/13562517.2020.1754784" TargetMode="External"/><Relationship Id="rId36" Type="http://schemas.openxmlformats.org/officeDocument/2006/relationships/hyperlink" Target="https://doi.org/10.1080/02602938.2019.1629390" TargetMode="External"/><Relationship Id="rId10" Type="http://schemas.openxmlformats.org/officeDocument/2006/relationships/hyperlink" Target="https://doi.org/10.1007/s11423-025-10484-z" TargetMode="External"/><Relationship Id="rId19" Type="http://schemas.openxmlformats.org/officeDocument/2006/relationships/hyperlink" Target="https://doi.org/10.1080/01638530902959927" TargetMode="External"/><Relationship Id="rId31" Type="http://schemas.openxmlformats.org/officeDocument/2006/relationships/hyperlink" Target="https://doi.org/10.1016/0030-5073(83)90156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edpsych.2023.102251" TargetMode="External"/><Relationship Id="rId14" Type="http://schemas.openxmlformats.org/officeDocument/2006/relationships/hyperlink" Target="https://doi.org/10.1017/9781108235631.026" TargetMode="External"/><Relationship Id="rId22" Type="http://schemas.openxmlformats.org/officeDocument/2006/relationships/hyperlink" Target="https://doi.org/10.1007/s10660-022-09665-2" TargetMode="External"/><Relationship Id="rId27" Type="http://schemas.openxmlformats.org/officeDocument/2006/relationships/hyperlink" Target="https://doi.org/10.1080/02602938.2018.1463354" TargetMode="External"/><Relationship Id="rId30" Type="http://schemas.openxmlformats.org/officeDocument/2006/relationships/hyperlink" Target="https://doi.org/10.1080/02602938.2019.1667955" TargetMode="External"/><Relationship Id="rId35" Type="http://schemas.openxmlformats.org/officeDocument/2006/relationships/hyperlink" Target="https://doi.org/10.4324/9781351115940" TargetMode="External"/><Relationship Id="rId8" Type="http://schemas.openxmlformats.org/officeDocument/2006/relationships/hyperlink" Target="https://doi.org/10.1007/s10648-015-9350-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14</cp:revision>
  <dcterms:created xsi:type="dcterms:W3CDTF">2025-07-10T05:58:00Z</dcterms:created>
  <dcterms:modified xsi:type="dcterms:W3CDTF">2025-07-11T15:36:00Z</dcterms:modified>
</cp:coreProperties>
</file>