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3EBB0" w14:textId="23EFF4FB" w:rsidR="009A356B" w:rsidRDefault="009A356B" w:rsidP="00DD3433">
      <w:pPr>
        <w:pStyle w:val="a5"/>
        <w:snapToGrid w:val="0"/>
        <w:rPr>
          <w:rFonts w:hint="eastAsia"/>
        </w:rPr>
      </w:pPr>
      <w:proofErr w:type="spellStart"/>
      <w:r>
        <w:t>SmartPLS</w:t>
      </w:r>
      <w:proofErr w:type="spellEnd"/>
      <w:r>
        <w:rPr>
          <w:rFonts w:hint="eastAsia"/>
        </w:rPr>
        <w:t>的文章到底在寫三小</w:t>
      </w:r>
    </w:p>
    <w:p w14:paraId="281B8D54" w14:textId="70CCCF70" w:rsidR="009A356B" w:rsidRDefault="00DD3433" w:rsidP="00DD3433">
      <w:pPr>
        <w:pStyle w:val="a5"/>
        <w:snapToGrid w:val="0"/>
        <w:jc w:val="left"/>
        <w:rPr>
          <w:rFonts w:hint="eastAsia"/>
        </w:rPr>
      </w:pPr>
      <w:r>
        <w:rPr>
          <w:rFonts w:hint="eastAsia"/>
        </w:rPr>
        <w:t>結構方程模型的步驟：</w:t>
      </w:r>
    </w:p>
    <w:p w14:paraId="41087D95" w14:textId="4D134F30" w:rsidR="00DD3433" w:rsidRDefault="00DD3433" w:rsidP="00DD3433">
      <w:pPr>
        <w:snapToGrid w:val="0"/>
        <w:rPr>
          <w:rFonts w:hint="eastAsia"/>
        </w:rPr>
      </w:pPr>
      <w:r>
        <w:rPr>
          <w:rFonts w:hint="eastAsia"/>
        </w:rPr>
        <w:t>繪製模型</w:t>
      </w:r>
    </w:p>
    <w:p w14:paraId="5646A7F6" w14:textId="526711E2" w:rsidR="009A356B" w:rsidRDefault="00DD3433" w:rsidP="00DD3433">
      <w:pPr>
        <w:snapToGrid w:val="0"/>
      </w:pPr>
      <w:r>
        <w:rPr>
          <w:rFonts w:hint="eastAsia"/>
        </w:rPr>
        <w:t>執行</w:t>
      </w:r>
      <w:r>
        <w:rPr>
          <w:rFonts w:hint="eastAsia"/>
        </w:rPr>
        <w:t>模型圖，可分為：</w:t>
      </w:r>
    </w:p>
    <w:p w14:paraId="009F7761" w14:textId="51A31FA0" w:rsidR="00DD3433" w:rsidRDefault="00DD3433" w:rsidP="00DD3433">
      <w:pPr>
        <w:pStyle w:val="a7"/>
        <w:numPr>
          <w:ilvl w:val="0"/>
          <w:numId w:val="6"/>
        </w:numPr>
        <w:snapToGrid w:val="0"/>
        <w:ind w:leftChars="0"/>
        <w:rPr>
          <w:rFonts w:hint="eastAsia"/>
        </w:rPr>
      </w:pPr>
      <w:r>
        <w:rPr>
          <w:rFonts w:hint="eastAsia"/>
        </w:rPr>
        <w:t>P</w:t>
      </w:r>
      <w:r>
        <w:t>LS Algorithm</w:t>
      </w:r>
      <w:r>
        <w:rPr>
          <w:rFonts w:hint="eastAsia"/>
        </w:rPr>
        <w:t>：進行參數估計</w:t>
      </w:r>
    </w:p>
    <w:p w14:paraId="1AF7A642" w14:textId="74B3CEE1" w:rsidR="00DD3433" w:rsidRDefault="00DD3433" w:rsidP="00DD3433">
      <w:pPr>
        <w:pStyle w:val="a7"/>
        <w:numPr>
          <w:ilvl w:val="0"/>
          <w:numId w:val="6"/>
        </w:numPr>
        <w:snapToGrid w:val="0"/>
        <w:ind w:leftChars="0"/>
        <w:rPr>
          <w:rFonts w:hint="eastAsia"/>
        </w:rPr>
      </w:pPr>
      <w:r>
        <w:t>Bootstrap</w:t>
      </w:r>
      <w:r>
        <w:rPr>
          <w:rFonts w:hint="eastAsia"/>
        </w:rPr>
        <w:t>：進行路徑分析，查看顯著性</w:t>
      </w:r>
    </w:p>
    <w:p w14:paraId="45A8460E" w14:textId="594E3908" w:rsidR="00DD3433" w:rsidRDefault="00DD3433" w:rsidP="00DD3433">
      <w:pPr>
        <w:snapToGrid w:val="0"/>
        <w:rPr>
          <w:rFonts w:hint="eastAsia"/>
        </w:rPr>
      </w:pPr>
      <w:r>
        <w:rPr>
          <w:rFonts w:hint="eastAsia"/>
        </w:rPr>
        <w:t>評鑑模型圖：</w:t>
      </w:r>
    </w:p>
    <w:p w14:paraId="4FC44558" w14:textId="1C6D36EA" w:rsidR="00DD3433" w:rsidRDefault="00DD3433" w:rsidP="00DD3433">
      <w:pPr>
        <w:pStyle w:val="a7"/>
        <w:numPr>
          <w:ilvl w:val="0"/>
          <w:numId w:val="5"/>
        </w:numPr>
        <w:snapToGrid w:val="0"/>
        <w:ind w:leftChars="0"/>
      </w:pPr>
      <w:r>
        <w:rPr>
          <w:rFonts w:hint="eastAsia"/>
        </w:rPr>
        <w:t>先評鑑測量模型</w:t>
      </w:r>
      <w:r w:rsidR="004E5AE6">
        <w:rPr>
          <w:rFonts w:hint="eastAsia"/>
        </w:rPr>
        <w:t>（</w:t>
      </w:r>
      <w:r w:rsidR="004E5AE6">
        <w:t>outer model</w:t>
      </w:r>
      <w:r w:rsidR="004E5AE6">
        <w:rPr>
          <w:rFonts w:hint="eastAsia"/>
        </w:rPr>
        <w:t>）</w:t>
      </w:r>
      <w:r>
        <w:rPr>
          <w:rFonts w:hint="eastAsia"/>
        </w:rPr>
        <w:t>，了解構面的信度、收斂效度、區別效度。</w:t>
      </w:r>
    </w:p>
    <w:p w14:paraId="5BBA3596" w14:textId="47C7DEC2" w:rsidR="00DD3433" w:rsidRDefault="00DD3433" w:rsidP="00DD3433">
      <w:pPr>
        <w:pStyle w:val="a7"/>
        <w:numPr>
          <w:ilvl w:val="0"/>
          <w:numId w:val="5"/>
        </w:numPr>
        <w:snapToGrid w:val="0"/>
        <w:ind w:leftChars="0"/>
        <w:rPr>
          <w:rFonts w:hint="eastAsia"/>
        </w:rPr>
      </w:pPr>
      <w:r>
        <w:rPr>
          <w:rFonts w:hint="eastAsia"/>
        </w:rPr>
        <w:t>再評鑑結構模型</w:t>
      </w:r>
      <w:r w:rsidR="004E5AE6">
        <w:rPr>
          <w:rFonts w:hint="eastAsia"/>
        </w:rPr>
        <w:t>（</w:t>
      </w:r>
      <w:r w:rsidR="004E5AE6">
        <w:t>inner</w:t>
      </w:r>
      <w:r w:rsidR="004E5AE6">
        <w:rPr>
          <w:rFonts w:hint="eastAsia"/>
        </w:rPr>
        <w:t xml:space="preserve"> </w:t>
      </w:r>
      <w:r w:rsidR="004E5AE6">
        <w:t>model</w:t>
      </w:r>
      <w:r w:rsidR="004E5AE6">
        <w:rPr>
          <w:rFonts w:hint="eastAsia"/>
        </w:rPr>
        <w:t>）</w:t>
      </w:r>
      <w:r>
        <w:rPr>
          <w:rFonts w:hint="eastAsia"/>
        </w:rPr>
        <w:t>，以驗證個因果關係之間的假設檢定。</w:t>
      </w:r>
    </w:p>
    <w:p w14:paraId="55FF11FB" w14:textId="1C133DFF" w:rsidR="00DD3433" w:rsidRDefault="004E5AE6" w:rsidP="00DD3433">
      <w:pPr>
        <w:snapToGrid w:val="0"/>
      </w:pPr>
      <w:r>
        <w:rPr>
          <w:noProof/>
        </w:rPr>
        <w:drawing>
          <wp:inline distT="0" distB="0" distL="0" distR="0" wp14:anchorId="293E0E9E" wp14:editId="06D02635">
            <wp:extent cx="5930900" cy="2933700"/>
            <wp:effectExtent l="0" t="0" r="0" b="0"/>
            <wp:docPr id="1105197699" name="圖片 3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97699" name="圖片 3" descr="一張含有 文字, 螢幕擷取畫面, 圖表, 字型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ED88" w14:textId="06BF2C87" w:rsidR="00DD3433" w:rsidRDefault="00DD3433" w:rsidP="00DD3433">
      <w:pPr>
        <w:snapToGrid w:val="0"/>
        <w:rPr>
          <w:rFonts w:hint="eastAsia"/>
        </w:rPr>
      </w:pPr>
    </w:p>
    <w:p w14:paraId="774C0D14" w14:textId="77777777" w:rsidR="00DD3433" w:rsidRDefault="00DD3433" w:rsidP="00DD3433">
      <w:pPr>
        <w:snapToGrid w:val="0"/>
      </w:pPr>
    </w:p>
    <w:p w14:paraId="5217D0C6" w14:textId="77777777" w:rsidR="00DD3433" w:rsidRPr="009A356B" w:rsidRDefault="00DD3433" w:rsidP="00DD3433">
      <w:pPr>
        <w:snapToGrid w:val="0"/>
        <w:rPr>
          <w:rFonts w:hint="eastAsia"/>
        </w:rPr>
      </w:pPr>
    </w:p>
    <w:p w14:paraId="67DBA0F2" w14:textId="6E6DB7CC" w:rsidR="008E4D90" w:rsidRDefault="00DD3433" w:rsidP="00DD3433">
      <w:pPr>
        <w:pStyle w:val="a5"/>
        <w:snapToGrid w:val="0"/>
        <w:jc w:val="left"/>
        <w:rPr>
          <w:rFonts w:hint="eastAsia"/>
        </w:rPr>
      </w:pPr>
      <w:r>
        <w:rPr>
          <w:rFonts w:hint="eastAsia"/>
        </w:rPr>
        <w:t>評鑑測量模型</w:t>
      </w:r>
      <w:r w:rsidR="004E5AE6" w:rsidRPr="004E5AE6">
        <w:t>（</w:t>
      </w:r>
      <w:r w:rsidR="004E5AE6" w:rsidRPr="004E5AE6">
        <w:t>outer model</w:t>
      </w:r>
      <w:r w:rsidR="004E5AE6" w:rsidRPr="004E5AE6">
        <w:t>）</w:t>
      </w:r>
      <w:r>
        <w:rPr>
          <w:rFonts w:hint="eastAsia"/>
        </w:rPr>
        <w:t>：</w:t>
      </w:r>
      <w:r w:rsidR="004E5AE6">
        <w:rPr>
          <w:rFonts w:hint="eastAsia"/>
        </w:rPr>
        <w:t>就是信效度分析</w:t>
      </w:r>
    </w:p>
    <w:p w14:paraId="2A9718C0" w14:textId="5E0260E6" w:rsidR="004E5AE6" w:rsidRDefault="004E5AE6" w:rsidP="00DD3433">
      <w:pPr>
        <w:pStyle w:val="a7"/>
        <w:numPr>
          <w:ilvl w:val="0"/>
          <w:numId w:val="7"/>
        </w:numPr>
        <w:snapToGrid w:val="0"/>
        <w:ind w:leftChars="0"/>
      </w:pPr>
      <w:r>
        <w:rPr>
          <w:rFonts w:hint="eastAsia"/>
        </w:rPr>
        <w:t>信度</w:t>
      </w:r>
    </w:p>
    <w:p w14:paraId="7080331A" w14:textId="47A14EA1" w:rsidR="004E5AE6" w:rsidRDefault="00DD3433" w:rsidP="004E5AE6">
      <w:pPr>
        <w:pStyle w:val="a7"/>
        <w:numPr>
          <w:ilvl w:val="1"/>
          <w:numId w:val="7"/>
        </w:numPr>
        <w:snapToGrid w:val="0"/>
        <w:ind w:leftChars="0"/>
        <w:rPr>
          <w:rFonts w:hint="eastAsia"/>
        </w:rPr>
      </w:pPr>
      <w:r>
        <w:rPr>
          <w:rFonts w:hint="eastAsia"/>
        </w:rPr>
        <w:t>檢查內部一至性</w:t>
      </w:r>
      <w:r w:rsidR="004E5AE6">
        <w:rPr>
          <w:rFonts w:hint="eastAsia"/>
        </w:rPr>
        <w:t>（</w:t>
      </w:r>
      <w:proofErr w:type="spellStart"/>
      <w:r w:rsidR="004E5AE6">
        <w:t>cronbach</w:t>
      </w:r>
      <w:proofErr w:type="spellEnd"/>
      <w:r w:rsidR="004E5AE6">
        <w:t xml:space="preserve"> alpha</w:t>
      </w:r>
      <w:r w:rsidR="004E5AE6">
        <w:rPr>
          <w:rFonts w:hint="eastAsia"/>
        </w:rPr>
        <w:t>）</w:t>
      </w:r>
      <w:r w:rsidR="004E5AE6" w:rsidRPr="008D6BC9">
        <w:t>期望值</w:t>
      </w:r>
      <w:r w:rsidR="004E5AE6" w:rsidRPr="008D6BC9">
        <w:t>&gt;0.7</w:t>
      </w:r>
    </w:p>
    <w:p w14:paraId="2CB729B4" w14:textId="019BDEED" w:rsidR="00DD3433" w:rsidRDefault="00DD3433" w:rsidP="004E5AE6">
      <w:pPr>
        <w:pStyle w:val="a7"/>
        <w:numPr>
          <w:ilvl w:val="1"/>
          <w:numId w:val="7"/>
        </w:numPr>
        <w:snapToGrid w:val="0"/>
        <w:ind w:leftChars="0"/>
      </w:pPr>
      <w:r>
        <w:rPr>
          <w:rFonts w:hint="eastAsia"/>
        </w:rPr>
        <w:t>組合信度（</w:t>
      </w:r>
      <w:r>
        <w:t>CR</w:t>
      </w:r>
      <w:r>
        <w:rPr>
          <w:rFonts w:hint="eastAsia"/>
        </w:rPr>
        <w:t>）：</w:t>
      </w:r>
      <w:r w:rsidRPr="008D6BC9">
        <w:t>期望值</w:t>
      </w:r>
      <w:r w:rsidRPr="008D6BC9">
        <w:t>&gt;0.7</w:t>
      </w:r>
    </w:p>
    <w:p w14:paraId="6EB081C3" w14:textId="4359FBF6" w:rsidR="004E5AE6" w:rsidRDefault="004E5AE6" w:rsidP="004E5AE6">
      <w:pPr>
        <w:pStyle w:val="a7"/>
        <w:numPr>
          <w:ilvl w:val="1"/>
          <w:numId w:val="7"/>
        </w:numPr>
        <w:snapToGrid w:val="0"/>
        <w:ind w:leftChars="0"/>
      </w:pPr>
      <w:r>
        <w:rPr>
          <w:rFonts w:hint="eastAsia"/>
        </w:rPr>
        <w:t>平均萃取變異量（</w:t>
      </w:r>
      <w:r>
        <w:t>AVE</w:t>
      </w:r>
      <w:r>
        <w:rPr>
          <w:rFonts w:hint="eastAsia"/>
        </w:rPr>
        <w:t>）</w:t>
      </w:r>
      <w:r>
        <w:t>&gt;0.5</w:t>
      </w:r>
      <w:r w:rsidR="00B222AB">
        <w:rPr>
          <w:rFonts w:hint="eastAsia"/>
        </w:rPr>
        <w:t>（代表的是信度與收斂效度）</w:t>
      </w:r>
    </w:p>
    <w:p w14:paraId="39280BB2" w14:textId="77777777" w:rsidR="00B222AB" w:rsidRDefault="00DD3433" w:rsidP="00697FDF">
      <w:pPr>
        <w:pStyle w:val="a7"/>
        <w:numPr>
          <w:ilvl w:val="0"/>
          <w:numId w:val="7"/>
        </w:numPr>
        <w:snapToGrid w:val="0"/>
        <w:ind w:leftChars="0"/>
      </w:pPr>
      <w:r>
        <w:rPr>
          <w:rFonts w:hint="eastAsia"/>
        </w:rPr>
        <w:t>收斂效度：</w:t>
      </w:r>
      <w:r w:rsidR="004E5AE6">
        <w:rPr>
          <w:rFonts w:hint="eastAsia"/>
        </w:rPr>
        <w:t>來自相同概念的題目，彼此相關性高。</w:t>
      </w:r>
    </w:p>
    <w:p w14:paraId="32EC77A2" w14:textId="1B020FE2" w:rsidR="00697FDF" w:rsidRDefault="00DD3433" w:rsidP="00B222AB">
      <w:pPr>
        <w:pStyle w:val="a7"/>
        <w:numPr>
          <w:ilvl w:val="1"/>
          <w:numId w:val="7"/>
        </w:numPr>
        <w:snapToGrid w:val="0"/>
        <w:ind w:leftChars="0"/>
      </w:pPr>
      <w:r>
        <w:rPr>
          <w:rFonts w:hint="eastAsia"/>
        </w:rPr>
        <w:t>平均抽取變異量（</w:t>
      </w:r>
      <w:r>
        <w:t>AVE</w:t>
      </w:r>
      <w:r>
        <w:rPr>
          <w:rFonts w:hint="eastAsia"/>
        </w:rPr>
        <w:t>）</w:t>
      </w:r>
      <w:r>
        <w:rPr>
          <w:rFonts w:hint="eastAsia"/>
        </w:rPr>
        <w:t>，</w:t>
      </w:r>
      <w:r w:rsidRPr="008D6BC9">
        <w:t>期望值</w:t>
      </w:r>
      <w:r w:rsidRPr="008D6BC9">
        <w:t>&gt;0.</w:t>
      </w:r>
      <w:r>
        <w:t>5</w:t>
      </w:r>
    </w:p>
    <w:p w14:paraId="39529601" w14:textId="77777777" w:rsidR="00B222AB" w:rsidRPr="00DD3433" w:rsidRDefault="00B222AB" w:rsidP="00B222AB">
      <w:pPr>
        <w:pStyle w:val="a7"/>
        <w:numPr>
          <w:ilvl w:val="1"/>
          <w:numId w:val="7"/>
        </w:numPr>
        <w:snapToGrid w:val="0"/>
        <w:ind w:leftChars="0"/>
        <w:rPr>
          <w:rFonts w:hint="eastAsia"/>
        </w:rPr>
      </w:pPr>
      <w:r>
        <w:rPr>
          <w:rFonts w:hint="eastAsia"/>
        </w:rPr>
        <w:t>個面向因素負荷（</w:t>
      </w:r>
      <w:r>
        <w:t>factor loading</w:t>
      </w:r>
      <w:r>
        <w:rPr>
          <w:rFonts w:hint="eastAsia"/>
        </w:rPr>
        <w:t>）</w:t>
      </w:r>
      <w:r w:rsidRPr="008D6BC9">
        <w:t>&gt;0.7</w:t>
      </w:r>
    </w:p>
    <w:p w14:paraId="7C2EB4B0" w14:textId="77777777" w:rsidR="00B222AB" w:rsidRDefault="00B222AB" w:rsidP="00B222AB">
      <w:pPr>
        <w:pStyle w:val="a7"/>
        <w:numPr>
          <w:ilvl w:val="1"/>
          <w:numId w:val="7"/>
        </w:numPr>
        <w:snapToGrid w:val="0"/>
        <w:ind w:leftChars="0"/>
        <w:rPr>
          <w:rFonts w:hint="eastAsia"/>
        </w:rPr>
      </w:pPr>
    </w:p>
    <w:p w14:paraId="01C86A86" w14:textId="5F38EF54" w:rsidR="00DD3433" w:rsidRDefault="00DD3433" w:rsidP="00DD3433">
      <w:pPr>
        <w:pStyle w:val="a7"/>
        <w:numPr>
          <w:ilvl w:val="0"/>
          <w:numId w:val="7"/>
        </w:numPr>
        <w:snapToGrid w:val="0"/>
        <w:ind w:leftChars="0"/>
      </w:pPr>
      <w:r>
        <w:rPr>
          <w:rFonts w:hint="eastAsia"/>
        </w:rPr>
        <w:lastRenderedPageBreak/>
        <w:t>區別效度（</w:t>
      </w:r>
      <w:proofErr w:type="spellStart"/>
      <w:r>
        <w:t>Fornell-larcker</w:t>
      </w:r>
      <w:proofErr w:type="spellEnd"/>
      <w:r>
        <w:rPr>
          <w:rFonts w:hint="eastAsia"/>
        </w:rPr>
        <w:t>）</w:t>
      </w:r>
      <w:r w:rsidR="004E5AE6">
        <w:rPr>
          <w:rFonts w:hint="eastAsia"/>
        </w:rPr>
        <w:t>：來自不同概念的向度，彼此間相關性低。</w:t>
      </w:r>
    </w:p>
    <w:p w14:paraId="3FBFB572" w14:textId="3A33320E" w:rsidR="00B222AB" w:rsidRDefault="00B222AB" w:rsidP="00B222AB">
      <w:pPr>
        <w:pStyle w:val="a7"/>
        <w:numPr>
          <w:ilvl w:val="1"/>
          <w:numId w:val="7"/>
        </w:numPr>
        <w:snapToGrid w:val="0"/>
        <w:ind w:leftChars="0"/>
      </w:pPr>
      <w:r>
        <w:rPr>
          <w:rFonts w:hint="eastAsia"/>
        </w:rPr>
        <w:t>因素負荷</w:t>
      </w:r>
      <w:r>
        <w:t>&gt;</w:t>
      </w:r>
      <w:r>
        <w:rPr>
          <w:rFonts w:hint="eastAsia"/>
        </w:rPr>
        <w:t>交叉負荷</w:t>
      </w:r>
    </w:p>
    <w:p w14:paraId="3630843C" w14:textId="579AAC2C" w:rsidR="00DD3433" w:rsidRPr="00DD3433" w:rsidRDefault="00B222AB" w:rsidP="00DD3433">
      <w:pPr>
        <w:pStyle w:val="a7"/>
        <w:numPr>
          <w:ilvl w:val="1"/>
          <w:numId w:val="7"/>
        </w:numPr>
        <w:snapToGrid w:val="0"/>
        <w:ind w:leftChars="0"/>
        <w:rPr>
          <w:rFonts w:hint="eastAsia"/>
        </w:rPr>
      </w:pPr>
      <w:r>
        <w:rPr>
          <w:rFonts w:hint="eastAsia"/>
        </w:rPr>
        <w:t>構面間的相關係數</w:t>
      </w:r>
      <w:r>
        <w:t>&lt;AVE</w:t>
      </w:r>
      <w:r>
        <w:rPr>
          <w:rFonts w:hint="eastAsia"/>
        </w:rPr>
        <w:t>平方根</w:t>
      </w:r>
    </w:p>
    <w:p w14:paraId="06B6F1D5" w14:textId="50983EE3" w:rsidR="002C31FA" w:rsidRDefault="002C31FA" w:rsidP="002C31FA">
      <w:pPr>
        <w:pStyle w:val="a5"/>
        <w:snapToGrid w:val="0"/>
        <w:jc w:val="left"/>
        <w:rPr>
          <w:rFonts w:hint="eastAsia"/>
        </w:rPr>
      </w:pPr>
      <w:r>
        <w:rPr>
          <w:rFonts w:hint="eastAsia"/>
        </w:rPr>
        <w:t>評鑑測量模型</w:t>
      </w:r>
      <w:r>
        <w:rPr>
          <w:rFonts w:hint="eastAsia"/>
        </w:rPr>
        <w:t>所需要使用的表格</w:t>
      </w:r>
      <w:r>
        <w:rPr>
          <w:rFonts w:hint="eastAsia"/>
        </w:rPr>
        <w:t>：</w:t>
      </w:r>
    </w:p>
    <w:p w14:paraId="2D3127B4" w14:textId="36F173DE" w:rsidR="00DD3433" w:rsidRDefault="002C31FA" w:rsidP="002C31FA">
      <w:pPr>
        <w:pStyle w:val="a7"/>
        <w:numPr>
          <w:ilvl w:val="0"/>
          <w:numId w:val="8"/>
        </w:numPr>
        <w:snapToGrid w:val="0"/>
        <w:ind w:leftChars="0"/>
      </w:pPr>
      <w:r>
        <w:rPr>
          <w:rFonts w:hint="eastAsia"/>
        </w:rPr>
        <w:t>模型參數估計表</w:t>
      </w:r>
    </w:p>
    <w:p w14:paraId="5CAE2387" w14:textId="2F5F70C9" w:rsidR="002C31FA" w:rsidRDefault="002C31FA" w:rsidP="002C31FA">
      <w:pPr>
        <w:pStyle w:val="a7"/>
        <w:snapToGrid w:val="0"/>
        <w:ind w:leftChars="0"/>
      </w:pPr>
      <w:r>
        <w:rPr>
          <w:rFonts w:hint="eastAsia"/>
          <w:noProof/>
        </w:rPr>
        <w:drawing>
          <wp:inline distT="0" distB="0" distL="0" distR="0" wp14:anchorId="7B768BEF" wp14:editId="0DE34384">
            <wp:extent cx="4936377" cy="1930400"/>
            <wp:effectExtent l="0" t="0" r="4445" b="0"/>
            <wp:docPr id="844883988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83988" name="圖片 1" descr="一張含有 文字, 數字, 字型, 螢幕擷取畫面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59" cy="19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A025" w14:textId="77777777" w:rsidR="00637BFC" w:rsidRDefault="00637BFC" w:rsidP="002C31FA">
      <w:pPr>
        <w:pStyle w:val="a7"/>
        <w:snapToGrid w:val="0"/>
        <w:ind w:leftChars="0"/>
        <w:rPr>
          <w:rFonts w:hint="eastAsia"/>
        </w:rPr>
      </w:pPr>
    </w:p>
    <w:p w14:paraId="171DE499" w14:textId="46AD8E2E" w:rsidR="002C31FA" w:rsidRDefault="00637BFC" w:rsidP="002C31FA">
      <w:pPr>
        <w:pStyle w:val="a7"/>
        <w:numPr>
          <w:ilvl w:val="0"/>
          <w:numId w:val="8"/>
        </w:numPr>
        <w:snapToGrid w:val="0"/>
        <w:ind w:leftChars="0"/>
      </w:pPr>
      <w:r>
        <w:rPr>
          <w:rFonts w:hint="eastAsia"/>
        </w:rPr>
        <w:t>交叉負荷表</w:t>
      </w:r>
    </w:p>
    <w:p w14:paraId="6F4691CB" w14:textId="35014073" w:rsidR="00637BFC" w:rsidRDefault="00637BFC" w:rsidP="00637BFC">
      <w:pPr>
        <w:pStyle w:val="a7"/>
        <w:snapToGrid w:val="0"/>
        <w:ind w:leftChars="0"/>
        <w:rPr>
          <w:rFonts w:hint="eastAsia"/>
        </w:rPr>
      </w:pPr>
      <w:r w:rsidRPr="00637BFC">
        <w:drawing>
          <wp:inline distT="0" distB="0" distL="0" distR="0" wp14:anchorId="0C124B48" wp14:editId="1BCAADC5">
            <wp:extent cx="6120130" cy="2503170"/>
            <wp:effectExtent l="0" t="0" r="1270" b="0"/>
            <wp:docPr id="369560336" name="圖片 1" descr="一張含有 文字, 數字, 日曆, 填字遊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60336" name="圖片 1" descr="一張含有 文字, 數字, 日曆, 填字遊戲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F71D" w14:textId="7E8F9A96" w:rsidR="00637BFC" w:rsidRDefault="00637BFC" w:rsidP="002C31FA">
      <w:pPr>
        <w:pStyle w:val="a7"/>
        <w:numPr>
          <w:ilvl w:val="0"/>
          <w:numId w:val="8"/>
        </w:numPr>
        <w:snapToGrid w:val="0"/>
        <w:ind w:leftChars="0"/>
      </w:pPr>
      <w:r>
        <w:rPr>
          <w:rFonts w:hint="eastAsia"/>
        </w:rPr>
        <w:t>區別效度定表（</w:t>
      </w:r>
      <w:proofErr w:type="spellStart"/>
      <w:r>
        <w:t>Fornell-larcker</w:t>
      </w:r>
      <w:proofErr w:type="spellEnd"/>
      <w:r>
        <w:rPr>
          <w:rFonts w:hint="eastAsia"/>
        </w:rPr>
        <w:t>準則</w:t>
      </w:r>
      <w:r>
        <w:rPr>
          <w:rFonts w:hint="eastAsia"/>
        </w:rPr>
        <w:t>）</w:t>
      </w:r>
    </w:p>
    <w:p w14:paraId="5615B4EE" w14:textId="373EA497" w:rsidR="002C31FA" w:rsidRDefault="002C31FA" w:rsidP="002C31FA">
      <w:pPr>
        <w:snapToGrid w:val="0"/>
        <w:ind w:left="480"/>
      </w:pPr>
      <w:r>
        <w:rPr>
          <w:rFonts w:hint="eastAsia"/>
        </w:rPr>
        <w:t>個構面相關係數要小於平均變異抽取量（</w:t>
      </w:r>
      <w:r>
        <w:t>AVE</w:t>
      </w:r>
      <w:r>
        <w:rPr>
          <w:rFonts w:hint="eastAsia"/>
        </w:rPr>
        <w:t>）平方根</w:t>
      </w:r>
    </w:p>
    <w:p w14:paraId="74687CC5" w14:textId="0817F2B8" w:rsidR="002C31FA" w:rsidRDefault="002C31FA" w:rsidP="002C31FA">
      <w:pPr>
        <w:snapToGrid w:val="0"/>
        <w:rPr>
          <w:rFonts w:hint="eastAsia"/>
        </w:rPr>
      </w:pPr>
      <w:r>
        <w:rPr>
          <w:noProof/>
        </w:rPr>
        <w:drawing>
          <wp:inline distT="0" distB="0" distL="0" distR="0" wp14:anchorId="19C72DED" wp14:editId="09399B1B">
            <wp:extent cx="5765800" cy="1346200"/>
            <wp:effectExtent l="0" t="0" r="0" b="0"/>
            <wp:docPr id="1924737942" name="圖片 2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37942" name="圖片 2" descr="一張含有 文字, 字型, 螢幕擷取畫面, 行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2364" w14:textId="3574C645" w:rsidR="00DD3433" w:rsidRDefault="00DD3433" w:rsidP="00637BFC">
      <w:pPr>
        <w:snapToGrid w:val="0"/>
      </w:pPr>
    </w:p>
    <w:p w14:paraId="29741ABE" w14:textId="4013D759" w:rsidR="00637BFC" w:rsidRDefault="00637BFC" w:rsidP="00637BFC">
      <w:pPr>
        <w:pStyle w:val="a5"/>
        <w:snapToGrid w:val="0"/>
        <w:jc w:val="left"/>
        <w:rPr>
          <w:rFonts w:hint="eastAsia"/>
        </w:rPr>
      </w:pPr>
      <w:r>
        <w:rPr>
          <w:rFonts w:hint="eastAsia"/>
        </w:rPr>
        <w:t>評鑑</w:t>
      </w:r>
      <w:r>
        <w:rPr>
          <w:rFonts w:hint="eastAsia"/>
        </w:rPr>
        <w:t>結構</w:t>
      </w:r>
      <w:r>
        <w:rPr>
          <w:rFonts w:hint="eastAsia"/>
        </w:rPr>
        <w:t>模型</w:t>
      </w:r>
      <w:r w:rsidRPr="004E5AE6">
        <w:t>（</w:t>
      </w:r>
      <w:r>
        <w:t>inn</w:t>
      </w:r>
      <w:r w:rsidRPr="004E5AE6">
        <w:t>er model</w:t>
      </w:r>
      <w:r w:rsidRPr="004E5AE6">
        <w:t>）</w:t>
      </w:r>
      <w:r>
        <w:rPr>
          <w:rFonts w:hint="eastAsia"/>
        </w:rPr>
        <w:t>：</w:t>
      </w:r>
    </w:p>
    <w:p w14:paraId="6FDA6C28" w14:textId="2F36C68B" w:rsidR="00637BFC" w:rsidRDefault="00637BFC" w:rsidP="00637BFC">
      <w:pPr>
        <w:pStyle w:val="a7"/>
        <w:numPr>
          <w:ilvl w:val="0"/>
          <w:numId w:val="9"/>
        </w:numPr>
        <w:snapToGrid w:val="0"/>
        <w:ind w:leftChars="0"/>
      </w:pPr>
      <w:r>
        <w:rPr>
          <w:rFonts w:hint="eastAsia"/>
        </w:rPr>
        <w:lastRenderedPageBreak/>
        <w:t>檢驗模型與觀察資料之間的是配度。</w:t>
      </w:r>
    </w:p>
    <w:p w14:paraId="73810949" w14:textId="36DA8781" w:rsidR="00637BFC" w:rsidRDefault="00637BFC" w:rsidP="00637BFC">
      <w:pPr>
        <w:pStyle w:val="a7"/>
        <w:numPr>
          <w:ilvl w:val="1"/>
          <w:numId w:val="9"/>
        </w:numPr>
        <w:snapToGrid w:val="0"/>
        <w:ind w:leftChars="0"/>
      </w:pPr>
      <w:r>
        <w:rPr>
          <w:rFonts w:hint="eastAsia"/>
        </w:rPr>
        <w:t>標準化路徑係數</w:t>
      </w:r>
      <w:r w:rsidR="006D247E">
        <w:rPr>
          <w:rFonts w:hint="eastAsia"/>
        </w:rPr>
        <w:t>（</w:t>
      </w:r>
      <w:r w:rsidR="006D247E" w:rsidRPr="006D247E">
        <w:t>β</w:t>
      </w:r>
      <w:r w:rsidR="006D247E">
        <w:rPr>
          <w:rFonts w:hint="eastAsia"/>
        </w:rPr>
        <w:t>）</w:t>
      </w:r>
      <w:r>
        <w:rPr>
          <w:rFonts w:hint="eastAsia"/>
        </w:rPr>
        <w:t>是否顯著</w:t>
      </w:r>
      <w:r w:rsidR="006D247E">
        <w:rPr>
          <w:rFonts w:hint="eastAsia"/>
        </w:rPr>
        <w:t>：</w:t>
      </w:r>
      <w:r w:rsidR="006D247E">
        <w:t>bootstrap</w:t>
      </w:r>
      <w:r w:rsidR="006D247E">
        <w:rPr>
          <w:rFonts w:hint="eastAsia"/>
        </w:rPr>
        <w:t>跑法的路徑係數</w:t>
      </w:r>
    </w:p>
    <w:p w14:paraId="3EE14AAF" w14:textId="7F922D90" w:rsidR="00637BFC" w:rsidRDefault="00637BFC" w:rsidP="00637BFC">
      <w:pPr>
        <w:pStyle w:val="a7"/>
        <w:numPr>
          <w:ilvl w:val="1"/>
          <w:numId w:val="9"/>
        </w:numPr>
        <w:snapToGrid w:val="0"/>
        <w:ind w:leftChars="0"/>
        <w:rPr>
          <w:rFonts w:hint="eastAsia"/>
        </w:rPr>
      </w:pPr>
      <w:r>
        <w:rPr>
          <w:rFonts w:hint="eastAsia"/>
        </w:rPr>
        <w:t>R</w:t>
      </w:r>
      <w:r w:rsidRPr="00637BFC">
        <w:rPr>
          <w:vertAlign w:val="superscript"/>
        </w:rPr>
        <w:t>2</w:t>
      </w:r>
      <w:r>
        <w:rPr>
          <w:rFonts w:hint="eastAsia"/>
        </w:rPr>
        <w:t>判斷模型解釋能力：值越大解釋能力越好。</w:t>
      </w:r>
    </w:p>
    <w:p w14:paraId="2E123230" w14:textId="33BF15BC" w:rsidR="00637BFC" w:rsidRDefault="00637BFC" w:rsidP="00637BFC">
      <w:pPr>
        <w:pStyle w:val="a7"/>
        <w:numPr>
          <w:ilvl w:val="0"/>
          <w:numId w:val="9"/>
        </w:numPr>
        <w:snapToGrid w:val="0"/>
        <w:ind w:leftChars="0"/>
        <w:rPr>
          <w:rFonts w:hint="eastAsia"/>
        </w:rPr>
      </w:pPr>
      <w:r>
        <w:rPr>
          <w:rFonts w:hint="eastAsia"/>
        </w:rPr>
        <w:t>檢驗個變項間的因果關係。</w:t>
      </w:r>
    </w:p>
    <w:p w14:paraId="1659B235" w14:textId="77777777" w:rsidR="00DD3433" w:rsidRDefault="00DD3433" w:rsidP="00DD3433">
      <w:pPr>
        <w:snapToGrid w:val="0"/>
      </w:pPr>
    </w:p>
    <w:p w14:paraId="58CF6F65" w14:textId="00DAA5DE" w:rsidR="006D247E" w:rsidRDefault="006D247E" w:rsidP="006D247E">
      <w:pPr>
        <w:pStyle w:val="a5"/>
        <w:snapToGrid w:val="0"/>
        <w:jc w:val="left"/>
        <w:rPr>
          <w:rFonts w:hint="eastAsia"/>
        </w:rPr>
      </w:pPr>
      <w:r>
        <w:rPr>
          <w:rFonts w:hint="eastAsia"/>
        </w:rPr>
        <w:t>（補充）</w:t>
      </w:r>
      <w:r>
        <w:rPr>
          <w:rFonts w:hint="eastAsia"/>
        </w:rPr>
        <w:t>O</w:t>
      </w:r>
      <w:r>
        <w:t xml:space="preserve">uter loading </w:t>
      </w:r>
      <w:r>
        <w:rPr>
          <w:rFonts w:hint="eastAsia"/>
        </w:rPr>
        <w:t>跟</w:t>
      </w:r>
      <w:r>
        <w:t xml:space="preserve"> outer weight</w:t>
      </w:r>
      <w:r>
        <w:rPr>
          <w:rFonts w:hint="eastAsia"/>
        </w:rPr>
        <w:t>：</w:t>
      </w:r>
    </w:p>
    <w:p w14:paraId="5DBA0AEC" w14:textId="77777777" w:rsidR="00DF7909" w:rsidRDefault="00DF7909" w:rsidP="00DD3433">
      <w:pPr>
        <w:snapToGrid w:val="0"/>
      </w:pPr>
      <w:r>
        <w:t>Outer Loading</w:t>
      </w:r>
    </w:p>
    <w:p w14:paraId="4541DA53" w14:textId="77777777" w:rsidR="00DF7909" w:rsidRDefault="00DF7909" w:rsidP="00DD3433">
      <w:pPr>
        <w:pStyle w:val="a7"/>
        <w:numPr>
          <w:ilvl w:val="0"/>
          <w:numId w:val="2"/>
        </w:numPr>
        <w:snapToGrid w:val="0"/>
        <w:ind w:leftChars="0"/>
      </w:pPr>
      <w:r>
        <w:t>反應型指標（</w:t>
      </w:r>
      <w:r>
        <w:t>Reflective indicators</w:t>
      </w:r>
      <w:r>
        <w:t>）：</w:t>
      </w:r>
    </w:p>
    <w:p w14:paraId="0A616CC9" w14:textId="77777777" w:rsidR="00DF7909" w:rsidRDefault="00DF7909" w:rsidP="00DD3433">
      <w:pPr>
        <w:pStyle w:val="a7"/>
        <w:numPr>
          <w:ilvl w:val="0"/>
          <w:numId w:val="2"/>
        </w:numPr>
        <w:snapToGrid w:val="0"/>
        <w:ind w:leftChars="0"/>
      </w:pPr>
      <w:r>
        <w:t>定義：外在負荷（</w:t>
      </w:r>
      <w:r>
        <w:t>Outer loading</w:t>
      </w:r>
      <w:r>
        <w:t>）衡量的是反應型指標（</w:t>
      </w:r>
      <w:r>
        <w:t>Reflective indicators</w:t>
      </w:r>
      <w:r>
        <w:t>）與其潛在變數（</w:t>
      </w:r>
      <w:r>
        <w:t>latent variable</w:t>
      </w:r>
      <w:r>
        <w:t>）之間的關聯程度。</w:t>
      </w:r>
    </w:p>
    <w:p w14:paraId="56970B33" w14:textId="77777777" w:rsidR="00DF7909" w:rsidRDefault="00DF7909" w:rsidP="00DD3433">
      <w:pPr>
        <w:pStyle w:val="a7"/>
        <w:numPr>
          <w:ilvl w:val="0"/>
          <w:numId w:val="2"/>
        </w:numPr>
        <w:snapToGrid w:val="0"/>
        <w:ind w:leftChars="0"/>
      </w:pPr>
      <w:r>
        <w:t>範圍：</w:t>
      </w:r>
      <w:r>
        <w:t xml:space="preserve">0 </w:t>
      </w:r>
      <w:r>
        <w:t>到</w:t>
      </w:r>
      <w:r>
        <w:t xml:space="preserve"> 1 </w:t>
      </w:r>
      <w:r>
        <w:t>之間。</w:t>
      </w:r>
    </w:p>
    <w:p w14:paraId="7B95757F" w14:textId="77777777" w:rsidR="00DF7909" w:rsidRDefault="00DF7909" w:rsidP="00DD3433">
      <w:pPr>
        <w:pStyle w:val="a7"/>
        <w:numPr>
          <w:ilvl w:val="0"/>
          <w:numId w:val="2"/>
        </w:numPr>
        <w:snapToGrid w:val="0"/>
        <w:ind w:leftChars="0"/>
      </w:pPr>
      <w:r>
        <w:t>信度：通常大於</w:t>
      </w:r>
      <w:r>
        <w:t xml:space="preserve"> 0.7 </w:t>
      </w:r>
      <w:r>
        <w:t>被認為具有良好的信度，意味著該指標可以可靠地反映出其所屬潛在變數。</w:t>
      </w:r>
    </w:p>
    <w:p w14:paraId="2FC97E67" w14:textId="77777777" w:rsidR="00DF7909" w:rsidRDefault="00DF7909" w:rsidP="00DD3433">
      <w:pPr>
        <w:pStyle w:val="a7"/>
        <w:numPr>
          <w:ilvl w:val="0"/>
          <w:numId w:val="2"/>
        </w:numPr>
        <w:snapToGrid w:val="0"/>
        <w:ind w:leftChars="0"/>
      </w:pPr>
      <w:r>
        <w:t>意義：高的</w:t>
      </w:r>
      <w:r>
        <w:t xml:space="preserve"> outer loading </w:t>
      </w:r>
      <w:r>
        <w:t>表示該指標與其潛在變數之間的關係非常強，該指標可以很好地代表潛在變數的特徵。</w:t>
      </w:r>
    </w:p>
    <w:p w14:paraId="4837DF86" w14:textId="77777777" w:rsidR="00DF7909" w:rsidRDefault="00DF7909" w:rsidP="00DD3433">
      <w:pPr>
        <w:snapToGrid w:val="0"/>
        <w:rPr>
          <w:rFonts w:hint="eastAsia"/>
        </w:rPr>
      </w:pPr>
    </w:p>
    <w:p w14:paraId="6002F33B" w14:textId="77777777" w:rsidR="00DF7909" w:rsidRDefault="00DF7909" w:rsidP="00DD3433">
      <w:pPr>
        <w:snapToGrid w:val="0"/>
      </w:pPr>
      <w:r>
        <w:t>Outer Weight</w:t>
      </w:r>
    </w:p>
    <w:p w14:paraId="6C3A1904" w14:textId="77777777" w:rsidR="00DF7909" w:rsidRDefault="00DF7909" w:rsidP="00DD3433">
      <w:pPr>
        <w:pStyle w:val="a7"/>
        <w:numPr>
          <w:ilvl w:val="0"/>
          <w:numId w:val="3"/>
        </w:numPr>
        <w:snapToGrid w:val="0"/>
        <w:ind w:leftChars="0"/>
      </w:pPr>
      <w:r>
        <w:t>形成型指標（</w:t>
      </w:r>
      <w:r>
        <w:t>Formative indicators</w:t>
      </w:r>
      <w:r>
        <w:t>）：</w:t>
      </w:r>
    </w:p>
    <w:p w14:paraId="0BDE8E97" w14:textId="77777777" w:rsidR="00DF7909" w:rsidRDefault="00DF7909" w:rsidP="00DD3433">
      <w:pPr>
        <w:pStyle w:val="a7"/>
        <w:numPr>
          <w:ilvl w:val="0"/>
          <w:numId w:val="3"/>
        </w:numPr>
        <w:snapToGrid w:val="0"/>
        <w:ind w:leftChars="0"/>
      </w:pPr>
      <w:r>
        <w:t>定義：外在權重（</w:t>
      </w:r>
      <w:r>
        <w:t>Outer weight</w:t>
      </w:r>
      <w:r>
        <w:t>）衡量的是形成型指標（</w:t>
      </w:r>
      <w:r>
        <w:t>Formative indicators</w:t>
      </w:r>
      <w:r>
        <w:t>）對其潛在變數貢獻的相對重要性。</w:t>
      </w:r>
    </w:p>
    <w:p w14:paraId="7410EC20" w14:textId="77777777" w:rsidR="00DF7909" w:rsidRDefault="00DF7909" w:rsidP="00DD3433">
      <w:pPr>
        <w:pStyle w:val="a7"/>
        <w:numPr>
          <w:ilvl w:val="0"/>
          <w:numId w:val="3"/>
        </w:numPr>
        <w:snapToGrid w:val="0"/>
        <w:ind w:leftChars="0"/>
      </w:pPr>
      <w:r>
        <w:t>範圍：介於</w:t>
      </w:r>
      <w:r>
        <w:t xml:space="preserve"> -1 </w:t>
      </w:r>
      <w:r>
        <w:t>到</w:t>
      </w:r>
      <w:r>
        <w:t xml:space="preserve"> +1 </w:t>
      </w:r>
      <w:r>
        <w:t>之間。</w:t>
      </w:r>
    </w:p>
    <w:p w14:paraId="483F8D72" w14:textId="77777777" w:rsidR="00DF7909" w:rsidRDefault="00DF7909" w:rsidP="00DD3433">
      <w:pPr>
        <w:pStyle w:val="a7"/>
        <w:numPr>
          <w:ilvl w:val="0"/>
          <w:numId w:val="3"/>
        </w:numPr>
        <w:snapToGrid w:val="0"/>
        <w:ind w:leftChars="0"/>
      </w:pPr>
      <w:r>
        <w:t>意義：外在權重值的大小和符號表示該指標對潛在變數的貢獻程度和方向。較大的正或負值表示該指標對潛在變數有更強的影響。</w:t>
      </w:r>
    </w:p>
    <w:p w14:paraId="1902691E" w14:textId="492237FD" w:rsidR="008E4D90" w:rsidRDefault="00DF7909" w:rsidP="00DD3433">
      <w:pPr>
        <w:pStyle w:val="a7"/>
        <w:numPr>
          <w:ilvl w:val="0"/>
          <w:numId w:val="3"/>
        </w:numPr>
        <w:snapToGrid w:val="0"/>
        <w:ind w:leftChars="0"/>
      </w:pPr>
      <w:r>
        <w:t>信度：對形成型指標而言，重點不在於信度，而在於每個指標對潛在變數的相對貢獻和解釋力。</w:t>
      </w:r>
    </w:p>
    <w:p w14:paraId="3F71EC93" w14:textId="77777777" w:rsidR="008E4D90" w:rsidRDefault="008E4D90" w:rsidP="00DD3433">
      <w:pPr>
        <w:snapToGrid w:val="0"/>
      </w:pPr>
    </w:p>
    <w:p w14:paraId="6BCE7DBE" w14:textId="77777777" w:rsidR="00DF7909" w:rsidRDefault="00DF7909" w:rsidP="00DD3433">
      <w:pPr>
        <w:snapToGrid w:val="0"/>
      </w:pPr>
    </w:p>
    <w:p w14:paraId="3E2F73DB" w14:textId="77777777" w:rsidR="00270C91" w:rsidRDefault="00270C91" w:rsidP="00DD3433">
      <w:pPr>
        <w:snapToGrid w:val="0"/>
      </w:pPr>
    </w:p>
    <w:p w14:paraId="6B379979" w14:textId="77777777" w:rsidR="00270C91" w:rsidRDefault="00270C91" w:rsidP="00DD3433">
      <w:pPr>
        <w:snapToGrid w:val="0"/>
      </w:pPr>
    </w:p>
    <w:p w14:paraId="73FC693B" w14:textId="77777777" w:rsidR="00270C91" w:rsidRDefault="00270C91" w:rsidP="00DD3433">
      <w:pPr>
        <w:snapToGrid w:val="0"/>
      </w:pPr>
    </w:p>
    <w:p w14:paraId="6FA9824B" w14:textId="77777777" w:rsidR="00270C91" w:rsidRDefault="00270C91" w:rsidP="00DD3433">
      <w:pPr>
        <w:snapToGrid w:val="0"/>
      </w:pPr>
    </w:p>
    <w:p w14:paraId="57C6CE15" w14:textId="77777777" w:rsidR="00270C91" w:rsidRDefault="00270C91" w:rsidP="00DD3433">
      <w:pPr>
        <w:snapToGrid w:val="0"/>
      </w:pPr>
    </w:p>
    <w:p w14:paraId="34633DD8" w14:textId="77777777" w:rsidR="00270C91" w:rsidRDefault="00270C91" w:rsidP="00DD3433">
      <w:pPr>
        <w:snapToGrid w:val="0"/>
      </w:pPr>
    </w:p>
    <w:p w14:paraId="1606FC33" w14:textId="77777777" w:rsidR="00270C91" w:rsidRDefault="00270C91" w:rsidP="00DD3433">
      <w:pPr>
        <w:snapToGrid w:val="0"/>
      </w:pPr>
    </w:p>
    <w:p w14:paraId="7016D45E" w14:textId="77777777" w:rsidR="00270C91" w:rsidRDefault="00270C91" w:rsidP="00DD3433">
      <w:pPr>
        <w:snapToGrid w:val="0"/>
      </w:pPr>
    </w:p>
    <w:p w14:paraId="7DCBCCB9" w14:textId="77777777" w:rsidR="00270C91" w:rsidRDefault="00270C91" w:rsidP="00DD3433">
      <w:pPr>
        <w:snapToGrid w:val="0"/>
        <w:rPr>
          <w:rFonts w:hint="eastAsia"/>
        </w:rPr>
      </w:pPr>
    </w:p>
    <w:p w14:paraId="7FBB062D" w14:textId="4A950DB3" w:rsidR="006D247E" w:rsidRDefault="006D247E" w:rsidP="006D247E">
      <w:pPr>
        <w:pStyle w:val="a5"/>
        <w:snapToGrid w:val="0"/>
        <w:jc w:val="left"/>
        <w:rPr>
          <w:rFonts w:hint="eastAsia"/>
        </w:rPr>
      </w:pPr>
      <w:r>
        <w:rPr>
          <w:rFonts w:hint="eastAsia"/>
        </w:rPr>
        <w:lastRenderedPageBreak/>
        <w:t>處理調節</w:t>
      </w:r>
      <w:r w:rsidR="00270C91">
        <w:rPr>
          <w:rFonts w:hint="eastAsia"/>
        </w:rPr>
        <w:t>（干擾）</w:t>
      </w:r>
      <w:r>
        <w:rPr>
          <w:rFonts w:hint="eastAsia"/>
        </w:rPr>
        <w:t>效果</w:t>
      </w:r>
      <w:r>
        <w:rPr>
          <w:rFonts w:hint="eastAsia"/>
        </w:rPr>
        <w:t>：</w:t>
      </w:r>
    </w:p>
    <w:p w14:paraId="794F5637" w14:textId="40804A68" w:rsidR="00DF7909" w:rsidRDefault="00270C91" w:rsidP="00DD3433">
      <w:pPr>
        <w:snapToGrid w:val="0"/>
      </w:pPr>
      <w:r>
        <w:fldChar w:fldCharType="begin"/>
      </w:r>
      <w:r>
        <w:instrText xml:space="preserve"> INCLUDEPICTURE "/Users/chenweicheng/Library/Group Containers/UBF8T346G9.ms/WebArchiveCopyPasteTempFiles/com.microsoft.Word/upgit_20240527_1716790091.png"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415CD1" wp14:editId="68272340">
            <wp:extent cx="6120130" cy="1994535"/>
            <wp:effectExtent l="0" t="0" r="0" b="0"/>
            <wp:docPr id="1390290416" name="圖片 4" descr="一張含有 圓形, 文字, 螢幕擷取畫面, 月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90416" name="圖片 4" descr="一張含有 圓形, 文字, 螢幕擷取畫面, 月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7EF6021" w14:textId="130786A9" w:rsidR="00270C91" w:rsidRDefault="00270C91" w:rsidP="00DD3433">
      <w:pPr>
        <w:snapToGrid w:val="0"/>
        <w:rPr>
          <w:rFonts w:hint="eastAsia"/>
        </w:rPr>
      </w:pPr>
      <w:r>
        <w:rPr>
          <w:rFonts w:hint="eastAsia"/>
        </w:rPr>
        <w:t>調節效果與交互作用雖然是同樣檢定方式，但在統計意義上完全不同；交互作用是兩個自變數任一可以視為調節變數。而調節效果有因果關係存在。</w:t>
      </w:r>
    </w:p>
    <w:p w14:paraId="720899CE" w14:textId="2F515ECC" w:rsidR="00270C91" w:rsidRDefault="00270C91" w:rsidP="00DD3433">
      <w:pPr>
        <w:snapToGrid w:val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AE78EC" wp14:editId="54993DD7">
            <wp:extent cx="6120130" cy="4131310"/>
            <wp:effectExtent l="0" t="0" r="1270" b="0"/>
            <wp:docPr id="1340182743" name="圖片 5" descr="一張含有 文字, 螢幕擷取畫面, 圖表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2743" name="圖片 5" descr="一張含有 文字, 螢幕擷取畫面, 圖表, 圓形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FF10" w14:textId="77777777" w:rsidR="006D247E" w:rsidRDefault="006D247E" w:rsidP="00DD3433">
      <w:pPr>
        <w:snapToGrid w:val="0"/>
      </w:pPr>
    </w:p>
    <w:p w14:paraId="70CF22F7" w14:textId="77777777" w:rsidR="006D247E" w:rsidRDefault="006D247E" w:rsidP="00DD3433">
      <w:pPr>
        <w:snapToGrid w:val="0"/>
      </w:pPr>
    </w:p>
    <w:p w14:paraId="41F754B2" w14:textId="77777777" w:rsidR="006D247E" w:rsidRDefault="006D247E" w:rsidP="00DD3433">
      <w:pPr>
        <w:snapToGrid w:val="0"/>
      </w:pPr>
    </w:p>
    <w:p w14:paraId="351AC17B" w14:textId="242BAF21" w:rsidR="005E5465" w:rsidRDefault="005E5465" w:rsidP="005E5465">
      <w:pPr>
        <w:pStyle w:val="a5"/>
        <w:snapToGrid w:val="0"/>
        <w:jc w:val="left"/>
        <w:rPr>
          <w:rFonts w:hint="eastAsia"/>
        </w:rPr>
      </w:pPr>
      <w:r>
        <w:rPr>
          <w:rFonts w:hint="eastAsia"/>
        </w:rPr>
        <w:t>處理</w:t>
      </w:r>
      <w:r>
        <w:rPr>
          <w:rFonts w:hint="eastAsia"/>
        </w:rPr>
        <w:t>中介</w:t>
      </w:r>
      <w:r>
        <w:rPr>
          <w:rFonts w:hint="eastAsia"/>
        </w:rPr>
        <w:t>效果：</w:t>
      </w:r>
    </w:p>
    <w:p w14:paraId="687A92AD" w14:textId="52975115" w:rsidR="006D247E" w:rsidRPr="005E5465" w:rsidRDefault="000C4B86" w:rsidP="00DD3433">
      <w:pPr>
        <w:snapToGrid w:val="0"/>
        <w:rPr>
          <w:rFonts w:hint="eastAsia"/>
        </w:rPr>
      </w:pPr>
      <w:r>
        <w:rPr>
          <w:rFonts w:hint="eastAsia"/>
        </w:rPr>
        <w:t>啊</w:t>
      </w:r>
      <w:r>
        <w:t>…</w:t>
      </w:r>
      <w:r>
        <w:rPr>
          <w:rFonts w:hint="eastAsia"/>
        </w:rPr>
        <w:t>線畫對，就會有了</w:t>
      </w:r>
    </w:p>
    <w:p w14:paraId="03159154" w14:textId="77777777" w:rsidR="00DF7909" w:rsidRDefault="00DF7909" w:rsidP="00DD3433">
      <w:pPr>
        <w:snapToGrid w:val="0"/>
        <w:rPr>
          <w:rFonts w:hint="eastAsia"/>
        </w:rPr>
      </w:pPr>
    </w:p>
    <w:sectPr w:rsidR="00DF7909" w:rsidSect="008E4D9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184A"/>
    <w:multiLevelType w:val="hybridMultilevel"/>
    <w:tmpl w:val="F5149B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57D011D"/>
    <w:multiLevelType w:val="hybridMultilevel"/>
    <w:tmpl w:val="C7F82C20"/>
    <w:lvl w:ilvl="0" w:tplc="81E497BC">
      <w:start w:val="1"/>
      <w:numFmt w:val="bullet"/>
      <w:lvlText w:val="•"/>
      <w:lvlJc w:val="left"/>
      <w:pPr>
        <w:ind w:left="480" w:hanging="480"/>
      </w:pPr>
      <w:rPr>
        <w:rFonts w:ascii="Wingdings" w:hAnsi="Wingdings" w:hint="default"/>
        <w:b w:val="0"/>
        <w:i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7BA33EB"/>
    <w:multiLevelType w:val="hybridMultilevel"/>
    <w:tmpl w:val="F026885C"/>
    <w:lvl w:ilvl="0" w:tplc="81E497BC">
      <w:start w:val="1"/>
      <w:numFmt w:val="bullet"/>
      <w:lvlText w:val="•"/>
      <w:lvlJc w:val="left"/>
      <w:pPr>
        <w:ind w:left="480" w:hanging="480"/>
      </w:pPr>
      <w:rPr>
        <w:rFonts w:ascii="Wingdings" w:hAnsi="Wingdings" w:hint="default"/>
        <w:b w:val="0"/>
        <w:i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3D810B8"/>
    <w:multiLevelType w:val="hybridMultilevel"/>
    <w:tmpl w:val="06CAD2B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0070699"/>
    <w:multiLevelType w:val="hybridMultilevel"/>
    <w:tmpl w:val="AF18BA96"/>
    <w:lvl w:ilvl="0" w:tplc="81E497BC">
      <w:start w:val="1"/>
      <w:numFmt w:val="bullet"/>
      <w:lvlText w:val="•"/>
      <w:lvlJc w:val="left"/>
      <w:pPr>
        <w:ind w:left="480" w:hanging="480"/>
      </w:pPr>
      <w:rPr>
        <w:rFonts w:ascii="Wingdings" w:hAnsi="Wingdings" w:hint="default"/>
        <w:b w:val="0"/>
        <w:i w:val="0"/>
        <w:sz w:val="24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0E1098A"/>
    <w:multiLevelType w:val="hybridMultilevel"/>
    <w:tmpl w:val="835A9F8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24D1BEA"/>
    <w:multiLevelType w:val="hybridMultilevel"/>
    <w:tmpl w:val="15E688F0"/>
    <w:lvl w:ilvl="0" w:tplc="81E497BC">
      <w:start w:val="1"/>
      <w:numFmt w:val="bullet"/>
      <w:lvlText w:val="•"/>
      <w:lvlJc w:val="left"/>
      <w:pPr>
        <w:ind w:left="480" w:hanging="480"/>
      </w:pPr>
      <w:rPr>
        <w:rFonts w:ascii="Wingdings" w:hAnsi="Wingdings" w:hint="default"/>
        <w:b w:val="0"/>
        <w:i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57550FD8"/>
    <w:multiLevelType w:val="hybridMultilevel"/>
    <w:tmpl w:val="09FE90B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CA8525D"/>
    <w:multiLevelType w:val="hybridMultilevel"/>
    <w:tmpl w:val="2CC0317A"/>
    <w:lvl w:ilvl="0" w:tplc="81E497BC">
      <w:start w:val="1"/>
      <w:numFmt w:val="bullet"/>
      <w:lvlText w:val="•"/>
      <w:lvlJc w:val="left"/>
      <w:pPr>
        <w:ind w:left="480" w:hanging="480"/>
      </w:pPr>
      <w:rPr>
        <w:rFonts w:ascii="Wingdings" w:hAnsi="Wingdings" w:hint="default"/>
        <w:b w:val="0"/>
        <w:i w:val="0"/>
        <w:sz w:val="24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55004327">
    <w:abstractNumId w:val="0"/>
  </w:num>
  <w:num w:numId="2" w16cid:durableId="321086224">
    <w:abstractNumId w:val="8"/>
  </w:num>
  <w:num w:numId="3" w16cid:durableId="25910832">
    <w:abstractNumId w:val="2"/>
  </w:num>
  <w:num w:numId="4" w16cid:durableId="215436171">
    <w:abstractNumId w:val="5"/>
  </w:num>
  <w:num w:numId="5" w16cid:durableId="1210146730">
    <w:abstractNumId w:val="6"/>
  </w:num>
  <w:num w:numId="6" w16cid:durableId="764613966">
    <w:abstractNumId w:val="1"/>
  </w:num>
  <w:num w:numId="7" w16cid:durableId="919874670">
    <w:abstractNumId w:val="3"/>
  </w:num>
  <w:num w:numId="8" w16cid:durableId="396636388">
    <w:abstractNumId w:val="7"/>
  </w:num>
  <w:num w:numId="9" w16cid:durableId="13021506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D90"/>
    <w:rsid w:val="000C4B86"/>
    <w:rsid w:val="00270C91"/>
    <w:rsid w:val="002C31FA"/>
    <w:rsid w:val="004E5AE6"/>
    <w:rsid w:val="005E5465"/>
    <w:rsid w:val="005F5800"/>
    <w:rsid w:val="00637BFC"/>
    <w:rsid w:val="00670534"/>
    <w:rsid w:val="00697FDF"/>
    <w:rsid w:val="006D247E"/>
    <w:rsid w:val="00794D24"/>
    <w:rsid w:val="008D45F3"/>
    <w:rsid w:val="008D6BC9"/>
    <w:rsid w:val="008E4D90"/>
    <w:rsid w:val="008F4477"/>
    <w:rsid w:val="009A356B"/>
    <w:rsid w:val="009C02CF"/>
    <w:rsid w:val="00B222AB"/>
    <w:rsid w:val="00B529C4"/>
    <w:rsid w:val="00BE2387"/>
    <w:rsid w:val="00DD3433"/>
    <w:rsid w:val="00DF7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9D607E"/>
  <w15:chartTrackingRefBased/>
  <w15:docId w15:val="{3F747DCF-4B13-464B-9342-C6E5C9434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9C4"/>
    <w:rPr>
      <w:rFonts w:ascii="新細明體" w:eastAsia="Kaiti SC" w:hAnsi="新細明體" w:cs="新細明體"/>
      <w:kern w:val="0"/>
    </w:rPr>
  </w:style>
  <w:style w:type="paragraph" w:styleId="2">
    <w:name w:val="heading 2"/>
    <w:basedOn w:val="a"/>
    <w:next w:val="a"/>
    <w:link w:val="20"/>
    <w:uiPriority w:val="9"/>
    <w:unhideWhenUsed/>
    <w:qFormat/>
    <w:rsid w:val="008E4D9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E2387"/>
    <w:rPr>
      <w:rFonts w:eastAsia="Microsoft JhengHei UI"/>
      <w:kern w:val="0"/>
      <w:sz w:val="22"/>
      <w:szCs w:val="22"/>
      <w:lang w:eastAsia="zh-CN"/>
    </w:rPr>
  </w:style>
  <w:style w:type="character" w:customStyle="1" w:styleId="a4">
    <w:name w:val="無間距 字元"/>
    <w:basedOn w:val="a0"/>
    <w:link w:val="a3"/>
    <w:uiPriority w:val="1"/>
    <w:rsid w:val="00BE2387"/>
    <w:rPr>
      <w:rFonts w:eastAsia="Microsoft JhengHei UI"/>
      <w:kern w:val="0"/>
      <w:sz w:val="22"/>
      <w:szCs w:val="22"/>
      <w:lang w:eastAsia="zh-CN"/>
    </w:rPr>
  </w:style>
  <w:style w:type="character" w:customStyle="1" w:styleId="20">
    <w:name w:val="標題 2 字元"/>
    <w:basedOn w:val="a0"/>
    <w:link w:val="2"/>
    <w:uiPriority w:val="9"/>
    <w:rsid w:val="008E4D90"/>
    <w:rPr>
      <w:rFonts w:asciiTheme="majorHAnsi" w:eastAsiaTheme="majorEastAsia" w:hAnsiTheme="majorHAnsi" w:cstheme="majorBidi"/>
      <w:b/>
      <w:bCs/>
      <w:kern w:val="0"/>
      <w:sz w:val="48"/>
      <w:szCs w:val="48"/>
    </w:rPr>
  </w:style>
  <w:style w:type="paragraph" w:styleId="a5">
    <w:name w:val="Title"/>
    <w:basedOn w:val="a"/>
    <w:next w:val="a"/>
    <w:link w:val="a6"/>
    <w:uiPriority w:val="10"/>
    <w:qFormat/>
    <w:rsid w:val="008E4D9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8E4D90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rsid w:val="00DF790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213</Words>
  <Characters>1216</Characters>
  <Application>Microsoft Office Word</Application>
  <DocSecurity>0</DocSecurity>
  <Lines>10</Lines>
  <Paragraphs>2</Paragraphs>
  <ScaleCrop>false</ScaleCrop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365VIP</dc:creator>
  <cp:keywords/>
  <dc:description/>
  <cp:lastModifiedBy>365VIP</cp:lastModifiedBy>
  <cp:revision>1</cp:revision>
  <dcterms:created xsi:type="dcterms:W3CDTF">2024-05-31T04:00:00Z</dcterms:created>
  <dcterms:modified xsi:type="dcterms:W3CDTF">2024-05-31T07:20:00Z</dcterms:modified>
</cp:coreProperties>
</file>