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 w:cs="Microsoft YaHei"/>
          <w:color w:val="1E2761"/>
          <w:sz w:val="28"/>
        </w:rPr>
        <w:t>星野科技集团</w:t>
      </w:r>
    </w:p>
    <w:p>
      <w:pPr>
        <w:pStyle w:val="Title"/>
        <w:spacing w:after="40"/>
        <w:jc w:val="center"/>
      </w:pPr>
      <w:r>
        <w:rPr>
          <w:rFonts w:ascii="Microsoft YaHei" w:hAnsi="Microsoft YaHei" w:eastAsia="Microsoft YaHei" w:cs="Microsoft YaHei"/>
        </w:rPr>
        <w:t>智慧园区二期建设项目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E2761"/>
          <w:sz w:val="44"/>
        </w:rPr>
        <w:t>项 目 计 划 书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以「安全、节能、体验」为纲， delivering a future-ready campus（打造面向未来的园区）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55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项目编号</w:t>
            </w:r>
          </w:p>
        </w:tc>
        <w:tc>
          <w:tcPr>
            <w:tcW w:type="dxa" w:w="1417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98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255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编制人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XY-PARK-2026-02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V2.3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2026-09-10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林晓峰（PMO）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 w:cs="Microsoft YaHei"/>
          <w:color w:val="808080"/>
          <w:sz w:val="18"/>
        </w:rPr>
        <w:t>密级：内部公开  |  本计划书经立项评审会（2026-09-05）审议通过，作为二期建设的执行基准，后续变更须走 CCB 流程。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目  录</w:t>
      </w:r>
    </w:p>
    <w:p>
      <w:r>
        <w:rPr>
          <w:rFonts w:ascii="Microsoft YaHei" w:hAnsi="Microsoft YaHei" w:eastAsia="Microsoft YaHei" w:cs="Microsoft YaHei"/>
          <w:sz w:val="22"/>
        </w:rPr>
        <w:t>一、项目背景与目标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3</w:t>
      </w:r>
    </w:p>
    <w:p>
      <w:r>
        <w:rPr>
          <w:rFonts w:ascii="Microsoft YaHei" w:hAnsi="Microsoft YaHei" w:eastAsia="Microsoft YaHei" w:cs="Microsoft YaHei"/>
          <w:sz w:val="22"/>
        </w:rPr>
        <w:t>二、建设范围与交付物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3</w:t>
      </w:r>
    </w:p>
    <w:p>
      <w:r>
        <w:rPr>
          <w:rFonts w:ascii="Microsoft YaHei" w:hAnsi="Microsoft YaHei" w:eastAsia="Microsoft YaHei" w:cs="Microsoft YaHei"/>
          <w:sz w:val="22"/>
        </w:rPr>
        <w:t>三、里程碑计划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4</w:t>
      </w:r>
    </w:p>
    <w:p>
      <w:r>
        <w:rPr>
          <w:rFonts w:ascii="Microsoft YaHei" w:hAnsi="Microsoft YaHei" w:eastAsia="Microsoft YaHei" w:cs="Microsoft YaHei"/>
          <w:sz w:val="22"/>
        </w:rPr>
        <w:t>四、预算概览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4</w:t>
      </w:r>
    </w:p>
    <w:p>
      <w:r>
        <w:rPr>
          <w:rFonts w:ascii="Microsoft YaHei" w:hAnsi="Microsoft YaHei" w:eastAsia="Microsoft YaHei" w:cs="Microsoft YaHei"/>
          <w:sz w:val="22"/>
        </w:rPr>
        <w:t>五、风险登记册与应对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5</w:t>
      </w:r>
    </w:p>
    <w:p>
      <w:r>
        <w:rPr>
          <w:rFonts w:ascii="Microsoft YaHei" w:hAnsi="Microsoft YaHei" w:eastAsia="Microsoft YaHei" w:cs="Microsoft YaHei"/>
          <w:sz w:val="22"/>
        </w:rPr>
        <w:t>六、附则</w:t>
      </w:r>
      <w:r>
        <w:rPr>
          <w:rFonts w:ascii="Microsoft YaHei" w:hAnsi="Microsoft YaHei" w:eastAsia="Microsoft YaHei" w:cs="Microsoft YaHei"/>
          <w:color w:val="808080"/>
          <w:sz w:val="22"/>
        </w:rPr>
        <w:t xml:space="preserve">  ……  5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一、项目背景与目标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1.1 背景</w:t>
      </w:r>
    </w:p>
    <w:p>
      <w:r>
        <w:rPr>
          <w:rFonts w:ascii="Microsoft YaHei" w:hAnsi="Microsoft YaHei" w:eastAsia="Microsoft YaHei" w:cs="Microsoft YaHei"/>
        </w:rPr>
        <w:t>一期工程已于 2026 年 6 月完成验收，覆盖 3 栋办公楼的门禁、能耗计量与会议室预定系统。投运三个月来，园区月均接待访客 4200 余人次，能耗同比下降 9.6%。但随着 D、E 栋投入使用，既有平台出现设备接入瓶颈：边缘网关 CPU 常年高于 75%，访客高峰期闸机通行排队超过 2 分钟。二期建设旨在扩容并补齐智能化短板，支撑未来三年 3000 人规模的办公需求。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1.2 总体目标</w:t>
      </w:r>
    </w:p>
    <w:p>
      <w:r>
        <w:rPr>
          <w:rFonts w:ascii="Microsoft YaHei" w:hAnsi="Microsoft YaHei" w:eastAsia="Microsoft YaHei" w:cs="Microsoft YaHei"/>
          <w:sz w:val="22"/>
        </w:rPr>
        <w:t>项目总体目标可概括为「三个一」：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一张网：全园区物联设备统一接入，纳管设备突破 12000 台，在线率不低于 99.5%。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一朵云：算力与数据中台扩容 2 倍，报表查询 P95 延迟控制在 800ms 以内。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一体验：访客无感通行、员工一码通办，满意度调查得分不低于 4.6 分（5 分制）。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目标维度</w:t>
            </w:r>
          </w:p>
        </w:tc>
        <w:tc>
          <w:tcPr>
            <w:tcW w:type="dxa" w:w="2268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关键指标</w:t>
            </w:r>
          </w:p>
        </w:tc>
        <w:tc>
          <w:tcPr>
            <w:tcW w:type="dxa" w:w="215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基线（2026Q2）</w:t>
            </w:r>
          </w:p>
        </w:tc>
        <w:tc>
          <w:tcPr>
            <w:tcW w:type="dxa" w:w="2268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目标（2027Q1）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设备在线率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在线设备占比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97.8%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≥ 99.5%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通行效率</w:t>
            </w:r>
          </w:p>
        </w:tc>
        <w:tc>
          <w:tcPr>
            <w:tcW w:type="dxa" w:w="2268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高峰排队时长</w:t>
            </w:r>
          </w:p>
        </w:tc>
        <w:tc>
          <w:tcPr>
            <w:tcW w:type="dxa" w:w="215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约 2 分钟</w:t>
            </w:r>
          </w:p>
        </w:tc>
        <w:tc>
          <w:tcPr>
            <w:tcW w:type="dxa" w:w="2268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≤ 30 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能耗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单位面积电耗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基准 100%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下降 15%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满意度</w:t>
            </w:r>
          </w:p>
        </w:tc>
        <w:tc>
          <w:tcPr>
            <w:tcW w:type="dxa" w:w="2268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季度调研得分</w:t>
            </w:r>
          </w:p>
        </w:tc>
        <w:tc>
          <w:tcPr>
            <w:tcW w:type="dxa" w:w="215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4.2 分</w:t>
            </w:r>
          </w:p>
        </w:tc>
        <w:tc>
          <w:tcPr>
            <w:tcW w:type="dxa" w:w="2268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≥ 4.6 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 w:cs="Microsoft YaHei"/>
        </w:rPr>
        <w:t>二、建设范围与交付物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2.1 在建范围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D、E 栋共 46 个点位的人脸闸机与访客机更换，支持刷脸 + 工卡 + 访客码三合一。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地下二层新增 800 路高清摄像头，视频流全部上云存储，保留 90 天。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能耗子系统扩展至空调末端与照明回路，新增 1200 个采集点。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移动端「星野通」App 上线访客邀请、报修、订餐三大高频功能。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2.2 明确不做（Out of Scope）</w:t>
      </w:r>
    </w:p>
    <w:p>
      <w:pPr>
        <w:pStyle w:val="Quote"/>
      </w:pPr>
      <w:r>
        <w:rPr>
          <w:rFonts w:ascii="Microsoft YaHei" w:hAnsi="Microsoft YaHei" w:eastAsia="Microsoft YaHei" w:cs="Microsoft YaHei"/>
        </w:rPr>
        <w:t>需要特别说明的是：食堂团餐系统、地下车库充电桩运营不在本次范围内，避免边界 creep 导致延期。这两块已列入 2027 年度专项，由行政部另行立项。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三、里程碑计划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72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起止时间</w:t>
            </w:r>
          </w:p>
        </w:tc>
        <w:tc>
          <w:tcPr>
            <w:tcW w:type="dxa" w:w="272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关键交付</w:t>
            </w:r>
          </w:p>
        </w:tc>
        <w:tc>
          <w:tcPr>
            <w:tcW w:type="dxa" w:w="1247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M1 详细设计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2026-10-08 ~ 2026-11-15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施工图 / 点位表 / 设备清单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林晓峰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M2 设备到货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2026-11-16 ~ 2026-12-20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到货验收单（抽检 20%）</w:t>
            </w:r>
          </w:p>
        </w:tc>
        <w:tc>
          <w:tcPr>
            <w:tcW w:type="dxa" w:w="124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赵一鸣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M3 安装调试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2026-12-21 ~ 2027-02-10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单机调试报告 46 份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赵一鸣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M4 联调联试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2027-02-11 ~ 2027-03-15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联调报告 / 压力测试报告</w:t>
            </w:r>
          </w:p>
        </w:tc>
        <w:tc>
          <w:tcPr>
            <w:tcW w:type="dxa" w:w="124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沈佳宜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M5 试运行验收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2027-03-16 ~ 2027-04-10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验收纪要 / 运维移交清单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林晓峰</w:t>
            </w:r>
          </w:p>
        </w:tc>
      </w:tr>
    </w:tbl>
    <w:p/>
    <w:p>
      <w:r>
        <w:rPr>
          <w:rFonts w:ascii="Microsoft YaHei" w:hAnsi="Microsoft YaHei" w:eastAsia="Microsoft YaHei" w:cs="Microsoft YaHei"/>
          <w:color w:val="555555"/>
          <w:sz w:val="18"/>
        </w:rPr>
        <w:t>注：春节假期（2027-02-06 ~ 2027-02-14）为停工窗口，已在 M3 工期中预留 9 天缓冲；关键路径为 M2→M3→M4，设备到货延期超过 5 天将触发赶工预案。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四、预算概览</w:t>
      </w:r>
    </w:p>
    <w:p>
      <w:r>
        <w:rPr>
          <w:rFonts w:ascii="Microsoft YaHei" w:hAnsi="Microsoft YaHei" w:eastAsia="Microsoft YaHei" w:cs="Microsoft YaHei"/>
        </w:rPr>
        <w:t>项目总预算 410 万元，其中设备采购占比最高（31%）。预备费按 8% 计提，仅 CCB 批准后方可动用。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费用大类</w:t>
            </w:r>
          </w:p>
        </w:tc>
        <w:tc>
          <w:tcPr>
            <w:tcW w:type="dxa" w:w="170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金额（万元）</w:t>
            </w:r>
          </w:p>
        </w:tc>
        <w:tc>
          <w:tcPr>
            <w:tcW w:type="dxa" w:w="1417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572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人力成本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96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23.4%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14 人 × 平均 5 个月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设备采购</w:t>
            </w:r>
          </w:p>
        </w:tc>
        <w:tc>
          <w:tcPr>
            <w:tcW w:type="dxa" w:w="170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128</w:t>
            </w:r>
          </w:p>
        </w:tc>
        <w:tc>
          <w:tcPr>
            <w:tcW w:type="dxa" w:w="141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31.2%</w:t>
            </w:r>
          </w:p>
        </w:tc>
        <w:tc>
          <w:tcPr>
            <w:tcW w:type="dxa" w:w="3572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闸机 / 摄像头 / 网关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软件许可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54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13.2%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视频云存储 + 中间件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施工集成</w:t>
            </w:r>
          </w:p>
        </w:tc>
        <w:tc>
          <w:tcPr>
            <w:tcW w:type="dxa" w:w="170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72</w:t>
            </w:r>
          </w:p>
        </w:tc>
        <w:tc>
          <w:tcPr>
            <w:tcW w:type="dxa" w:w="141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17.6%</w:t>
            </w:r>
          </w:p>
        </w:tc>
        <w:tc>
          <w:tcPr>
            <w:tcW w:type="dxa" w:w="3572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含辅材与夜间施工补贴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测试验收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28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6.8%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第三方测评 12 万</w:t>
            </w:r>
          </w:p>
        </w:tc>
      </w:tr>
      <w:tr>
        <w:tc>
          <w:tcPr>
            <w:tcW w:type="dxa" w:w="181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预备费</w:t>
            </w:r>
          </w:p>
        </w:tc>
        <w:tc>
          <w:tcPr>
            <w:tcW w:type="dxa" w:w="170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32</w:t>
            </w:r>
          </w:p>
        </w:tc>
        <w:tc>
          <w:tcPr>
            <w:tcW w:type="dxa" w:w="141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7.8%</w:t>
            </w:r>
          </w:p>
        </w:tc>
        <w:tc>
          <w:tcPr>
            <w:tcW w:type="dxa" w:w="3572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CCB 审批后动用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合计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410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100%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含税价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808080"/>
          <w:sz w:val="18"/>
        </w:rPr>
        <w:t>图 1  预算分布（设备采购为最大头）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五、风险登记册与应对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907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72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风险描述</w:t>
            </w:r>
          </w:p>
        </w:tc>
        <w:tc>
          <w:tcPr>
            <w:tcW w:type="dxa" w:w="1474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概率 / 影响</w:t>
            </w:r>
          </w:p>
        </w:tc>
        <w:tc>
          <w:tcPr>
            <w:tcW w:type="dxa" w:w="2721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应对措施</w:t>
            </w:r>
          </w:p>
        </w:tc>
        <w:tc>
          <w:tcPr>
            <w:tcW w:type="dxa" w:w="1247"/>
            <w:shd w:val="clear" w:fill="1E27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R-01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进口闸机交期延误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中 / 高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双供应商备选 + 提前 30 天下单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赵一鸣</w:t>
            </w:r>
          </w:p>
        </w:tc>
      </w:tr>
      <w:tr>
        <w:tc>
          <w:tcPr>
            <w:tcW w:type="dxa" w:w="90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R-02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夜间施工遭投诉</w:t>
            </w:r>
          </w:p>
        </w:tc>
        <w:tc>
          <w:tcPr>
            <w:tcW w:type="dxa" w:w="147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高 / 中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仅工作日 22:00 前作业，提前公示</w:t>
            </w:r>
          </w:p>
        </w:tc>
        <w:tc>
          <w:tcPr>
            <w:tcW w:type="dxa" w:w="124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施工队长老周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R-03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老系统接口不兼容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中 / 高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M1 阶段完成接口联调验证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沈佳宜</w:t>
            </w:r>
          </w:p>
        </w:tc>
      </w:tr>
      <w:tr>
        <w:tc>
          <w:tcPr>
            <w:tcW w:type="dxa" w:w="90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R-04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预算超支超 5%</w:t>
            </w:r>
          </w:p>
        </w:tc>
        <w:tc>
          <w:tcPr>
            <w:tcW w:type="dxa" w:w="1474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低 / 高</w:t>
            </w:r>
          </w:p>
        </w:tc>
        <w:tc>
          <w:tcPr>
            <w:tcW w:type="dxa" w:w="2721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冻结预备费，超支项逐笔上 CCB</w:t>
            </w:r>
          </w:p>
        </w:tc>
        <w:tc>
          <w:tcPr>
            <w:tcW w:type="dxa" w:w="1247"/>
            <w:shd w:val="clear" w:fill="EEF1F7"/>
          </w:tcPr>
          <w:p>
            <w:r/>
            <w:r>
              <w:rPr>
                <w:rFonts w:ascii="Microsoft YaHei" w:hAnsi="Microsoft YaHei" w:eastAsia="Microsoft YaHei" w:cs="Microsoft YaHei"/>
                <w:sz w:val="21"/>
              </w:rPr>
              <w:t>林晓峰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 w:cs="Microsoft YaHei"/>
        </w:rPr>
        <w:t>六、附则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本计划书自签发之日起生效，执行中如需调整里程碑超过 5 个工作日，须重新评审。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周报（每周五 18:00 前）与月度 steering 会议为固定动作，缺席需提前请假。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项目文档统一存放于知识库「智慧园区 / 二期」目录，版本号与本文档保持一致。</w:t>
      </w:r>
    </w:p>
    <w:p>
      <w:pPr>
        <w:jc w:val="right"/>
      </w:pPr>
      <w:r>
        <w:rPr>
          <w:rFonts w:ascii="Microsoft YaHei" w:hAnsi="Microsoft YaHei" w:eastAsia="Microsoft YaHei" w:cs="Microsoft YaHei"/>
          <w:sz w:val="22"/>
        </w:rPr>
        <w:t>—— 全文完，共六章。签发：________    日期：________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808080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Microsoft YaHei" w:hAnsi="Microsoft YaHei" w:eastAsia="Microsoft YaHei" w:cs="Microsoft YaHei"/>
        <w:color w:val="808080"/>
        <w:sz w:val="16"/>
      </w:rPr>
      <w:t xml:space="preserve"> 页 · 星野科技集团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808080"/>
        <w:sz w:val="16"/>
      </w:rPr>
      <w:t>智慧园区二期 · 内部资料  version 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智慧园区二期建设项目计划书</dc:title>
  <dc:subject/>
  <dc:creator>PMO 林晓峰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