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카드사 고객 이탈 분석 보고서</w:t>
      </w:r>
    </w:p>
    <w:p>
      <w:pPr>
        <w:jc w:val="center"/>
      </w:pPr>
      <w:r>
        <w:t>작성일: 2026-10-13  |  데이터: BankChurners (10,127명)  |  분석 도구: Python + MySQL</w:t>
      </w:r>
    </w:p>
    <w:p/>
    <w:p>
      <w:pPr>
        <w:pStyle w:val="Heading1"/>
      </w:pPr>
      <w:r>
        <w:t>1. 분석 목적</w:t>
      </w:r>
    </w:p>
    <w:p>
      <w:r>
        <w:t>MySQL DB에 저장된 카드사 고객 데이터(10,127건)를 기반으로 고객 이탈 패턴을 파악하고, 이탈 패턴 유사도 기반 위험군 식별 모델을 구축하여 선제적 고객 유지 전략 수립을 위한 의사결정 지원을 목적으로 한다.</w:t>
      </w:r>
    </w:p>
    <w:p>
      <w:pPr>
        <w:pStyle w:val="Heading1"/>
      </w:pPr>
      <w:r>
        <w:t>2. 데이터 한계 및 모델 정의</w:t>
      </w:r>
    </w:p>
    <w:p>
      <w:r>
        <w:t>본 데이터는 시계열 정보가 없는 스냅샷 데이터로, 특정 시점 기반 이탈 예측이 아닌 과거 이탈 고객의 행동 패턴과의 유사도 기반 위험군 식별 모델임을 명시한다. 고위험 유지 고객은 이탈이 확정된 것이 아니라 이탈 가능성이 높은 것으로 가정한다.</w:t>
      </w:r>
    </w:p>
    <w:p>
      <w:pPr>
        <w:pStyle w:val="Heading1"/>
      </w:pPr>
      <w:r>
        <w:t>3. EDA 결과</w:t>
      </w:r>
    </w:p>
    <w:p>
      <w:r>
        <w:t>전체 고객 10,127명 중 이탈 고객 1,627명(이탈률 16.1%).</w:t>
        <w:br/>
        <w:t>이탈은 인구통계(나이, 성별, 소득)보다 행동 변수(거래건수, 거래금액, 연락횟수)가 결정한다.</w:t>
        <w:br/>
        <w:t>거래건수/금액 감소 + 고객센터 연락 증가가 복합적으로 나타날 때 이탈 가능성이 가장 높음.</w:t>
      </w:r>
    </w:p>
    <w:p>
      <w:r>
        <w:drawing>
          <wp:inline xmlns:a="http://schemas.openxmlformats.org/drawingml/2006/main" xmlns:pic="http://schemas.openxmlformats.org/drawingml/2006/picture">
            <wp:extent cx="5029200" cy="2201433"/>
            <wp:docPr id="1" name="Picture 1"/>
            <wp:cNvGraphicFramePr>
              <a:graphicFrameLocks noChangeAspect="1"/>
            </wp:cNvGraphicFramePr>
            <a:graphic>
              <a:graphicData uri="http://schemas.openxmlformats.org/drawingml/2006/picture">
                <pic:pic>
                  <pic:nvPicPr>
                    <pic:cNvPr id="0" name="fig_01_churn_overview.png"/>
                    <pic:cNvPicPr/>
                  </pic:nvPicPr>
                  <pic:blipFill>
                    <a:blip r:embed="rId9"/>
                    <a:stretch>
                      <a:fillRect/>
                    </a:stretch>
                  </pic:blipFill>
                  <pic:spPr>
                    <a:xfrm>
                      <a:off x="0" y="0"/>
                      <a:ext cx="5029200" cy="2201433"/>
                    </a:xfrm>
                    <a:prstGeom prst="rect"/>
                  </pic:spPr>
                </pic:pic>
              </a:graphicData>
            </a:graphic>
          </wp:inline>
        </w:drawing>
      </w:r>
    </w:p>
    <w:p>
      <w:r>
        <w:drawing>
          <wp:inline xmlns:a="http://schemas.openxmlformats.org/drawingml/2006/main" xmlns:pic="http://schemas.openxmlformats.org/drawingml/2006/picture">
            <wp:extent cx="5029200" cy="3117207"/>
            <wp:docPr id="2" name="Picture 2"/>
            <wp:cNvGraphicFramePr>
              <a:graphicFrameLocks noChangeAspect="1"/>
            </wp:cNvGraphicFramePr>
            <a:graphic>
              <a:graphicData uri="http://schemas.openxmlformats.org/drawingml/2006/picture">
                <pic:pic>
                  <pic:nvPicPr>
                    <pic:cNvPr id="0" name="fig_03_behavior.png"/>
                    <pic:cNvPicPr/>
                  </pic:nvPicPr>
                  <pic:blipFill>
                    <a:blip r:embed="rId10"/>
                    <a:stretch>
                      <a:fillRect/>
                    </a:stretch>
                  </pic:blipFill>
                  <pic:spPr>
                    <a:xfrm>
                      <a:off x="0" y="0"/>
                      <a:ext cx="5029200" cy="3117207"/>
                    </a:xfrm>
                    <a:prstGeom prst="rect"/>
                  </pic:spPr>
                </pic:pic>
              </a:graphicData>
            </a:graphic>
          </wp:inline>
        </w:drawing>
      </w:r>
    </w:p>
    <w:p>
      <w:pPr>
        <w:pStyle w:val="Heading1"/>
      </w:pPr>
      <w:r>
        <w:t>4. 이탈 패턴 유사도 모델 (XGBoost)</w:t>
      </w:r>
    </w:p>
    <w:p>
      <w:r>
        <w:t>분석 방법: XGBoost + scale_pos_weight (클래스 가중치)</w:t>
      </w:r>
    </w:p>
    <w:p>
      <w:r>
        <w:t>ROC-AUC: 0.993  |  Precision(이탈): 0.90  |  Recall(이탈): 0.90</w:t>
        <w:br/>
        <w:t>실제 이탈 고객 325명 중 291명(89.5%) 사전 식별 성공.</w:t>
      </w:r>
    </w:p>
    <w:p>
      <w:r>
        <w:drawing>
          <wp:inline xmlns:a="http://schemas.openxmlformats.org/drawingml/2006/main" xmlns:pic="http://schemas.openxmlformats.org/drawingml/2006/picture">
            <wp:extent cx="5029200" cy="2217776"/>
            <wp:docPr id="3" name="Picture 3"/>
            <wp:cNvGraphicFramePr>
              <a:graphicFrameLocks noChangeAspect="1"/>
            </wp:cNvGraphicFramePr>
            <a:graphic>
              <a:graphicData uri="http://schemas.openxmlformats.org/drawingml/2006/picture">
                <pic:pic>
                  <pic:nvPicPr>
                    <pic:cNvPr id="0" name="fig_05_model_eval.png"/>
                    <pic:cNvPicPr/>
                  </pic:nvPicPr>
                  <pic:blipFill>
                    <a:blip r:embed="rId11"/>
                    <a:stretch>
                      <a:fillRect/>
                    </a:stretch>
                  </pic:blipFill>
                  <pic:spPr>
                    <a:xfrm>
                      <a:off x="0" y="0"/>
                      <a:ext cx="5029200" cy="2217776"/>
                    </a:xfrm>
                    <a:prstGeom prst="rect"/>
                  </pic:spPr>
                </pic:pic>
              </a:graphicData>
            </a:graphic>
          </wp:inline>
        </w:drawing>
      </w:r>
    </w:p>
    <w:p>
      <w:r>
        <w:drawing>
          <wp:inline xmlns:a="http://schemas.openxmlformats.org/drawingml/2006/main" xmlns:pic="http://schemas.openxmlformats.org/drawingml/2006/picture">
            <wp:extent cx="5029200" cy="5840361"/>
            <wp:docPr id="4" name="Picture 4"/>
            <wp:cNvGraphicFramePr>
              <a:graphicFrameLocks noChangeAspect="1"/>
            </wp:cNvGraphicFramePr>
            <a:graphic>
              <a:graphicData uri="http://schemas.openxmlformats.org/drawingml/2006/picture">
                <pic:pic>
                  <pic:nvPicPr>
                    <pic:cNvPr id="0" name="fig_shap_direction.png"/>
                    <pic:cNvPicPr/>
                  </pic:nvPicPr>
                  <pic:blipFill>
                    <a:blip r:embed="rId12"/>
                    <a:stretch>
                      <a:fillRect/>
                    </a:stretch>
                  </pic:blipFill>
                  <pic:spPr>
                    <a:xfrm>
                      <a:off x="0" y="0"/>
                      <a:ext cx="5029200" cy="5840361"/>
                    </a:xfrm>
                    <a:prstGeom prst="rect"/>
                  </pic:spPr>
                </pic:pic>
              </a:graphicData>
            </a:graphic>
          </wp:inline>
        </w:drawing>
      </w:r>
    </w:p>
    <w:p>
      <w:pPr>
        <w:pStyle w:val="Heading1"/>
      </w:pPr>
      <w:r>
        <w:t>5. 고위험 유지 고객 특성 분석</w:t>
      </w:r>
    </w:p>
    <w:p>
      <w:r>
        <w:t>이탈 확률 기준 상위 20%(매우높음) 그룹 중 현재 유지 고객 408명을 대상으로 분석.</w:t>
        <w:br/>
        <w:t>안전군(매우낮음) 대비 주요 차이점: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특성</w:t>
            </w:r>
          </w:p>
        </w:tc>
        <w:tc>
          <w:tcPr>
            <w:tcW w:type="dxa" w:w="2160"/>
          </w:tcPr>
          <w:p>
            <w:r>
              <w:t>안전군</w:t>
            </w:r>
          </w:p>
        </w:tc>
        <w:tc>
          <w:tcPr>
            <w:tcW w:type="dxa" w:w="2160"/>
          </w:tcPr>
          <w:p>
            <w:r>
              <w:t>고위험군</w:t>
            </w:r>
          </w:p>
        </w:tc>
        <w:tc>
          <w:tcPr>
            <w:tcW w:type="dxa" w:w="2160"/>
          </w:tcPr>
          <w:p>
            <w:r>
              <w:t>해석</w:t>
            </w:r>
          </w:p>
        </w:tc>
      </w:tr>
      <w:tr>
        <w:tc>
          <w:tcPr>
            <w:tcW w:type="dxa" w:w="2160"/>
          </w:tcPr>
          <w:p>
            <w:r>
              <w:t>성별</w:t>
            </w:r>
          </w:p>
        </w:tc>
        <w:tc>
          <w:tcPr>
            <w:tcW w:type="dxa" w:w="2160"/>
          </w:tcPr>
          <w:p>
            <w:r>
              <w:t>여성 64%</w:t>
            </w:r>
          </w:p>
        </w:tc>
        <w:tc>
          <w:tcPr>
            <w:tcW w:type="dxa" w:w="2160"/>
          </w:tcPr>
          <w:p>
            <w:r>
              <w:t>남성 57%</w:t>
            </w:r>
          </w:p>
        </w:tc>
        <w:tc>
          <w:tcPr>
            <w:tcW w:type="dxa" w:w="2160"/>
          </w:tcPr>
          <w:p>
            <w:r>
              <w:t>고위험군에 남성 비중 높음</w:t>
            </w:r>
          </w:p>
        </w:tc>
      </w:tr>
      <w:tr>
        <w:tc>
          <w:tcPr>
            <w:tcW w:type="dxa" w:w="2160"/>
          </w:tcPr>
          <w:p>
            <w:r>
              <w:t>보유 금융상품</w:t>
            </w:r>
          </w:p>
        </w:tc>
        <w:tc>
          <w:tcPr>
            <w:tcW w:type="dxa" w:w="2160"/>
          </w:tcPr>
          <w:p>
            <w:r>
              <w:t>5~6개 비중 높음</w:t>
            </w:r>
          </w:p>
        </w:tc>
        <w:tc>
          <w:tcPr>
            <w:tcW w:type="dxa" w:w="2160"/>
          </w:tcPr>
          <w:p>
            <w:r>
              <w:t>3개 이하 집중</w:t>
            </w:r>
          </w:p>
        </w:tc>
        <w:tc>
          <w:tcPr>
            <w:tcW w:type="dxa" w:w="2160"/>
          </w:tcPr>
          <w:p>
            <w:r>
              <w:t>카드사 관계 약함</w:t>
            </w:r>
          </w:p>
        </w:tc>
      </w:tr>
      <w:tr>
        <w:tc>
          <w:tcPr>
            <w:tcW w:type="dxa" w:w="2160"/>
          </w:tcPr>
          <w:p>
            <w:r>
              <w:t>소득구간</w:t>
            </w:r>
          </w:p>
        </w:tc>
        <w:tc>
          <w:tcPr>
            <w:tcW w:type="dxa" w:w="2160"/>
          </w:tcPr>
          <w:p>
            <w:r>
              <w:t>$40K 미만 44%</w:t>
            </w:r>
          </w:p>
        </w:tc>
        <w:tc>
          <w:tcPr>
            <w:tcW w:type="dxa" w:w="2160"/>
          </w:tcPr>
          <w:p>
            <w:r>
              <w:t>$40K~$80K 집중</w:t>
            </w:r>
          </w:p>
        </w:tc>
        <w:tc>
          <w:tcPr>
            <w:tcW w:type="dxa" w:w="2160"/>
          </w:tcPr>
          <w:p>
            <w:r>
              <w:t>혜택 민감도 높은 구간</w:t>
            </w:r>
          </w:p>
        </w:tc>
      </w:tr>
    </w:tbl>
    <w:p/>
    <w:p>
      <w:r>
        <w:drawing>
          <wp:inline xmlns:a="http://schemas.openxmlformats.org/drawingml/2006/main" xmlns:pic="http://schemas.openxmlformats.org/drawingml/2006/picture">
            <wp:extent cx="5029200" cy="2767465"/>
            <wp:docPr id="5" name="Picture 5"/>
            <wp:cNvGraphicFramePr>
              <a:graphicFrameLocks noChangeAspect="1"/>
            </wp:cNvGraphicFramePr>
            <a:graphic>
              <a:graphicData uri="http://schemas.openxmlformats.org/drawingml/2006/picture">
                <pic:pic>
                  <pic:nvPicPr>
                    <pic:cNvPr id="0" name="fig_highrisk_profile.png"/>
                    <pic:cNvPicPr/>
                  </pic:nvPicPr>
                  <pic:blipFill>
                    <a:blip r:embed="rId13"/>
                    <a:stretch>
                      <a:fillRect/>
                    </a:stretch>
                  </pic:blipFill>
                  <pic:spPr>
                    <a:xfrm>
                      <a:off x="0" y="0"/>
                      <a:ext cx="5029200" cy="2767465"/>
                    </a:xfrm>
                    <a:prstGeom prst="rect"/>
                  </pic:spPr>
                </pic:pic>
              </a:graphicData>
            </a:graphic>
          </wp:inline>
        </w:drawing>
      </w:r>
    </w:p>
    <w:p>
      <w:pPr>
        <w:pStyle w:val="Heading1"/>
      </w:pPr>
      <w:r>
        <w:t>6. 전략 및 기대효과</w:t>
      </w:r>
    </w:p>
    <w:tbl>
      <w:tblPr>
        <w:tblStyle w:val="TableGrid"/>
        <w:tblW w:type="auto" w:w="0"/>
        <w:tblLook w:firstColumn="1" w:firstRow="1" w:lastColumn="0" w:lastRow="0" w:noHBand="0" w:noVBand="1" w:val="04A0"/>
      </w:tblPr>
      <w:tblGrid>
        <w:gridCol w:w="2880"/>
        <w:gridCol w:w="2880"/>
        <w:gridCol w:w="2880"/>
      </w:tblGrid>
      <w:tr>
        <w:tc>
          <w:tcPr>
            <w:tcW w:type="dxa" w:w="2880"/>
          </w:tcPr>
          <w:p>
            <w:r>
              <w:t>고위험군 특성</w:t>
            </w:r>
          </w:p>
        </w:tc>
        <w:tc>
          <w:tcPr>
            <w:tcW w:type="dxa" w:w="2880"/>
          </w:tcPr>
          <w:p>
            <w:r>
              <w:t>원인 추정</w:t>
            </w:r>
          </w:p>
        </w:tc>
        <w:tc>
          <w:tcPr>
            <w:tcW w:type="dxa" w:w="2880"/>
          </w:tcPr>
          <w:p>
            <w:r>
              <w:t>전략</w:t>
            </w:r>
          </w:p>
        </w:tc>
      </w:tr>
      <w:tr>
        <w:tc>
          <w:tcPr>
            <w:tcW w:type="dxa" w:w="2880"/>
          </w:tcPr>
          <w:p>
            <w:r>
              <w:t>보유 금융상품 3개 이하</w:t>
            </w:r>
          </w:p>
        </w:tc>
        <w:tc>
          <w:tcPr>
            <w:tcW w:type="dxa" w:w="2880"/>
          </w:tcPr>
          <w:p>
            <w:r>
              <w:t>카드사 관계 약해 이탈 방어력 낮음</w:t>
            </w:r>
          </w:p>
        </w:tc>
        <w:tc>
          <w:tcPr>
            <w:tcW w:type="dxa" w:w="2880"/>
          </w:tcPr>
          <w:p>
            <w:r>
              <w:t>추가 상품 가입 유도 (적금, 대출 연계)</w:t>
            </w:r>
          </w:p>
        </w:tc>
      </w:tr>
      <w:tr>
        <w:tc>
          <w:tcPr>
            <w:tcW w:type="dxa" w:w="2880"/>
          </w:tcPr>
          <w:p>
            <w:r>
              <w:t>남성 비중 높음</w:t>
            </w:r>
          </w:p>
        </w:tc>
        <w:tc>
          <w:tcPr>
            <w:tcW w:type="dxa" w:w="2880"/>
          </w:tcPr>
          <w:p>
            <w:r>
              <w:t>실용성 중심 혜택 불만족 가능성</w:t>
            </w:r>
          </w:p>
        </w:tc>
        <w:tc>
          <w:tcPr>
            <w:tcW w:type="dxa" w:w="2880"/>
          </w:tcPr>
          <w:p>
            <w:r>
              <w:t>캐시백 중심 실용 혜택 강화</w:t>
            </w:r>
          </w:p>
        </w:tc>
      </w:tr>
      <w:tr>
        <w:tc>
          <w:tcPr>
            <w:tcW w:type="dxa" w:w="2880"/>
          </w:tcPr>
          <w:p>
            <w:r>
              <w:t>소득 $40K~$80K 집중</w:t>
            </w:r>
          </w:p>
        </w:tc>
        <w:tc>
          <w:tcPr>
            <w:tcW w:type="dxa" w:w="2880"/>
          </w:tcPr>
          <w:p>
            <w:r>
              <w:t>혜택 민감도 높은 소득 구간</w:t>
            </w:r>
          </w:p>
        </w:tc>
        <w:tc>
          <w:tcPr>
            <w:tcW w:type="dxa" w:w="2880"/>
          </w:tcPr>
          <w:p>
            <w:r>
              <w:t>소득 구간별 맞춤 포인트/할인 제공</w:t>
            </w:r>
          </w:p>
        </w:tc>
      </w:tr>
    </w:tbl>
    <w:p/>
    <w:p>
      <w:pPr>
        <w:pStyle w:val="Heading2"/>
      </w:pPr>
      <w:r>
        <w:t>기대효과 (업계 평균 이탈 방어 성공률 기준)</w:t>
      </w:r>
    </w:p>
    <w:tbl>
      <w:tblPr>
        <w:tblStyle w:val="TableGrid"/>
        <w:tblW w:type="auto" w:w="0"/>
        <w:tblLook w:firstColumn="1" w:firstRow="1" w:lastColumn="0" w:lastRow="0" w:noHBand="0" w:noVBand="1" w:val="04A0"/>
      </w:tblPr>
      <w:tblGrid>
        <w:gridCol w:w="2880"/>
        <w:gridCol w:w="2880"/>
        <w:gridCol w:w="2880"/>
      </w:tblGrid>
      <w:tr>
        <w:tc>
          <w:tcPr>
            <w:tcW w:type="dxa" w:w="2880"/>
          </w:tcPr>
          <w:p>
            <w:r>
              <w:t>시나리오</w:t>
            </w:r>
          </w:p>
        </w:tc>
        <w:tc>
          <w:tcPr>
            <w:tcW w:type="dxa" w:w="2880"/>
          </w:tcPr>
          <w:p>
            <w:r>
              <w:t>유지 고객 수</w:t>
            </w:r>
          </w:p>
        </w:tc>
        <w:tc>
          <w:tcPr>
            <w:tcW w:type="dxa" w:w="2880"/>
          </w:tcPr>
          <w:p>
            <w:r>
              <w:t>연간 거래액 보존</w:t>
            </w:r>
          </w:p>
        </w:tc>
      </w:tr>
      <w:tr>
        <w:tc>
          <w:tcPr>
            <w:tcW w:type="dxa" w:w="2880"/>
          </w:tcPr>
          <w:p>
            <w:r>
              <w:t>보수적 (20%)</w:t>
            </w:r>
          </w:p>
        </w:tc>
        <w:tc>
          <w:tcPr>
            <w:tcW w:type="dxa" w:w="2880"/>
          </w:tcPr>
          <w:p>
            <w:r>
              <w:t>82명</w:t>
            </w:r>
          </w:p>
        </w:tc>
        <w:tc>
          <w:tcPr>
            <w:tcW w:type="dxa" w:w="2880"/>
          </w:tcPr>
          <w:p>
            <w:r>
              <w:t>$212,727</w:t>
            </w:r>
          </w:p>
        </w:tc>
      </w:tr>
      <w:tr>
        <w:tc>
          <w:tcPr>
            <w:tcW w:type="dxa" w:w="2880"/>
          </w:tcPr>
          <w:p>
            <w:r>
              <w:t>중간 (25%)</w:t>
            </w:r>
          </w:p>
        </w:tc>
        <w:tc>
          <w:tcPr>
            <w:tcW w:type="dxa" w:w="2880"/>
          </w:tcPr>
          <w:p>
            <w:r>
              <w:t>102명</w:t>
            </w:r>
          </w:p>
        </w:tc>
        <w:tc>
          <w:tcPr>
            <w:tcW w:type="dxa" w:w="2880"/>
          </w:tcPr>
          <w:p>
            <w:r>
              <w:t>$264,612</w:t>
            </w:r>
          </w:p>
        </w:tc>
      </w:tr>
      <w:tr>
        <w:tc>
          <w:tcPr>
            <w:tcW w:type="dxa" w:w="2880"/>
          </w:tcPr>
          <w:p>
            <w:r>
              <w:t>낙관적 (30%)</w:t>
            </w:r>
          </w:p>
        </w:tc>
        <w:tc>
          <w:tcPr>
            <w:tcW w:type="dxa" w:w="2880"/>
          </w:tcPr>
          <w:p>
            <w:r>
              <w:t>122명</w:t>
            </w:r>
          </w:p>
        </w:tc>
        <w:tc>
          <w:tcPr>
            <w:tcW w:type="dxa" w:w="2880"/>
          </w:tcPr>
          <w:p>
            <w:r>
              <w:t>$316,496</w:t>
            </w:r>
          </w:p>
        </w:tc>
      </w:tr>
    </w:tbl>
    <w:p/>
    <w:p>
      <w:r>
        <w:t>※ 거래액 기준이며 실제 수익은 카드사 수수료율(1~2%) 적용 시 산출 가능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