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Kaveri Loom Apparel - Travel and Expense Policy (fictional sample)</w:t>
      </w:r>
    </w:p>
    <w:p>
      <w:r>
        <w:rPr>
          <w:sz w:val="22"/>
        </w:rPr>
        <w:t>This policy applies to all employees who travel for company work.</w:t>
      </w:r>
    </w:p>
    <w:p>
      <w:r>
        <w:rPr>
          <w:sz w:val="22"/>
        </w:rPr>
        <w:t>Employees travelling within India are reimbursed for economy-class air travel or AC 2-tier train travel.</w:t>
      </w:r>
    </w:p>
    <w:p>
      <w:r>
        <w:rPr>
          <w:sz w:val="22"/>
        </w:rPr>
        <w:t>The daily allowance for meals during domestic travel is INR 1,500.</w:t>
      </w:r>
    </w:p>
    <w:p>
      <w:r>
        <w:rPr>
          <w:sz w:val="22"/>
        </w:rPr>
        <w:t>Hotel stays are reimbursed up to INR 6,000 per night in metro cities and INR 4,000 per night elsewhere.</w:t>
      </w:r>
    </w:p>
    <w:p>
      <w:r>
        <w:rPr>
          <w:sz w:val="22"/>
        </w:rPr>
        <w:t>International travel must be approved by the Chief Financial Officer at least 21 days before departure.</w:t>
      </w:r>
    </w:p>
    <w:p>
      <w:r>
        <w:rPr>
          <w:sz w:val="22"/>
        </w:rPr>
        <w:t>Expense claims must be submitted in the ERP system within 15 days of returning from a trip.</w:t>
      </w:r>
    </w:p>
    <w:p>
      <w:r>
        <w:rPr>
          <w:sz w:val="22"/>
        </w:rPr>
        <w:t>Claims without original receipts are not reimbursed, except for local auto-rickshaw fares below INR 200.</w:t>
      </w:r>
    </w:p>
    <w:p>
      <w:r>
        <w:rPr>
          <w:sz w:val="22"/>
        </w:rPr>
        <w:t>This is a fictional sample document created for testing; Kaveri Loom is not a real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