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3E50D">
      <w:pPr>
        <w:spacing w:line="400" w:lineRule="exact"/>
        <w:jc w:val="center"/>
        <w:rPr>
          <w:rFonts w:ascii="黑体" w:eastAsia="黑体" w:cs="Times New Roman"/>
          <w:color w:val="000000"/>
          <w:sz w:val="36"/>
          <w:szCs w:val="36"/>
        </w:rPr>
      </w:pPr>
      <w:r>
        <w:rPr>
          <w:rFonts w:hint="eastAsia" w:ascii="黑体" w:eastAsia="黑体" w:cs="Times New Roman"/>
          <w:color w:val="000000"/>
          <w:sz w:val="36"/>
          <w:szCs w:val="36"/>
        </w:rPr>
        <w:t>温室轮式喷药机器人设计与实现</w:t>
      </w:r>
    </w:p>
    <w:p w14:paraId="3076E716">
      <w:pPr>
        <w:spacing w:line="400" w:lineRule="exact"/>
        <w:jc w:val="center"/>
        <w:rPr>
          <w:rFonts w:ascii="黑体" w:eastAsia="黑体" w:cs="Times New Roman"/>
          <w:color w:val="000000"/>
          <w:sz w:val="36"/>
          <w:szCs w:val="36"/>
        </w:rPr>
      </w:pPr>
      <w:r>
        <w:rPr>
          <w:rFonts w:ascii="黑体" w:eastAsia="黑体" w:cs="Times New Roman"/>
          <w:color w:val="000000"/>
          <w:sz w:val="36"/>
          <w:szCs w:val="36"/>
        </w:rPr>
        <w:t>第1章绪论</w:t>
      </w:r>
    </w:p>
    <w:p w14:paraId="5C8BF5C8">
      <w:pPr>
        <w:pStyle w:val="3"/>
        <w:keepNext/>
        <w:keepLines/>
        <w:spacing w:before="260" w:beforeAutospacing="0" w:after="260" w:afterAutospacing="0" w:line="400" w:lineRule="exact"/>
        <w:jc w:val="center"/>
        <w:rPr>
          <w:rFonts w:hint="default" w:ascii="Times New Roman" w:hAnsi="Times New Roman" w:eastAsia="黑体"/>
          <w:b w:val="0"/>
          <w:kern w:val="2"/>
          <w:sz w:val="30"/>
          <w:szCs w:val="32"/>
        </w:rPr>
      </w:pPr>
      <w:r>
        <w:rPr>
          <w:rFonts w:hint="default" w:ascii="Times New Roman" w:hAnsi="Times New Roman" w:eastAsia="黑体"/>
          <w:b w:val="0"/>
          <w:kern w:val="2"/>
          <w:sz w:val="30"/>
          <w:szCs w:val="32"/>
        </w:rPr>
        <w:t>1.1毕业设计背景</w:t>
      </w:r>
    </w:p>
    <w:p w14:paraId="0060E991">
      <w:pPr>
        <w:pStyle w:val="6"/>
        <w:ind w:firstLine="420"/>
        <w:rPr>
          <w:lang w:eastAsia="zh-CN"/>
        </w:rPr>
      </w:pPr>
      <w:r>
        <w:rPr>
          <w:lang w:eastAsia="zh-CN"/>
        </w:rPr>
        <w:t>作为支撑我国国民经济行稳致远的基础性支柱产业，农业的持续健康发展既直接关系国家粮食安全根基的稳固与农民收入的持续增长，更是驱动乡村振兴战略深度推进、实现农业现代化转型跨越的核心力量</w:t>
      </w:r>
      <w:r>
        <w:rPr>
          <w:vertAlign w:val="superscript"/>
          <w:lang w:eastAsia="zh-CN"/>
        </w:rPr>
        <w:fldChar w:fldCharType="begin"/>
      </w:r>
      <w:r>
        <w:rPr>
          <w:vertAlign w:val="superscript"/>
          <w:lang w:eastAsia="zh-CN"/>
        </w:rPr>
        <w:instrText xml:space="preserve"> REF _Ref5677 \r \h </w:instrText>
      </w:r>
      <w:r>
        <w:rPr>
          <w:vertAlign w:val="superscript"/>
          <w:lang w:eastAsia="zh-CN"/>
        </w:rPr>
        <w:fldChar w:fldCharType="separate"/>
      </w:r>
      <w:r>
        <w:rPr>
          <w:vertAlign w:val="superscript"/>
          <w:lang w:eastAsia="zh-CN"/>
        </w:rPr>
        <w:t>[1]</w:t>
      </w:r>
      <w:r>
        <w:rPr>
          <w:vertAlign w:val="superscript"/>
          <w:lang w:eastAsia="zh-CN"/>
        </w:rPr>
        <w:fldChar w:fldCharType="end"/>
      </w:r>
      <w:r>
        <w:rPr>
          <w:rFonts w:hint="eastAsia"/>
          <w:lang w:eastAsia="zh-CN"/>
        </w:rPr>
        <w:t>。</w:t>
      </w:r>
      <w:r>
        <w:rPr>
          <w:lang w:eastAsia="zh-CN"/>
        </w:rPr>
        <w:t>在农业生产全链条中，病虫害防治始终是制约作物产量提升与品质优化的关键环节，联合国粮农组织最新统计数据显示，全球每年因植物病虫害导致的农作物直接经济损失超2200亿美元，而我国每年仅粮食作物因病虫害造成的损失就达1500亿千克，综合经济损失高达5000亿元人民币，对农业生产的可持续性构成严重威胁</w:t>
      </w:r>
      <w:r>
        <w:rPr>
          <w:vertAlign w:val="superscript"/>
          <w:lang w:eastAsia="zh-CN"/>
        </w:rPr>
        <w:fldChar w:fldCharType="begin"/>
      </w:r>
      <w:r>
        <w:rPr>
          <w:vertAlign w:val="superscript"/>
          <w:lang w:eastAsia="zh-CN"/>
        </w:rPr>
        <w:instrText xml:space="preserve"> REF _Ref5749 \r \h </w:instrText>
      </w:r>
      <w:r>
        <w:rPr>
          <w:vertAlign w:val="superscript"/>
          <w:lang w:eastAsia="zh-CN"/>
        </w:rPr>
        <w:fldChar w:fldCharType="separate"/>
      </w:r>
      <w:r>
        <w:rPr>
          <w:vertAlign w:val="superscript"/>
          <w:lang w:eastAsia="zh-CN"/>
        </w:rPr>
        <w:t>[2]</w:t>
      </w:r>
      <w:r>
        <w:rPr>
          <w:vertAlign w:val="superscript"/>
          <w:lang w:eastAsia="zh-CN"/>
        </w:rPr>
        <w:fldChar w:fldCharType="end"/>
      </w:r>
      <w:r>
        <w:rPr>
          <w:lang w:eastAsia="zh-CN"/>
        </w:rPr>
        <w:t>。设施农业作为现代农业的核心组成部分，凭借其可控化的生长环境调控优势，在保障农产品周年供应、提升资源利用效率等方面发挥着不可替代的作用，据权威数据统计，我国设施农业面积已突破4000万亩，占全球设施农业总面积的80%以上，规模位居世界首位</w:t>
      </w:r>
      <w:r>
        <w:rPr>
          <w:vertAlign w:val="superscript"/>
          <w:lang w:eastAsia="zh-CN"/>
        </w:rPr>
        <w:fldChar w:fldCharType="begin"/>
      </w:r>
      <w:r>
        <w:rPr>
          <w:vertAlign w:val="superscript"/>
          <w:lang w:eastAsia="zh-CN"/>
        </w:rPr>
        <w:instrText xml:space="preserve"> REF _Ref5772 \r \h </w:instrText>
      </w:r>
      <w:r>
        <w:rPr>
          <w:vertAlign w:val="superscript"/>
          <w:lang w:eastAsia="zh-CN"/>
        </w:rPr>
        <w:fldChar w:fldCharType="separate"/>
      </w:r>
      <w:r>
        <w:rPr>
          <w:vertAlign w:val="superscript"/>
          <w:lang w:eastAsia="zh-CN"/>
        </w:rPr>
        <w:t>[3]</w:t>
      </w:r>
      <w:r>
        <w:rPr>
          <w:vertAlign w:val="superscript"/>
          <w:lang w:eastAsia="zh-CN"/>
        </w:rPr>
        <w:fldChar w:fldCharType="end"/>
      </w:r>
      <w:r>
        <w:rPr>
          <w:lang w:eastAsia="zh-CN"/>
        </w:rPr>
        <w:t>。与传统大田种植环境相比，温室大棚内部空间密闭、作物种植密度大、温湿度条件恒定且适宜病虫害繁殖，使得病虫害呈现出发生周期短、蔓延速度快、防控难度大的显著特征，对植保作业的高效性、精准性和安全性提出了更为严苛的要求</w:t>
      </w:r>
      <w:r>
        <w:rPr>
          <w:vertAlign w:val="superscript"/>
          <w:lang w:eastAsia="zh-CN"/>
        </w:rPr>
        <w:fldChar w:fldCharType="begin"/>
      </w:r>
      <w:r>
        <w:rPr>
          <w:vertAlign w:val="superscript"/>
          <w:lang w:eastAsia="zh-CN"/>
        </w:rPr>
        <w:instrText xml:space="preserve"> REF _Ref5795 \r \h </w:instrText>
      </w:r>
      <w:r>
        <w:rPr>
          <w:vertAlign w:val="superscript"/>
          <w:lang w:eastAsia="zh-CN"/>
        </w:rPr>
        <w:fldChar w:fldCharType="separate"/>
      </w:r>
      <w:r>
        <w:rPr>
          <w:vertAlign w:val="superscript"/>
          <w:lang w:eastAsia="zh-CN"/>
        </w:rPr>
        <w:t>[4]</w:t>
      </w:r>
      <w:r>
        <w:rPr>
          <w:vertAlign w:val="superscript"/>
          <w:lang w:eastAsia="zh-CN"/>
        </w:rPr>
        <w:fldChar w:fldCharType="end"/>
      </w:r>
      <w:r>
        <w:rPr>
          <w:lang w:eastAsia="zh-CN"/>
        </w:rPr>
        <w:t>。</w:t>
      </w:r>
    </w:p>
    <w:p w14:paraId="20ED0AB0">
      <w:pPr>
        <w:pStyle w:val="6"/>
        <w:ind w:firstLine="420"/>
        <w:rPr>
          <w:lang w:eastAsia="zh-CN"/>
        </w:rPr>
      </w:pPr>
      <w:r>
        <w:rPr>
          <w:lang w:eastAsia="zh-CN"/>
        </w:rPr>
        <w:t>当前我国温室大棚病虫害化学防治仍以传统人工背负式喷雾、手动喷施为主要方式，整体作业模式粗放、自动化水平偏低，存在诸多难以通过人工改进解决的结构性弊端。人工喷药方式下农药利用率普遍偏低，由于人工操作的主观性强、雾化效果不稳定，极易出现漏喷、重喷、药液沉积不均等问题，相关研究表明我国传统人工施药的农药利用率仅为10%—30%，大量未被作物吸收的农药不仅造成资源浪费，还会渗入土壤、污染水体，破坏农田生态平衡</w:t>
      </w:r>
      <w:r>
        <w:rPr>
          <w:lang w:eastAsia="zh-CN"/>
        </w:rPr>
        <w:fldChar w:fldCharType="begin"/>
      </w:r>
      <w:r>
        <w:rPr>
          <w:lang w:eastAsia="zh-CN"/>
        </w:rPr>
        <w:instrText xml:space="preserve"> REF _Ref5821 \r \h </w:instrText>
      </w:r>
      <w:r>
        <w:rPr>
          <w:lang w:eastAsia="zh-CN"/>
        </w:rPr>
        <w:fldChar w:fldCharType="separate"/>
      </w:r>
      <w:r>
        <w:rPr>
          <w:lang w:eastAsia="zh-CN"/>
        </w:rPr>
        <w:t>[5]</w:t>
      </w:r>
      <w:r>
        <w:rPr>
          <w:lang w:eastAsia="zh-CN"/>
        </w:rPr>
        <w:fldChar w:fldCharType="end"/>
      </w:r>
      <w:r>
        <w:rPr>
          <w:lang w:eastAsia="zh-CN"/>
        </w:rPr>
        <w:t>。同时，人工喷药存在极高的人身健康安全风险，温室大棚内高温高湿、通风条件差的环境特点，会导致农药雾滴与挥发蒸汽长时间积聚，操作人员长期直接接触易引发急慢性农药中毒，世界卫生组织（WHO）研究报告指出，全球每年约发生300万农药中毒病例，其中温室大棚内施药作业因环境特殊性成为中毒高发场景</w:t>
      </w:r>
      <w:r>
        <w:rPr>
          <w:lang w:eastAsia="zh-CN"/>
        </w:rPr>
        <w:fldChar w:fldCharType="begin"/>
      </w:r>
      <w:r>
        <w:rPr>
          <w:lang w:eastAsia="zh-CN"/>
        </w:rPr>
        <w:instrText xml:space="preserve"> REF _Ref5857 \r \h </w:instrText>
      </w:r>
      <w:r>
        <w:rPr>
          <w:lang w:eastAsia="zh-CN"/>
        </w:rPr>
        <w:fldChar w:fldCharType="separate"/>
      </w:r>
      <w:r>
        <w:rPr>
          <w:lang w:eastAsia="zh-CN"/>
        </w:rPr>
        <w:t>[6]</w:t>
      </w:r>
      <w:r>
        <w:rPr>
          <w:lang w:eastAsia="zh-CN"/>
        </w:rPr>
        <w:fldChar w:fldCharType="end"/>
      </w:r>
      <w:r>
        <w:rPr>
          <w:lang w:eastAsia="zh-CN"/>
        </w:rPr>
        <w:t>。此外，随着我国城镇化进程持续推进，农村青壮年劳动力大量外流，农业从业人员老龄化问题日益突出</w:t>
      </w:r>
      <w:r>
        <w:rPr>
          <w:rFonts w:hint="eastAsia"/>
          <w:lang w:eastAsia="zh-CN"/>
        </w:rPr>
        <w:t>，根据相关调研数据</w:t>
      </w:r>
      <w:r>
        <w:rPr>
          <w:lang w:eastAsia="zh-CN"/>
        </w:rPr>
        <w:t>，我国农业从业人员平均年龄已超过55岁，高强度、高风险、环境恶劣的温室喷药作业正面临用工成本攀升、“无人可用、无人愿干”的现实困境，劳动力短缺已成为制约设施植保作业规模化、常态化开展的重要瓶颈</w:t>
      </w:r>
      <w:r>
        <w:rPr>
          <w:vertAlign w:val="superscript"/>
          <w:lang w:eastAsia="zh-CN"/>
        </w:rPr>
        <w:fldChar w:fldCharType="begin"/>
      </w:r>
      <w:r>
        <w:rPr>
          <w:vertAlign w:val="superscript"/>
          <w:lang w:eastAsia="zh-CN"/>
        </w:rPr>
        <w:instrText xml:space="preserve"> REF _Ref5880 \r \h </w:instrText>
      </w:r>
      <w:r>
        <w:rPr>
          <w:vertAlign w:val="superscript"/>
          <w:lang w:eastAsia="zh-CN"/>
        </w:rPr>
        <w:fldChar w:fldCharType="separate"/>
      </w:r>
      <w:r>
        <w:rPr>
          <w:vertAlign w:val="superscript"/>
          <w:lang w:eastAsia="zh-CN"/>
        </w:rPr>
        <w:t>[7]</w:t>
      </w:r>
      <w:r>
        <w:rPr>
          <w:vertAlign w:val="superscript"/>
          <w:lang w:eastAsia="zh-CN"/>
        </w:rPr>
        <w:fldChar w:fldCharType="end"/>
      </w:r>
      <w:r>
        <w:rPr>
          <w:lang w:eastAsia="zh-CN"/>
        </w:rPr>
        <w:t>。</w:t>
      </w:r>
    </w:p>
    <w:p w14:paraId="40BFBF75">
      <w:pPr>
        <w:pStyle w:val="6"/>
        <w:ind w:firstLine="420"/>
        <w:rPr>
          <w:lang w:eastAsia="zh-CN"/>
        </w:rPr>
      </w:pPr>
      <w:r>
        <w:rPr>
          <w:lang w:eastAsia="zh-CN"/>
        </w:rPr>
        <w:t>在农业自动化装备发展过程中，履带式喷药机器人虽在复杂地形适应性方面具有一定优势，但轮式结构凭借其运动灵活、转向便捷、能耗较低、维护成本低廉以及对温室大棚内部平整作业通道的高适配性等特点，更符合温室环境下精细化作业的实际需求</w:t>
      </w:r>
      <w:r>
        <w:rPr>
          <w:vertAlign w:val="superscript"/>
          <w:lang w:eastAsia="zh-CN"/>
        </w:rPr>
        <w:fldChar w:fldCharType="begin"/>
      </w:r>
      <w:r>
        <w:rPr>
          <w:vertAlign w:val="superscript"/>
          <w:lang w:eastAsia="zh-CN"/>
        </w:rPr>
        <w:instrText xml:space="preserve"> REF _Ref5903 \r \h </w:instrText>
      </w:r>
      <w:r>
        <w:rPr>
          <w:vertAlign w:val="superscript"/>
          <w:lang w:eastAsia="zh-CN"/>
        </w:rPr>
        <w:fldChar w:fldCharType="separate"/>
      </w:r>
      <w:r>
        <w:rPr>
          <w:vertAlign w:val="superscript"/>
          <w:lang w:eastAsia="zh-CN"/>
        </w:rPr>
        <w:t>[8]</w:t>
      </w:r>
      <w:r>
        <w:rPr>
          <w:vertAlign w:val="superscript"/>
          <w:lang w:eastAsia="zh-CN"/>
        </w:rPr>
        <w:fldChar w:fldCharType="end"/>
      </w:r>
      <w:r>
        <w:rPr>
          <w:lang w:eastAsia="zh-CN"/>
        </w:rPr>
        <w:t>。现有轮式喷药装备普遍存在喷药覆盖不全面、无法灵活避让棚内立柱等障碍物、作业路径规划智能化不足等问题，难以满足温室大棚多样化的种植布局与精准植保需求</w:t>
      </w:r>
      <w:r>
        <w:rPr>
          <w:vertAlign w:val="superscript"/>
          <w:lang w:eastAsia="zh-CN"/>
        </w:rPr>
        <w:fldChar w:fldCharType="begin"/>
      </w:r>
      <w:r>
        <w:rPr>
          <w:vertAlign w:val="superscript"/>
          <w:lang w:eastAsia="zh-CN"/>
        </w:rPr>
        <w:instrText xml:space="preserve"> REF _Ref5916 \r \h </w:instrText>
      </w:r>
      <w:r>
        <w:rPr>
          <w:vertAlign w:val="superscript"/>
          <w:lang w:eastAsia="zh-CN"/>
        </w:rPr>
        <w:fldChar w:fldCharType="separate"/>
      </w:r>
      <w:r>
        <w:rPr>
          <w:vertAlign w:val="superscript"/>
          <w:lang w:eastAsia="zh-CN"/>
        </w:rPr>
        <w:t>[9]</w:t>
      </w:r>
      <w:r>
        <w:rPr>
          <w:vertAlign w:val="superscript"/>
          <w:lang w:eastAsia="zh-CN"/>
        </w:rPr>
        <w:fldChar w:fldCharType="end"/>
      </w:r>
      <w:r>
        <w:rPr>
          <w:lang w:eastAsia="zh-CN"/>
        </w:rPr>
        <w:t>。在此背景下，加快研发一款结构紧凑、运行稳定、作业高效且适配温室大棚复杂作业环境的轮式自动化喷药机器人，推动温室植保作业从传统人工模式向机械化、自动化、智能化转型，已成为提高病虫害防治效率、降低农药使用量、保障作业人员安全、推动我国现代设施农业高质量发展与智慧农业转型升级的必然选择与重要方向</w:t>
      </w:r>
      <w:r>
        <w:rPr>
          <w:vertAlign w:val="superscript"/>
          <w:lang w:eastAsia="zh-CN"/>
        </w:rPr>
        <w:fldChar w:fldCharType="begin"/>
      </w:r>
      <w:r>
        <w:rPr>
          <w:vertAlign w:val="superscript"/>
          <w:lang w:eastAsia="zh-CN"/>
        </w:rPr>
        <w:instrText xml:space="preserve"> REF _Ref5942 \r \h </w:instrText>
      </w:r>
      <w:r>
        <w:rPr>
          <w:vertAlign w:val="superscript"/>
          <w:lang w:eastAsia="zh-CN"/>
        </w:rPr>
        <w:fldChar w:fldCharType="separate"/>
      </w:r>
      <w:r>
        <w:rPr>
          <w:vertAlign w:val="superscript"/>
          <w:lang w:eastAsia="zh-CN"/>
        </w:rPr>
        <w:t>[10]</w:t>
      </w:r>
      <w:r>
        <w:rPr>
          <w:vertAlign w:val="superscript"/>
          <w:lang w:eastAsia="zh-CN"/>
        </w:rPr>
        <w:fldChar w:fldCharType="end"/>
      </w:r>
      <w:r>
        <w:rPr>
          <w:lang w:eastAsia="zh-CN"/>
        </w:rPr>
        <w:t>。</w:t>
      </w:r>
    </w:p>
    <w:p w14:paraId="1720B23D">
      <w:pPr>
        <w:pStyle w:val="6"/>
        <w:ind w:firstLine="420"/>
        <w:rPr>
          <w:lang w:eastAsia="zh-CN"/>
        </w:rPr>
      </w:pPr>
    </w:p>
    <w:p w14:paraId="5C62939E">
      <w:pPr>
        <w:pStyle w:val="3"/>
        <w:keepNext/>
        <w:keepLines/>
        <w:spacing w:before="260" w:beforeAutospacing="0" w:after="260" w:afterAutospacing="0" w:line="400" w:lineRule="exact"/>
        <w:jc w:val="center"/>
        <w:rPr>
          <w:rFonts w:hint="default" w:ascii="Times New Roman" w:hAnsi="Times New Roman" w:eastAsia="黑体"/>
          <w:b w:val="0"/>
          <w:kern w:val="2"/>
          <w:sz w:val="30"/>
          <w:szCs w:val="32"/>
        </w:rPr>
      </w:pPr>
      <w:r>
        <w:rPr>
          <w:rFonts w:hint="default" w:ascii="Times New Roman" w:hAnsi="Times New Roman" w:eastAsia="黑体"/>
          <w:b w:val="0"/>
          <w:kern w:val="2"/>
          <w:sz w:val="30"/>
          <w:szCs w:val="32"/>
        </w:rPr>
        <w:t>1.2国内外研究现状</w:t>
      </w:r>
    </w:p>
    <w:p w14:paraId="4CC5FCD9">
      <w:pPr>
        <w:pStyle w:val="4"/>
        <w:keepNext/>
        <w:keepLines/>
        <w:spacing w:before="156" w:beforeAutospacing="0" w:after="156" w:afterLines="50" w:afterAutospacing="0" w:line="400" w:lineRule="exact"/>
        <w:jc w:val="both"/>
        <w:rPr>
          <w:rFonts w:hint="default" w:ascii="Times New Roman" w:hAnsi="Times New Roman"/>
          <w:b w:val="0"/>
          <w:bCs w:val="0"/>
          <w:kern w:val="2"/>
          <w:sz w:val="28"/>
          <w:szCs w:val="28"/>
        </w:rPr>
      </w:pPr>
      <w:r>
        <w:rPr>
          <w:rFonts w:hint="default" w:ascii="Times New Roman" w:hAnsi="Times New Roman"/>
          <w:b w:val="0"/>
          <w:bCs w:val="0"/>
          <w:kern w:val="2"/>
          <w:sz w:val="28"/>
          <w:szCs w:val="28"/>
        </w:rPr>
        <w:t>1.2.1国内研究现状</w:t>
      </w:r>
    </w:p>
    <w:p w14:paraId="6281F29D">
      <w:pPr>
        <w:pStyle w:val="6"/>
        <w:ind w:firstLine="420"/>
        <w:rPr>
          <w:lang w:eastAsia="zh-CN"/>
        </w:rPr>
      </w:pPr>
      <w:r>
        <w:rPr>
          <w:lang w:eastAsia="zh-CN"/>
        </w:rPr>
        <w:t>我国在温室喷药轮式机器人领域的研究依托农业现代化战略推进与产学研深度融合，近年来聚焦温室封闭空间作业需求，在智能化控制、场景适配性优化等方面实现快速突破，逐步缩小与国际先进水平的差距</w:t>
      </w:r>
      <w:r>
        <w:rPr>
          <w:vertAlign w:val="superscript"/>
          <w:lang w:eastAsia="zh-CN"/>
        </w:rPr>
        <w:fldChar w:fldCharType="begin"/>
      </w:r>
      <w:r>
        <w:rPr>
          <w:vertAlign w:val="superscript"/>
          <w:lang w:eastAsia="zh-CN"/>
        </w:rPr>
        <w:instrText xml:space="preserve"> REF _Ref11748 \r \h </w:instrText>
      </w:r>
      <w:r>
        <w:rPr>
          <w:vertAlign w:val="superscript"/>
          <w:lang w:eastAsia="zh-CN"/>
        </w:rPr>
        <w:fldChar w:fldCharType="separate"/>
      </w:r>
      <w:r>
        <w:rPr>
          <w:vertAlign w:val="superscript"/>
          <w:lang w:eastAsia="zh-CN"/>
        </w:rPr>
        <w:t>[11]</w:t>
      </w:r>
      <w:r>
        <w:rPr>
          <w:vertAlign w:val="superscript"/>
          <w:lang w:eastAsia="zh-CN"/>
        </w:rPr>
        <w:fldChar w:fldCharType="end"/>
      </w:r>
      <w:r>
        <w:rPr>
          <w:lang w:eastAsia="zh-CN"/>
        </w:rPr>
        <w:t>。在精准对靶与喷雾系统升级方面，2017年李龙龙、何雄奎等研发的基于变量喷雾的果园自动仿形喷雾机，创新采用激光扫描仪探测作物冠层体积，通过PWM信号动态调整风速与喷头流量，为轮式喷药机器人的精准喷雾技术提供了核心思路，不过该系统因算法复杂存在数据处理延迟问题，影响了实际作业的实时性</w:t>
      </w:r>
      <w:r>
        <w:rPr>
          <w:vertAlign w:val="superscript"/>
          <w:lang w:eastAsia="zh-CN"/>
        </w:rPr>
        <w:fldChar w:fldCharType="begin"/>
      </w:r>
      <w:r>
        <w:rPr>
          <w:vertAlign w:val="superscript"/>
          <w:lang w:eastAsia="zh-CN"/>
        </w:rPr>
        <w:instrText xml:space="preserve"> REF _Ref11791 \r \h </w:instrText>
      </w:r>
      <w:r>
        <w:rPr>
          <w:vertAlign w:val="superscript"/>
          <w:lang w:eastAsia="zh-CN"/>
        </w:rPr>
        <w:fldChar w:fldCharType="separate"/>
      </w:r>
      <w:r>
        <w:rPr>
          <w:vertAlign w:val="superscript"/>
          <w:lang w:eastAsia="zh-CN"/>
        </w:rPr>
        <w:t>[12]</w:t>
      </w:r>
      <w:r>
        <w:rPr>
          <w:vertAlign w:val="superscript"/>
          <w:lang w:eastAsia="zh-CN"/>
        </w:rPr>
        <w:fldChar w:fldCharType="end"/>
      </w:r>
      <w:r>
        <w:rPr>
          <w:lang w:eastAsia="zh-CN"/>
        </w:rPr>
        <w:t>。2019年，马池团队针对丘陵山地柑橘果园研发的双向多模式自动喷药机，集成超声波传感器与激光二极管阵列，可根据作物冠层高度与距离动态调整喷药角度，实现垂直、45°及水平多模式喷雾，其模块化设计理念为温室轮式机器人的喷药机构优化提供了重要参考，尽管该设备未完全脱离人工干预，但为后续自动化升级奠定了基础</w:t>
      </w:r>
      <w:r>
        <w:rPr>
          <w:vertAlign w:val="superscript"/>
          <w:lang w:eastAsia="zh-CN"/>
        </w:rPr>
        <w:fldChar w:fldCharType="begin"/>
      </w:r>
      <w:r>
        <w:rPr>
          <w:vertAlign w:val="superscript"/>
          <w:lang w:eastAsia="zh-CN"/>
        </w:rPr>
        <w:instrText xml:space="preserve"> REF _Ref11817 \r \h </w:instrText>
      </w:r>
      <w:r>
        <w:rPr>
          <w:vertAlign w:val="superscript"/>
          <w:lang w:eastAsia="zh-CN"/>
        </w:rPr>
        <w:fldChar w:fldCharType="separate"/>
      </w:r>
      <w:r>
        <w:rPr>
          <w:vertAlign w:val="superscript"/>
          <w:lang w:eastAsia="zh-CN"/>
        </w:rPr>
        <w:t>[13]</w:t>
      </w:r>
      <w:r>
        <w:rPr>
          <w:vertAlign w:val="superscript"/>
          <w:lang w:eastAsia="zh-CN"/>
        </w:rPr>
        <w:fldChar w:fldCharType="end"/>
      </w:r>
      <w:r>
        <w:rPr>
          <w:lang w:eastAsia="zh-CN"/>
        </w:rPr>
        <w:t>。</w:t>
      </w:r>
    </w:p>
    <w:p w14:paraId="2E454C73">
      <w:pPr>
        <w:pStyle w:val="6"/>
        <w:ind w:firstLine="420"/>
        <w:rPr>
          <w:lang w:eastAsia="zh-CN"/>
        </w:rPr>
      </w:pPr>
      <w:r>
        <w:rPr>
          <w:lang w:eastAsia="zh-CN"/>
        </w:rPr>
        <w:t>在轮式底盘优化与智能化控制方面，国内研究重点突破温室狭窄通道、垂直立柱等环境约束，推动装备向灵活化、自主化发展。2020年，王永恒设计的自走轮式视觉靶向喷药机器人，采用后置后驱三轮移动底盘，融合自主导航技术与机器视觉系统，通过自动转向与刹车机构实现无人化作业，有效降低了劳动力成本，其轮式底盘的轻量化设计与转向灵活性，特别适配温室大棚的空间布局</w:t>
      </w:r>
      <w:r>
        <w:rPr>
          <w:lang w:eastAsia="zh-CN"/>
        </w:rPr>
        <w:fldChar w:fldCharType="begin"/>
      </w:r>
      <w:r>
        <w:rPr>
          <w:lang w:eastAsia="zh-CN"/>
        </w:rPr>
        <w:instrText xml:space="preserve"> REF _Ref11846 \r \h </w:instrText>
      </w:r>
      <w:r>
        <w:rPr>
          <w:lang w:eastAsia="zh-CN"/>
        </w:rPr>
        <w:fldChar w:fldCharType="separate"/>
      </w:r>
      <w:r>
        <w:rPr>
          <w:lang w:eastAsia="zh-CN"/>
        </w:rPr>
        <w:t>[14]</w:t>
      </w:r>
      <w:r>
        <w:rPr>
          <w:lang w:eastAsia="zh-CN"/>
        </w:rPr>
        <w:fldChar w:fldCharType="end"/>
      </w:r>
      <w:r>
        <w:rPr>
          <w:lang w:eastAsia="zh-CN"/>
        </w:rPr>
        <w:t>；同年，初金哲、庄卫东研发的3WPX-1500悬挂式喷药机，创新设计自动退让升降装置与防滴漏系统，可根据温室作物高度灵活调节喷杆位置，其轮式驱动模块的稳定性设计为后续机器人底盘研发提供了技术支撑</w:t>
      </w:r>
      <w:r>
        <w:rPr>
          <w:lang w:eastAsia="zh-CN"/>
        </w:rPr>
        <w:fldChar w:fldCharType="begin"/>
      </w:r>
      <w:r>
        <w:rPr>
          <w:lang w:eastAsia="zh-CN"/>
        </w:rPr>
        <w:instrText xml:space="preserve"> REF _Ref11872 \r \h </w:instrText>
      </w:r>
      <w:r>
        <w:rPr>
          <w:lang w:eastAsia="zh-CN"/>
        </w:rPr>
        <w:fldChar w:fldCharType="separate"/>
      </w:r>
      <w:r>
        <w:rPr>
          <w:vertAlign w:val="superscript"/>
          <w:lang w:eastAsia="zh-CN"/>
        </w:rPr>
        <w:t>[15]</w:t>
      </w:r>
      <w:r>
        <w:rPr>
          <w:lang w:eastAsia="zh-CN"/>
        </w:rPr>
        <w:fldChar w:fldCharType="end"/>
      </w:r>
      <w:r>
        <w:rPr>
          <w:lang w:eastAsia="zh-CN"/>
        </w:rPr>
        <w:t>。2024年，陈可飞等人推出的花卉大棚喷药机器人，基于互联网技术构建远程手机控制系统，轮式驱动底盘与升降喷药模块协同工作，实现了喷药作业的高效自动化，同时通过密封式喷雾设计减少了农药挥发对环境的污染，进一步拓展了轮式喷药机器人在温室场景的应用边界</w:t>
      </w:r>
      <w:r>
        <w:rPr>
          <w:vertAlign w:val="superscript"/>
          <w:lang w:eastAsia="zh-CN"/>
        </w:rPr>
        <w:fldChar w:fldCharType="begin"/>
      </w:r>
      <w:r>
        <w:rPr>
          <w:vertAlign w:val="superscript"/>
          <w:lang w:eastAsia="zh-CN"/>
        </w:rPr>
        <w:instrText xml:space="preserve"> REF _Ref5916 \r \h </w:instrText>
      </w:r>
      <w:r>
        <w:rPr>
          <w:vertAlign w:val="superscript"/>
          <w:lang w:eastAsia="zh-CN"/>
        </w:rPr>
        <w:fldChar w:fldCharType="separate"/>
      </w:r>
      <w:r>
        <w:rPr>
          <w:vertAlign w:val="superscript"/>
          <w:lang w:eastAsia="zh-CN"/>
        </w:rPr>
        <w:t>[9]</w:t>
      </w:r>
      <w:r>
        <w:rPr>
          <w:vertAlign w:val="superscript"/>
          <w:lang w:eastAsia="zh-CN"/>
        </w:rPr>
        <w:fldChar w:fldCharType="end"/>
      </w:r>
      <w:r>
        <w:rPr>
          <w:lang w:eastAsia="zh-CN"/>
        </w:rPr>
        <w:t>。</w:t>
      </w:r>
    </w:p>
    <w:p w14:paraId="3392A255">
      <w:pPr>
        <w:pStyle w:val="6"/>
        <w:ind w:firstLine="420"/>
        <w:rPr>
          <w:lang w:eastAsia="zh-CN"/>
        </w:rPr>
      </w:pPr>
      <w:r>
        <w:rPr>
          <w:lang w:eastAsia="zh-CN"/>
        </w:rPr>
        <w:t>此外，在智能感知与自主导航融合方面，国内研究逐步强化多传感器协同技术的应用。董文杰在2020年的研究中总结了果园喷雾机器人的发展趋势，提出将机器视觉、北斗定位与惯性导航相结合的一体化方案，为温室轮式喷药机器人的自主路径规划提供了理论指导</w:t>
      </w:r>
      <w:r>
        <w:rPr>
          <w:vertAlign w:val="superscript"/>
          <w:lang w:eastAsia="zh-CN"/>
        </w:rPr>
        <w:fldChar w:fldCharType="begin"/>
      </w:r>
      <w:r>
        <w:rPr>
          <w:vertAlign w:val="superscript"/>
          <w:lang w:eastAsia="zh-CN"/>
        </w:rPr>
        <w:instrText xml:space="preserve"> REF _Ref11892 \r \h </w:instrText>
      </w:r>
      <w:r>
        <w:rPr>
          <w:vertAlign w:val="superscript"/>
          <w:lang w:eastAsia="zh-CN"/>
        </w:rPr>
        <w:fldChar w:fldCharType="separate"/>
      </w:r>
      <w:r>
        <w:rPr>
          <w:vertAlign w:val="superscript"/>
          <w:lang w:eastAsia="zh-CN"/>
        </w:rPr>
        <w:t>[16]</w:t>
      </w:r>
      <w:r>
        <w:rPr>
          <w:vertAlign w:val="superscript"/>
          <w:lang w:eastAsia="zh-CN"/>
        </w:rPr>
        <w:fldChar w:fldCharType="end"/>
      </w:r>
      <w:r>
        <w:rPr>
          <w:lang w:eastAsia="zh-CN"/>
        </w:rPr>
        <w:t>；2024年，张红艳、丁海波等设计的基于机器视觉的施药机器人</w:t>
      </w:r>
      <w:r>
        <w:rPr>
          <w:rFonts w:hint="eastAsia"/>
          <w:lang w:eastAsia="zh-CN"/>
        </w:rPr>
        <w:t>如图</w:t>
      </w:r>
      <w:r>
        <w:rPr>
          <w:rFonts w:hint="eastAsia"/>
          <w:color w:val="000000"/>
          <w:szCs w:val="21"/>
          <w:lang w:eastAsia="zh-CN"/>
        </w:rPr>
        <w:t>1</w:t>
      </w:r>
      <w:r>
        <w:rPr>
          <w:color w:val="000000"/>
          <w:szCs w:val="21"/>
          <w:lang w:eastAsia="zh-CN"/>
        </w:rPr>
        <w:t>-</w:t>
      </w:r>
      <w:r>
        <w:rPr>
          <w:rFonts w:hint="eastAsia"/>
          <w:color w:val="000000"/>
          <w:szCs w:val="21"/>
          <w:lang w:eastAsia="zh-CN"/>
        </w:rPr>
        <w:t>1</w:t>
      </w:r>
      <w:r>
        <w:rPr>
          <w:lang w:eastAsia="zh-CN"/>
        </w:rPr>
        <w:t>，通过图像识别技术实现作物病虫害的精准定位，配合轮式底盘的灵活移动，可完成定点靶向喷药，不过其在温室复杂光照条件下的识别精度仍需优化</w:t>
      </w:r>
      <w:r>
        <w:rPr>
          <w:vertAlign w:val="superscript"/>
          <w:lang w:eastAsia="zh-CN"/>
        </w:rPr>
        <w:fldChar w:fldCharType="begin"/>
      </w:r>
      <w:r>
        <w:rPr>
          <w:vertAlign w:val="superscript"/>
          <w:lang w:eastAsia="zh-CN"/>
        </w:rPr>
        <w:instrText xml:space="preserve"> REF _Ref11924 \r \h </w:instrText>
      </w:r>
      <w:r>
        <w:rPr>
          <w:vertAlign w:val="superscript"/>
          <w:lang w:eastAsia="zh-CN"/>
        </w:rPr>
        <w:fldChar w:fldCharType="separate"/>
      </w:r>
      <w:r>
        <w:rPr>
          <w:vertAlign w:val="superscript"/>
          <w:lang w:eastAsia="zh-CN"/>
        </w:rPr>
        <w:t>[17]</w:t>
      </w:r>
      <w:r>
        <w:rPr>
          <w:vertAlign w:val="superscript"/>
          <w:lang w:eastAsia="zh-CN"/>
        </w:rPr>
        <w:fldChar w:fldCharType="end"/>
      </w:r>
      <w:r>
        <w:rPr>
          <w:lang w:eastAsia="zh-CN"/>
        </w:rPr>
        <w:t>。总体来看，国内温室喷药轮式机器人已在精准喷雾、灵活移动等核心功能上取得显著进展，但仍面临核心零部件加工成本较高、复杂环境下传感器稳定性不足、不同类型温室的通用性较差等问题，这些瓶颈制约了装备的规模化推广与产业化应用</w:t>
      </w:r>
      <w:r>
        <w:rPr>
          <w:vertAlign w:val="superscript"/>
          <w:lang w:eastAsia="zh-CN"/>
        </w:rPr>
        <w:fldChar w:fldCharType="begin"/>
      </w:r>
      <w:r>
        <w:rPr>
          <w:vertAlign w:val="superscript"/>
          <w:lang w:eastAsia="zh-CN"/>
        </w:rPr>
        <w:instrText xml:space="preserve"> REF _Ref11947 \r \h </w:instrText>
      </w:r>
      <w:r>
        <w:rPr>
          <w:vertAlign w:val="superscript"/>
          <w:lang w:eastAsia="zh-CN"/>
        </w:rPr>
        <w:fldChar w:fldCharType="separate"/>
      </w:r>
      <w:r>
        <w:rPr>
          <w:vertAlign w:val="superscript"/>
          <w:lang w:eastAsia="zh-CN"/>
        </w:rPr>
        <w:t>[18]</w:t>
      </w:r>
      <w:r>
        <w:rPr>
          <w:vertAlign w:val="superscript"/>
          <w:lang w:eastAsia="zh-CN"/>
        </w:rPr>
        <w:fldChar w:fldCharType="end"/>
      </w:r>
      <w:r>
        <w:rPr>
          <w:lang w:eastAsia="zh-CN"/>
        </w:rPr>
        <w:t>。</w:t>
      </w:r>
    </w:p>
    <w:p w14:paraId="1B6A6675">
      <w:pPr>
        <w:widowControl/>
        <w:adjustRightInd w:val="0"/>
        <w:snapToGrid w:val="0"/>
        <w:spacing w:line="400" w:lineRule="exact"/>
        <w:rPr>
          <w:color w:val="000000"/>
          <w:szCs w:val="21"/>
        </w:rPr>
      </w:pPr>
    </w:p>
    <w:p w14:paraId="5BE9463B">
      <w:pPr>
        <w:widowControl/>
        <w:adjustRightInd w:val="0"/>
        <w:snapToGrid w:val="0"/>
        <w:spacing w:line="400" w:lineRule="exact"/>
        <w:rPr>
          <w:color w:val="000000"/>
          <w:szCs w:val="21"/>
        </w:rPr>
      </w:pPr>
    </w:p>
    <w:p w14:paraId="1F383A53">
      <w:pPr>
        <w:widowControl/>
        <w:adjustRightInd w:val="0"/>
        <w:snapToGrid w:val="0"/>
        <w:spacing w:line="400" w:lineRule="exact"/>
        <w:jc w:val="center"/>
      </w:pPr>
      <w:r>
        <w:drawing>
          <wp:anchor distT="0" distB="0" distL="114300" distR="114300" simplePos="0" relativeHeight="251659264" behindDoc="0" locked="0" layoutInCell="1" allowOverlap="1">
            <wp:simplePos x="0" y="0"/>
            <wp:positionH relativeFrom="column">
              <wp:posOffset>1494790</wp:posOffset>
            </wp:positionH>
            <wp:positionV relativeFrom="paragraph">
              <wp:posOffset>202565</wp:posOffset>
            </wp:positionV>
            <wp:extent cx="2235200" cy="1880870"/>
            <wp:effectExtent l="0" t="0" r="0" b="11430"/>
            <wp:wrapTopAndBottom/>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4"/>
                    <a:stretch>
                      <a:fillRect/>
                    </a:stretch>
                  </pic:blipFill>
                  <pic:spPr>
                    <a:xfrm>
                      <a:off x="0" y="0"/>
                      <a:ext cx="2235200" cy="1880870"/>
                    </a:xfrm>
                    <a:prstGeom prst="rect">
                      <a:avLst/>
                    </a:prstGeom>
                    <a:noFill/>
                    <a:ln>
                      <a:noFill/>
                    </a:ln>
                  </pic:spPr>
                </pic:pic>
              </a:graphicData>
            </a:graphic>
          </wp:anchor>
        </w:drawing>
      </w:r>
      <w:r>
        <w:rPr>
          <w:color w:val="000000"/>
          <w:szCs w:val="21"/>
        </w:rPr>
        <w:t>图</w:t>
      </w:r>
      <w:r>
        <w:rPr>
          <w:rFonts w:hint="eastAsia"/>
          <w:color w:val="000000"/>
          <w:szCs w:val="21"/>
        </w:rPr>
        <w:t>1</w:t>
      </w:r>
      <w:r>
        <w:rPr>
          <w:color w:val="000000"/>
          <w:szCs w:val="21"/>
        </w:rPr>
        <w:t>-</w:t>
      </w:r>
      <w:r>
        <w:rPr>
          <w:rFonts w:hint="eastAsia"/>
          <w:color w:val="000000"/>
          <w:szCs w:val="21"/>
        </w:rPr>
        <w:t xml:space="preserve">1  </w:t>
      </w:r>
      <w:r>
        <w:t>基于机器视觉的施药机器人</w:t>
      </w:r>
    </w:p>
    <w:p w14:paraId="4B22436A">
      <w:pPr>
        <w:pStyle w:val="4"/>
        <w:keepNext/>
        <w:keepLines/>
        <w:spacing w:before="156" w:beforeAutospacing="0" w:after="156" w:afterLines="50" w:afterAutospacing="0" w:line="400" w:lineRule="exact"/>
        <w:jc w:val="both"/>
        <w:rPr>
          <w:rFonts w:hint="default" w:ascii="Times New Roman" w:hAnsi="Times New Roman"/>
          <w:b w:val="0"/>
          <w:bCs w:val="0"/>
          <w:kern w:val="2"/>
          <w:sz w:val="28"/>
          <w:szCs w:val="28"/>
        </w:rPr>
      </w:pPr>
      <w:r>
        <w:rPr>
          <w:rFonts w:hint="default" w:ascii="Times New Roman" w:hAnsi="Times New Roman"/>
          <w:b w:val="0"/>
          <w:bCs w:val="0"/>
          <w:kern w:val="2"/>
          <w:sz w:val="28"/>
          <w:szCs w:val="28"/>
        </w:rPr>
        <w:t>1.2.2国外研究现状</w:t>
      </w:r>
    </w:p>
    <w:p w14:paraId="7C811B5C">
      <w:pPr>
        <w:pStyle w:val="6"/>
        <w:ind w:firstLine="420"/>
        <w:rPr>
          <w:lang w:eastAsia="zh-CN"/>
        </w:rPr>
      </w:pPr>
      <w:r>
        <w:rPr>
          <w:lang w:eastAsia="zh-CN"/>
        </w:rPr>
        <w:t>西方发达国家在温室植保机械领域的研究起步早、技术积累深厚，近年来围绕智能化、环保化与场景适配性，推动轮式喷药相关技术向更高精度、更高效率方向演进，尤其在传感器融合、自主控制算法等核心领域保持领先</w:t>
      </w:r>
      <w:r>
        <w:rPr>
          <w:vertAlign w:val="superscript"/>
          <w:lang w:eastAsia="zh-CN"/>
        </w:rPr>
        <w:fldChar w:fldCharType="begin"/>
      </w:r>
      <w:r>
        <w:rPr>
          <w:vertAlign w:val="superscript"/>
          <w:lang w:eastAsia="zh-CN"/>
        </w:rPr>
        <w:instrText xml:space="preserve"> REF _Ref11983 \r \h </w:instrText>
      </w:r>
      <w:r>
        <w:rPr>
          <w:vertAlign w:val="superscript"/>
          <w:lang w:eastAsia="zh-CN"/>
        </w:rPr>
        <w:fldChar w:fldCharType="separate"/>
      </w:r>
      <w:r>
        <w:rPr>
          <w:vertAlign w:val="superscript"/>
          <w:lang w:eastAsia="zh-CN"/>
        </w:rPr>
        <w:t>[19]</w:t>
      </w:r>
      <w:r>
        <w:rPr>
          <w:vertAlign w:val="superscript"/>
          <w:lang w:eastAsia="zh-CN"/>
        </w:rPr>
        <w:fldChar w:fldCharType="end"/>
      </w:r>
      <w:r>
        <w:rPr>
          <w:lang w:eastAsia="zh-CN"/>
        </w:rPr>
        <w:t>。在精准对靶与智能感知技术方面，2017年A.Miranda-Fuentes团队研发的新型风送式喷雾机，通过优化出风口结构设计，推出鸭嘴式出风口方案，使喷雾覆盖率提升46%，且药液沉积均匀性保持稳定，该喷雾系统的优化理念为温室轮式喷药机器人的雾化效果提升提供了重要借鉴</w:t>
      </w:r>
      <w:r>
        <w:rPr>
          <w:vertAlign w:val="superscript"/>
          <w:lang w:eastAsia="zh-CN"/>
        </w:rPr>
        <w:fldChar w:fldCharType="begin"/>
      </w:r>
      <w:r>
        <w:rPr>
          <w:vertAlign w:val="superscript"/>
          <w:lang w:eastAsia="zh-CN"/>
        </w:rPr>
        <w:instrText xml:space="preserve"> REF _Ref12016 \r \h </w:instrText>
      </w:r>
      <w:r>
        <w:rPr>
          <w:vertAlign w:val="superscript"/>
          <w:lang w:eastAsia="zh-CN"/>
        </w:rPr>
        <w:fldChar w:fldCharType="separate"/>
      </w:r>
      <w:r>
        <w:rPr>
          <w:vertAlign w:val="superscript"/>
          <w:lang w:eastAsia="zh-CN"/>
        </w:rPr>
        <w:t>[20]</w:t>
      </w:r>
      <w:r>
        <w:rPr>
          <w:vertAlign w:val="superscript"/>
          <w:lang w:eastAsia="zh-CN"/>
        </w:rPr>
        <w:fldChar w:fldCharType="end"/>
      </w:r>
      <w:r>
        <w:rPr>
          <w:lang w:eastAsia="zh-CN"/>
        </w:rPr>
        <w:t>。2022年，Hafiz</w:t>
      </w:r>
      <w:r>
        <w:rPr>
          <w:rFonts w:hint="eastAsia"/>
          <w:lang w:eastAsia="zh-CN"/>
        </w:rPr>
        <w:t xml:space="preserve"> </w:t>
      </w:r>
      <w:r>
        <w:rPr>
          <w:lang w:eastAsia="zh-CN"/>
        </w:rPr>
        <w:t>Muhammad</w:t>
      </w:r>
      <w:r>
        <w:rPr>
          <w:rFonts w:hint="eastAsia"/>
          <w:lang w:eastAsia="zh-CN"/>
        </w:rPr>
        <w:t xml:space="preserve"> </w:t>
      </w:r>
      <w:r>
        <w:rPr>
          <w:lang w:eastAsia="zh-CN"/>
        </w:rPr>
        <w:t>Nauman等提出的双面立式喷杆式喷雾机，集成红外传感器实时检测作物冠层形状，动态调整喷嘴施药速率，其垂直吊杆的高度与宽度自适应调节技术，特别适用于温室高密度种植场景，不过该设备体积偏大，对温室狭窄通道的适配性有待改进</w:t>
      </w:r>
      <w:r>
        <w:rPr>
          <w:vertAlign w:val="superscript"/>
          <w:lang w:eastAsia="zh-CN"/>
        </w:rPr>
        <w:fldChar w:fldCharType="begin"/>
      </w:r>
      <w:r>
        <w:rPr>
          <w:vertAlign w:val="superscript"/>
          <w:lang w:eastAsia="zh-CN"/>
        </w:rPr>
        <w:instrText xml:space="preserve"> REF _Ref12068 \r \h </w:instrText>
      </w:r>
      <w:r>
        <w:rPr>
          <w:vertAlign w:val="superscript"/>
          <w:lang w:eastAsia="zh-CN"/>
        </w:rPr>
        <w:fldChar w:fldCharType="separate"/>
      </w:r>
      <w:r>
        <w:rPr>
          <w:vertAlign w:val="superscript"/>
          <w:lang w:eastAsia="zh-CN"/>
        </w:rPr>
        <w:t>[21]</w:t>
      </w:r>
      <w:r>
        <w:rPr>
          <w:vertAlign w:val="superscript"/>
          <w:lang w:eastAsia="zh-CN"/>
        </w:rPr>
        <w:fldChar w:fldCharType="end"/>
      </w:r>
      <w:r>
        <w:rPr>
          <w:lang w:eastAsia="zh-CN"/>
        </w:rPr>
        <w:t>。</w:t>
      </w:r>
    </w:p>
    <w:p w14:paraId="0003A12C">
      <w:pPr>
        <w:pStyle w:val="6"/>
        <w:ind w:firstLine="420"/>
        <w:rPr>
          <w:lang w:eastAsia="zh-CN"/>
        </w:rPr>
      </w:pPr>
      <w:r>
        <w:drawing>
          <wp:anchor distT="0" distB="0" distL="114300" distR="114300" simplePos="0" relativeHeight="251660288" behindDoc="0" locked="0" layoutInCell="1" allowOverlap="1">
            <wp:simplePos x="0" y="0"/>
            <wp:positionH relativeFrom="column">
              <wp:posOffset>2908300</wp:posOffset>
            </wp:positionH>
            <wp:positionV relativeFrom="page">
              <wp:posOffset>7957185</wp:posOffset>
            </wp:positionV>
            <wp:extent cx="2106930" cy="1607185"/>
            <wp:effectExtent l="0" t="0" r="1270" b="5715"/>
            <wp:wrapTopAndBottom/>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2106930" cy="1607185"/>
                    </a:xfrm>
                    <a:prstGeom prst="rect">
                      <a:avLst/>
                    </a:prstGeom>
                    <a:noFill/>
                    <a:ln>
                      <a:noFill/>
                    </a:ln>
                  </pic:spPr>
                </pic:pic>
              </a:graphicData>
            </a:graphic>
          </wp:anchor>
        </w:drawing>
      </w:r>
      <w:r>
        <w:rPr>
          <w:lang w:eastAsia="zh-CN"/>
        </w:rPr>
        <w:t>在自主导航与移动平台设计方面，国外企业与科研机构聚焦轮式底盘的灵活性与稳定性优化。美国约翰迪尔公司升级后的4630喷雾机</w:t>
      </w:r>
      <w:r>
        <w:rPr>
          <w:rFonts w:hint="eastAsia"/>
          <w:lang w:eastAsia="zh-CN"/>
        </w:rPr>
        <w:t>如图1</w:t>
      </w:r>
      <w:r>
        <w:rPr>
          <w:lang w:eastAsia="zh-CN"/>
        </w:rPr>
        <w:t>-</w:t>
      </w:r>
      <w:r>
        <w:rPr>
          <w:rFonts w:hint="eastAsia"/>
          <w:lang w:eastAsia="zh-CN"/>
        </w:rPr>
        <w:t>2</w:t>
      </w:r>
      <w:r>
        <w:rPr>
          <w:lang w:eastAsia="zh-CN"/>
        </w:rPr>
        <w:t>，采用四轮驱动与快速折叠喷杆设计，配合GPS精准导航系统，作业机动性大幅提升，其轮式底盘的动力分配技术与转向控制算法，为温室小型轮式喷药机器人的底盘研发提供了技术参考</w:t>
      </w:r>
      <w:r>
        <w:rPr>
          <w:vertAlign w:val="superscript"/>
          <w:lang w:eastAsia="zh-CN"/>
        </w:rPr>
        <w:fldChar w:fldCharType="begin"/>
      </w:r>
      <w:r>
        <w:rPr>
          <w:vertAlign w:val="superscript"/>
          <w:lang w:eastAsia="zh-CN"/>
        </w:rPr>
        <w:instrText xml:space="preserve"> REF _Ref12055 \r \h </w:instrText>
      </w:r>
      <w:r>
        <w:rPr>
          <w:vertAlign w:val="superscript"/>
          <w:lang w:eastAsia="zh-CN"/>
        </w:rPr>
        <w:fldChar w:fldCharType="separate"/>
      </w:r>
      <w:r>
        <w:rPr>
          <w:vertAlign w:val="superscript"/>
          <w:lang w:eastAsia="zh-CN"/>
        </w:rPr>
        <w:t>[22]</w:t>
      </w:r>
      <w:r>
        <w:rPr>
          <w:vertAlign w:val="superscript"/>
          <w:lang w:eastAsia="zh-CN"/>
        </w:rPr>
        <w:fldChar w:fldCharType="end"/>
      </w:r>
      <w:r>
        <w:rPr>
          <w:lang w:eastAsia="zh-CN"/>
        </w:rPr>
        <w:t>；德国克拉斯农机公司与荷兰阿格西德公司合作推出的AgBot全自动无人拖拉机</w:t>
      </w:r>
      <w:r>
        <w:rPr>
          <w:rFonts w:hint="eastAsia"/>
          <w:lang w:eastAsia="zh-CN"/>
        </w:rPr>
        <w:t>如图1</w:t>
      </w:r>
      <w:r>
        <w:rPr>
          <w:lang w:eastAsia="zh-CN"/>
        </w:rPr>
        <w:t>-</w:t>
      </w:r>
      <w:r>
        <w:rPr>
          <w:rFonts w:hint="eastAsia"/>
          <w:lang w:eastAsia="zh-CN"/>
        </w:rPr>
        <w:t>3</w:t>
      </w:r>
      <w:r>
        <w:rPr>
          <w:lang w:eastAsia="zh-CN"/>
        </w:rPr>
        <w:t>，集成先进的自主路径规划系统与避障技术，其轮式移动平台的高精度定位能力，为温室环境下的精准作业提供了标杆</w:t>
      </w:r>
      <w:r>
        <w:rPr>
          <w:vertAlign w:val="superscript"/>
          <w:lang w:eastAsia="zh-CN"/>
        </w:rPr>
        <w:fldChar w:fldCharType="begin"/>
      </w:r>
      <w:r>
        <w:rPr>
          <w:vertAlign w:val="superscript"/>
          <w:lang w:eastAsia="zh-CN"/>
        </w:rPr>
        <w:instrText xml:space="preserve"> REF _Ref12166 \r \h </w:instrText>
      </w:r>
      <w:r>
        <w:rPr>
          <w:vertAlign w:val="superscript"/>
          <w:lang w:eastAsia="zh-CN"/>
        </w:rPr>
        <w:fldChar w:fldCharType="separate"/>
      </w:r>
      <w:r>
        <w:rPr>
          <w:vertAlign w:val="superscript"/>
          <w:lang w:eastAsia="zh-CN"/>
        </w:rPr>
        <w:t>[23]</w:t>
      </w:r>
      <w:r>
        <w:rPr>
          <w:vertAlign w:val="superscript"/>
          <w:lang w:eastAsia="zh-CN"/>
        </w:rPr>
        <w:fldChar w:fldCharType="end"/>
      </w:r>
      <w:r>
        <w:rPr>
          <w:lang w:eastAsia="zh-CN"/>
        </w:rPr>
        <w:t>。在智能控制算法方面，2023年Luka</w:t>
      </w:r>
      <w:r>
        <w:rPr>
          <w:rFonts w:hint="eastAsia"/>
          <w:lang w:eastAsia="zh-CN"/>
        </w:rPr>
        <w:t xml:space="preserve"> </w:t>
      </w:r>
      <w:r>
        <w:rPr>
          <w:lang w:eastAsia="zh-CN"/>
        </w:rPr>
        <w:t>Ponorac等通过实验测试与仿真建模相结合的方法，建立了高速履带式车辆的动力总成仿真模型，其动力学分析方法与控制策略可迁移应用于温室轮式喷药机器人的运动控制优化，该模型经实验验证，转速、转矩与功率误差均控制在7%以内，具有较高的可靠性</w:t>
      </w:r>
      <w:r>
        <w:rPr>
          <w:vertAlign w:val="superscript"/>
          <w:lang w:eastAsia="zh-CN"/>
        </w:rPr>
        <w:fldChar w:fldCharType="begin"/>
      </w:r>
      <w:r>
        <w:rPr>
          <w:vertAlign w:val="superscript"/>
          <w:lang w:eastAsia="zh-CN"/>
        </w:rPr>
        <w:instrText xml:space="preserve"> REF _Ref12186 \r \h </w:instrText>
      </w:r>
      <w:r>
        <w:rPr>
          <w:vertAlign w:val="superscript"/>
          <w:lang w:eastAsia="zh-CN"/>
        </w:rPr>
        <w:fldChar w:fldCharType="separate"/>
      </w:r>
      <w:r>
        <w:rPr>
          <w:vertAlign w:val="superscript"/>
          <w:lang w:eastAsia="zh-CN"/>
        </w:rPr>
        <w:t>[24]</w:t>
      </w:r>
      <w:r>
        <w:rPr>
          <w:vertAlign w:val="superscript"/>
          <w:lang w:eastAsia="zh-CN"/>
        </w:rPr>
        <w:fldChar w:fldCharType="end"/>
      </w:r>
      <w:r>
        <w:rPr>
          <w:lang w:eastAsia="zh-CN"/>
        </w:rPr>
        <w:t>。</w:t>
      </w:r>
    </w:p>
    <w:p w14:paraId="264AB521">
      <w:pPr>
        <w:pStyle w:val="6"/>
        <w:ind w:firstLine="840" w:firstLineChars="400"/>
        <w:rPr>
          <w:rFonts w:asciiTheme="minorHAnsi" w:hAnsiTheme="minorHAnsi" w:eastAsiaTheme="minorEastAsia" w:cstheme="minorBidi"/>
          <w:color w:val="000000"/>
          <w:sz w:val="21"/>
          <w:szCs w:val="21"/>
          <w:lang w:eastAsia="zh-CN"/>
        </w:rPr>
      </w:pPr>
      <w:r>
        <w:rPr>
          <w:rFonts w:asciiTheme="minorHAnsi" w:hAnsiTheme="minorHAnsi" w:eastAsiaTheme="minorEastAsia" w:cstheme="minorBidi"/>
          <w:color w:val="000000"/>
          <w:sz w:val="21"/>
          <w:szCs w:val="21"/>
          <w:lang w:eastAsia="zh-CN"/>
        </w:rPr>
        <w:t>图</w:t>
      </w:r>
      <w:r>
        <w:rPr>
          <w:rFonts w:hint="eastAsia" w:asciiTheme="minorHAnsi" w:hAnsiTheme="minorHAnsi" w:eastAsiaTheme="minorEastAsia" w:cstheme="minorBidi"/>
          <w:color w:val="000000"/>
          <w:sz w:val="21"/>
          <w:szCs w:val="21"/>
          <w:lang w:eastAsia="zh-CN"/>
        </w:rPr>
        <w:t>1</w:t>
      </w:r>
      <w:r>
        <w:rPr>
          <w:rFonts w:asciiTheme="minorHAnsi" w:hAnsiTheme="minorHAnsi" w:eastAsiaTheme="minorEastAsia" w:cstheme="minorBidi"/>
          <w:color w:val="000000"/>
          <w:sz w:val="21"/>
          <w:szCs w:val="21"/>
          <w:lang w:eastAsia="zh-CN"/>
        </w:rPr>
        <w:t>-</w:t>
      </w:r>
      <w:r>
        <w:rPr>
          <w:rFonts w:asciiTheme="minorHAnsi" w:hAnsiTheme="minorHAnsi" w:eastAsiaTheme="minorEastAsia" w:cstheme="minorBidi"/>
          <w:color w:val="000000"/>
          <w:sz w:val="21"/>
          <w:szCs w:val="21"/>
          <w:lang w:eastAsia="zh-CN"/>
        </w:rPr>
        <w:drawing>
          <wp:anchor distT="0" distB="0" distL="114300" distR="114300" simplePos="0" relativeHeight="251661312" behindDoc="0" locked="0" layoutInCell="1" allowOverlap="1">
            <wp:simplePos x="0" y="0"/>
            <wp:positionH relativeFrom="column">
              <wp:posOffset>283210</wp:posOffset>
            </wp:positionH>
            <wp:positionV relativeFrom="paragraph">
              <wp:posOffset>59690</wp:posOffset>
            </wp:positionV>
            <wp:extent cx="1504950" cy="1580515"/>
            <wp:effectExtent l="0" t="0" r="6350" b="6985"/>
            <wp:wrapNone/>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1504950" cy="1580515"/>
                    </a:xfrm>
                    <a:prstGeom prst="rect">
                      <a:avLst/>
                    </a:prstGeom>
                    <a:noFill/>
                    <a:ln>
                      <a:noFill/>
                    </a:ln>
                  </pic:spPr>
                </pic:pic>
              </a:graphicData>
            </a:graphic>
          </wp:anchor>
        </w:drawing>
      </w:r>
      <w:r>
        <w:rPr>
          <w:rFonts w:hint="eastAsia" w:asciiTheme="minorHAnsi" w:hAnsiTheme="minorHAnsi" w:eastAsiaTheme="minorEastAsia" w:cstheme="minorBidi"/>
          <w:color w:val="000000"/>
          <w:sz w:val="21"/>
          <w:szCs w:val="21"/>
          <w:lang w:eastAsia="zh-CN"/>
        </w:rPr>
        <w:t xml:space="preserve">2  </w:t>
      </w:r>
      <w:r>
        <w:rPr>
          <w:rFonts w:asciiTheme="minorHAnsi" w:hAnsiTheme="minorHAnsi" w:eastAsiaTheme="minorEastAsia" w:cstheme="minorBidi"/>
          <w:color w:val="000000"/>
          <w:sz w:val="21"/>
          <w:szCs w:val="21"/>
          <w:lang w:eastAsia="zh-CN"/>
        </w:rPr>
        <w:t>4630喷雾机</w:t>
      </w:r>
      <w:r>
        <w:rPr>
          <w:rFonts w:hint="eastAsia" w:asciiTheme="minorHAnsi" w:hAnsiTheme="minorHAnsi" w:eastAsiaTheme="minorEastAsia" w:cstheme="minorBidi"/>
          <w:color w:val="000000"/>
          <w:sz w:val="21"/>
          <w:szCs w:val="21"/>
          <w:lang w:eastAsia="zh-CN"/>
        </w:rPr>
        <w:t xml:space="preserve"> </w:t>
      </w:r>
      <w:r>
        <w:rPr>
          <w:rFonts w:hint="eastAsia"/>
          <w:lang w:eastAsia="zh-CN"/>
        </w:rPr>
        <w:t xml:space="preserve">                 </w:t>
      </w:r>
      <w:r>
        <w:rPr>
          <w:rFonts w:asciiTheme="minorHAnsi" w:hAnsiTheme="minorHAnsi" w:eastAsiaTheme="minorEastAsia" w:cstheme="minorBidi"/>
          <w:color w:val="000000"/>
          <w:sz w:val="21"/>
          <w:szCs w:val="21"/>
          <w:lang w:eastAsia="zh-CN"/>
        </w:rPr>
        <w:t>图</w:t>
      </w:r>
      <w:r>
        <w:rPr>
          <w:rFonts w:hint="eastAsia" w:asciiTheme="minorHAnsi" w:hAnsiTheme="minorHAnsi" w:eastAsiaTheme="minorEastAsia" w:cstheme="minorBidi"/>
          <w:color w:val="000000"/>
          <w:sz w:val="21"/>
          <w:szCs w:val="21"/>
          <w:lang w:eastAsia="zh-CN"/>
        </w:rPr>
        <w:t>1</w:t>
      </w:r>
      <w:r>
        <w:rPr>
          <w:rFonts w:asciiTheme="minorHAnsi" w:hAnsiTheme="minorHAnsi" w:eastAsiaTheme="minorEastAsia" w:cstheme="minorBidi"/>
          <w:color w:val="000000"/>
          <w:sz w:val="21"/>
          <w:szCs w:val="21"/>
          <w:lang w:eastAsia="zh-CN"/>
        </w:rPr>
        <w:t>-</w:t>
      </w:r>
      <w:r>
        <w:rPr>
          <w:rFonts w:hint="eastAsia" w:asciiTheme="minorHAnsi" w:hAnsiTheme="minorHAnsi" w:eastAsiaTheme="minorEastAsia" w:cstheme="minorBidi"/>
          <w:color w:val="000000"/>
          <w:sz w:val="21"/>
          <w:szCs w:val="21"/>
          <w:lang w:eastAsia="zh-CN"/>
        </w:rPr>
        <w:t xml:space="preserve">3  </w:t>
      </w:r>
      <w:r>
        <w:rPr>
          <w:rFonts w:asciiTheme="minorHAnsi" w:hAnsiTheme="minorHAnsi" w:eastAsiaTheme="minorEastAsia" w:cstheme="minorBidi"/>
          <w:color w:val="000000"/>
          <w:sz w:val="21"/>
          <w:szCs w:val="21"/>
          <w:lang w:eastAsia="zh-CN"/>
        </w:rPr>
        <w:t>AgBot全自动无人拖拉机</w:t>
      </w:r>
    </w:p>
    <w:p w14:paraId="1B1389E9">
      <w:pPr>
        <w:pStyle w:val="6"/>
        <w:ind w:firstLine="420"/>
        <w:rPr>
          <w:lang w:eastAsia="zh-CN"/>
        </w:rPr>
      </w:pPr>
    </w:p>
    <w:p w14:paraId="579E658E">
      <w:pPr>
        <w:pStyle w:val="6"/>
        <w:ind w:firstLine="420"/>
        <w:rPr>
          <w:lang w:eastAsia="zh-CN"/>
        </w:rPr>
      </w:pPr>
      <w:r>
        <w:rPr>
          <w:lang w:eastAsia="zh-CN"/>
        </w:rPr>
        <w:t>在植保无人机技术迭代的同时，国外研究也逐步关注温室封闭空间对地面装备的需求。日本久保田M7G-1系列农</w:t>
      </w:r>
      <w:r>
        <w:rPr>
          <w:rFonts w:hint="eastAsia"/>
          <w:lang w:eastAsia="zh-CN"/>
        </w:rPr>
        <w:t>机图1-4</w:t>
      </w:r>
      <w:r>
        <w:rPr>
          <w:lang w:eastAsia="zh-CN"/>
        </w:rPr>
        <w:t>，搭载AI病虫害识别系统与多光谱摄像头，可实时监测作物健康状况，其智能决策与精准控制技术，为温室轮式喷药机器人的智能化升级提供了重要参考；美国Adapco公司的Wingman</w:t>
      </w:r>
      <w:r>
        <w:rPr>
          <w:rFonts w:hint="eastAsia"/>
          <w:lang w:eastAsia="zh-CN"/>
        </w:rPr>
        <w:t xml:space="preserve"> </w:t>
      </w:r>
      <w:r>
        <w:rPr>
          <w:lang w:eastAsia="zh-CN"/>
        </w:rPr>
        <w:t>GX无人机</w:t>
      </w:r>
      <w:r>
        <w:rPr>
          <w:rFonts w:hint="eastAsia"/>
          <w:lang w:eastAsia="zh-CN"/>
        </w:rPr>
        <w:t>如图1-5</w:t>
      </w:r>
      <w:r>
        <w:rPr>
          <w:lang w:eastAsia="zh-CN"/>
        </w:rPr>
        <w:t>虽以空中作业为主，但其集成的气象传感器系统与农药飘散控制技术，对优化温室轮式机器人的喷雾参数、减少封闭空间内的农药残留具有重要借鉴意义</w:t>
      </w:r>
      <w:r>
        <w:rPr>
          <w:vertAlign w:val="superscript"/>
          <w:lang w:eastAsia="zh-CN"/>
        </w:rPr>
        <w:fldChar w:fldCharType="begin"/>
      </w:r>
      <w:r>
        <w:rPr>
          <w:vertAlign w:val="superscript"/>
          <w:lang w:eastAsia="zh-CN"/>
        </w:rPr>
        <w:instrText xml:space="preserve"> REF _Ref12365 \r \h </w:instrText>
      </w:r>
      <w:r>
        <w:rPr>
          <w:vertAlign w:val="superscript"/>
          <w:lang w:eastAsia="zh-CN"/>
        </w:rPr>
        <w:fldChar w:fldCharType="separate"/>
      </w:r>
      <w:r>
        <w:rPr>
          <w:vertAlign w:val="superscript"/>
          <w:lang w:eastAsia="zh-CN"/>
        </w:rPr>
        <w:t>[25]</w:t>
      </w:r>
      <w:r>
        <w:rPr>
          <w:vertAlign w:val="superscript"/>
          <w:lang w:eastAsia="zh-CN"/>
        </w:rPr>
        <w:fldChar w:fldCharType="end"/>
      </w:r>
      <w:r>
        <w:rPr>
          <w:lang w:eastAsia="zh-CN"/>
        </w:rPr>
        <w:t>。值得注意的是，尽管国外在通用型植保机械领域技术成熟，但针对温室封闭空间、狭窄通道、密集作物等特殊场景的专用轮式喷药机器人研究相对较少，现有设备多存在体积偏大、对温室立柱等障碍的避障能力不足、成本过高等问题，难以完全适配温室大棚的作业需求，这为相关技术的优化升级留下了较大空间。此外，欧洲农业机械工业协会2025年发布的市场趋势报告显示，国外植保机械正朝着电动化、轻量化方向发展，氢燃料电池等新型动力系统的应用与模块化设计理念，将为温室轮式喷药机器人的未来发展提供新的技术路径</w:t>
      </w:r>
      <w:r>
        <w:rPr>
          <w:vertAlign w:val="superscript"/>
          <w:lang w:eastAsia="zh-CN"/>
        </w:rPr>
        <w:fldChar w:fldCharType="begin"/>
      </w:r>
      <w:r>
        <w:rPr>
          <w:vertAlign w:val="superscript"/>
          <w:lang w:eastAsia="zh-CN"/>
        </w:rPr>
        <w:instrText xml:space="preserve"> REF _Ref12385 \r \h </w:instrText>
      </w:r>
      <w:r>
        <w:rPr>
          <w:vertAlign w:val="superscript"/>
          <w:lang w:eastAsia="zh-CN"/>
        </w:rPr>
        <w:fldChar w:fldCharType="separate"/>
      </w:r>
      <w:r>
        <w:rPr>
          <w:vertAlign w:val="superscript"/>
          <w:lang w:eastAsia="zh-CN"/>
        </w:rPr>
        <w:t>[26]</w:t>
      </w:r>
      <w:r>
        <w:rPr>
          <w:vertAlign w:val="superscript"/>
          <w:lang w:eastAsia="zh-CN"/>
        </w:rPr>
        <w:fldChar w:fldCharType="end"/>
      </w:r>
      <w:r>
        <w:rPr>
          <w:lang w:eastAsia="zh-CN"/>
        </w:rPr>
        <w:t>。</w:t>
      </w:r>
    </w:p>
    <w:p w14:paraId="72AAD9BA">
      <w:pPr>
        <w:pStyle w:val="6"/>
        <w:ind w:firstLine="420"/>
      </w:pPr>
      <w:r>
        <w:drawing>
          <wp:anchor distT="0" distB="0" distL="114300" distR="114300" simplePos="0" relativeHeight="251662336" behindDoc="0" locked="0" layoutInCell="1" allowOverlap="1">
            <wp:simplePos x="0" y="0"/>
            <wp:positionH relativeFrom="column">
              <wp:posOffset>2783840</wp:posOffset>
            </wp:positionH>
            <wp:positionV relativeFrom="paragraph">
              <wp:posOffset>41910</wp:posOffset>
            </wp:positionV>
            <wp:extent cx="2281555" cy="1481455"/>
            <wp:effectExtent l="0" t="0" r="4445" b="4445"/>
            <wp:wrapSquare wrapText="bothSides"/>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7"/>
                    <a:stretch>
                      <a:fillRect/>
                    </a:stretch>
                  </pic:blipFill>
                  <pic:spPr>
                    <a:xfrm>
                      <a:off x="0" y="0"/>
                      <a:ext cx="2281555" cy="1481455"/>
                    </a:xfrm>
                    <a:prstGeom prst="rect">
                      <a:avLst/>
                    </a:prstGeom>
                    <a:noFill/>
                    <a:ln>
                      <a:noFill/>
                    </a:ln>
                  </pic:spPr>
                </pic:pic>
              </a:graphicData>
            </a:graphic>
          </wp:anchor>
        </w:drawing>
      </w:r>
      <w:r>
        <w:drawing>
          <wp:inline distT="0" distB="0" distL="114300" distR="114300">
            <wp:extent cx="1850390" cy="1564640"/>
            <wp:effectExtent l="0" t="0" r="3810" b="1016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1850390" cy="1564640"/>
                    </a:xfrm>
                    <a:prstGeom prst="rect">
                      <a:avLst/>
                    </a:prstGeom>
                    <a:noFill/>
                    <a:ln>
                      <a:noFill/>
                    </a:ln>
                  </pic:spPr>
                </pic:pic>
              </a:graphicData>
            </a:graphic>
          </wp:inline>
        </w:drawing>
      </w:r>
    </w:p>
    <w:p w14:paraId="1F6FB4B3">
      <w:pPr>
        <w:pStyle w:val="6"/>
        <w:ind w:firstLine="420"/>
        <w:rPr>
          <w:rFonts w:asciiTheme="minorHAnsi" w:hAnsiTheme="minorHAnsi" w:eastAsiaTheme="minorEastAsia" w:cstheme="minorBidi"/>
          <w:color w:val="000000"/>
          <w:sz w:val="21"/>
          <w:szCs w:val="21"/>
          <w:lang w:eastAsia="zh-CN"/>
        </w:rPr>
      </w:pPr>
      <w:r>
        <w:rPr>
          <w:rFonts w:asciiTheme="minorHAnsi" w:hAnsiTheme="minorHAnsi" w:eastAsiaTheme="minorEastAsia" w:cstheme="minorBidi"/>
          <w:color w:val="000000"/>
          <w:sz w:val="21"/>
          <w:szCs w:val="21"/>
          <w:lang w:eastAsia="zh-CN"/>
        </w:rPr>
        <w:t>图</w:t>
      </w:r>
      <w:r>
        <w:rPr>
          <w:rFonts w:hint="eastAsia" w:asciiTheme="minorHAnsi" w:hAnsiTheme="minorHAnsi" w:eastAsiaTheme="minorEastAsia" w:cstheme="minorBidi"/>
          <w:color w:val="000000"/>
          <w:sz w:val="21"/>
          <w:szCs w:val="21"/>
          <w:lang w:eastAsia="zh-CN"/>
        </w:rPr>
        <w:t>1</w:t>
      </w:r>
      <w:r>
        <w:rPr>
          <w:rFonts w:asciiTheme="minorHAnsi" w:hAnsiTheme="minorHAnsi" w:eastAsiaTheme="minorEastAsia" w:cstheme="minorBidi"/>
          <w:color w:val="000000"/>
          <w:sz w:val="21"/>
          <w:szCs w:val="21"/>
          <w:lang w:eastAsia="zh-CN"/>
        </w:rPr>
        <w:t>-</w:t>
      </w:r>
      <w:r>
        <w:rPr>
          <w:rFonts w:hint="eastAsia" w:asciiTheme="minorHAnsi" w:hAnsiTheme="minorHAnsi" w:eastAsiaTheme="minorEastAsia" w:cstheme="minorBidi"/>
          <w:color w:val="000000"/>
          <w:sz w:val="21"/>
          <w:szCs w:val="21"/>
          <w:lang w:eastAsia="zh-CN"/>
        </w:rPr>
        <w:t xml:space="preserve">4  </w:t>
      </w:r>
      <w:r>
        <w:rPr>
          <w:rFonts w:asciiTheme="minorHAnsi" w:hAnsiTheme="minorHAnsi" w:eastAsiaTheme="minorEastAsia" w:cstheme="minorBidi"/>
          <w:color w:val="000000"/>
          <w:sz w:val="21"/>
          <w:szCs w:val="21"/>
          <w:lang w:eastAsia="zh-CN"/>
        </w:rPr>
        <w:t>久保田M7G-1系列农机</w:t>
      </w:r>
      <w:r>
        <w:rPr>
          <w:rFonts w:hint="eastAsia" w:asciiTheme="minorHAnsi" w:hAnsiTheme="minorHAnsi" w:eastAsiaTheme="minorEastAsia" w:cstheme="minorBidi"/>
          <w:color w:val="000000"/>
          <w:sz w:val="21"/>
          <w:szCs w:val="21"/>
          <w:lang w:eastAsia="zh-CN"/>
        </w:rPr>
        <w:t xml:space="preserve">           </w:t>
      </w:r>
      <w:r>
        <w:rPr>
          <w:rFonts w:asciiTheme="minorHAnsi" w:hAnsiTheme="minorHAnsi" w:eastAsiaTheme="minorEastAsia" w:cstheme="minorBidi"/>
          <w:color w:val="000000"/>
          <w:sz w:val="21"/>
          <w:szCs w:val="21"/>
          <w:lang w:eastAsia="zh-CN"/>
        </w:rPr>
        <w:t>图</w:t>
      </w:r>
      <w:r>
        <w:rPr>
          <w:rFonts w:hint="eastAsia" w:asciiTheme="minorHAnsi" w:hAnsiTheme="minorHAnsi" w:eastAsiaTheme="minorEastAsia" w:cstheme="minorBidi"/>
          <w:color w:val="000000"/>
          <w:sz w:val="21"/>
          <w:szCs w:val="21"/>
          <w:lang w:eastAsia="zh-CN"/>
        </w:rPr>
        <w:t>1</w:t>
      </w:r>
      <w:r>
        <w:rPr>
          <w:rFonts w:asciiTheme="minorHAnsi" w:hAnsiTheme="minorHAnsi" w:eastAsiaTheme="minorEastAsia" w:cstheme="minorBidi"/>
          <w:color w:val="000000"/>
          <w:sz w:val="21"/>
          <w:szCs w:val="21"/>
          <w:lang w:eastAsia="zh-CN"/>
        </w:rPr>
        <w:t>-</w:t>
      </w:r>
      <w:r>
        <w:rPr>
          <w:rFonts w:hint="eastAsia" w:asciiTheme="minorHAnsi" w:hAnsiTheme="minorHAnsi" w:eastAsiaTheme="minorEastAsia" w:cstheme="minorBidi"/>
          <w:color w:val="000000"/>
          <w:sz w:val="21"/>
          <w:szCs w:val="21"/>
          <w:lang w:eastAsia="zh-CN"/>
        </w:rPr>
        <w:t xml:space="preserve">5  </w:t>
      </w:r>
      <w:r>
        <w:rPr>
          <w:rFonts w:asciiTheme="minorHAnsi" w:hAnsiTheme="minorHAnsi" w:eastAsiaTheme="minorEastAsia" w:cstheme="minorBidi"/>
          <w:color w:val="000000"/>
          <w:sz w:val="21"/>
          <w:szCs w:val="21"/>
          <w:lang w:eastAsia="zh-CN"/>
        </w:rPr>
        <w:t>Wingman</w:t>
      </w:r>
      <w:r>
        <w:rPr>
          <w:rFonts w:hint="eastAsia" w:asciiTheme="minorHAnsi" w:hAnsiTheme="minorHAnsi" w:eastAsiaTheme="minorEastAsia" w:cstheme="minorBidi"/>
          <w:color w:val="000000"/>
          <w:sz w:val="21"/>
          <w:szCs w:val="21"/>
          <w:lang w:eastAsia="zh-CN"/>
        </w:rPr>
        <w:t xml:space="preserve"> </w:t>
      </w:r>
      <w:r>
        <w:rPr>
          <w:rFonts w:asciiTheme="minorHAnsi" w:hAnsiTheme="minorHAnsi" w:eastAsiaTheme="minorEastAsia" w:cstheme="minorBidi"/>
          <w:color w:val="000000"/>
          <w:sz w:val="21"/>
          <w:szCs w:val="21"/>
          <w:lang w:eastAsia="zh-CN"/>
        </w:rPr>
        <w:t>GX无人机</w:t>
      </w:r>
    </w:p>
    <w:p w14:paraId="1B7401E2">
      <w:pPr>
        <w:pStyle w:val="3"/>
        <w:keepNext/>
        <w:keepLines/>
        <w:spacing w:before="260" w:beforeAutospacing="0" w:after="260" w:afterAutospacing="0" w:line="400" w:lineRule="exact"/>
        <w:jc w:val="center"/>
        <w:rPr>
          <w:rFonts w:hint="default" w:ascii="Times New Roman" w:hAnsi="Times New Roman" w:eastAsia="黑体"/>
          <w:b w:val="0"/>
          <w:kern w:val="2"/>
          <w:sz w:val="30"/>
          <w:szCs w:val="32"/>
        </w:rPr>
      </w:pPr>
      <w:r>
        <w:rPr>
          <w:rFonts w:hint="default" w:ascii="Times New Roman" w:hAnsi="Times New Roman" w:eastAsia="黑体"/>
          <w:b w:val="0"/>
          <w:kern w:val="2"/>
          <w:sz w:val="30"/>
          <w:szCs w:val="32"/>
        </w:rPr>
        <w:t>1.3本章小结</w:t>
      </w:r>
    </w:p>
    <w:p w14:paraId="4C79002F">
      <w:pPr>
        <w:widowControl/>
        <w:ind w:firstLine="420"/>
        <w:jc w:val="left"/>
      </w:pPr>
      <w:r>
        <w:rPr>
          <w:rFonts w:ascii="宋体" w:hAnsi="宋体" w:cs="宋体"/>
          <w:kern w:val="0"/>
          <w:lang w:bidi="ar"/>
        </w:rPr>
        <w:t>通过全面梳理国内外植保机器人的发展现状、技术成果及应用场景，可明确当前全球植保装备正朝着智能化、精准化、绿色化的方向加速转型。近年来，各国纷纷加大对植保机器人技术的研发投入，涌现出多种类型的植保装备，涵盖轨道式、履带式、轮式等多种行走方案，且在不同作业场景中展现出各自的应用特点。其中，轨道式植保装备虽运行稳定，但受轨道限制，作业灵活性不足，难以适应不同规格温室大棚的作业需求；履带式植保装备虽具备较强的地形适应性，可应对泥泞、不平坦的作业路面，但存在运动速度较慢、能量利用率偏低、维护成本较高等问题，不适用于长期高频次的温室作业。</w:t>
      </w:r>
    </w:p>
    <w:p w14:paraId="5908F70B">
      <w:pPr>
        <w:widowControl/>
        <w:ind w:firstLine="420"/>
        <w:jc w:val="left"/>
        <w:rPr>
          <w:rFonts w:hint="eastAsia" w:ascii="宋体" w:hAnsi="宋体" w:cs="宋体"/>
          <w:kern w:val="0"/>
          <w:lang w:bidi="ar"/>
        </w:rPr>
      </w:pPr>
      <w:r>
        <w:rPr>
          <w:rFonts w:ascii="宋体" w:hAnsi="宋体" w:cs="宋体"/>
          <w:kern w:val="0"/>
          <w:lang w:bidi="ar"/>
        </w:rPr>
        <w:t>结合温室大棚内部路面相对平整、作业通道狭窄、作业频次高且对作业效率要求较高的核心环境特征，轮式底盘展现出不可替代的显著优势——运动速度快、能量利用率高、转向控制灵活、结构简单且维护便捷，能够快速适配不同跨度、不同布局的温室大棚，高效完成喷施作业，有效弥补了轨道式、履带式行走方案在温室场景中的不足。基于此，研究确定采用轮式移动底盘作为温室喷药机器人的核心载体，重点聚焦温室复杂作业环境下的关键技术难题，着力解决自动化施药精准度不足、对靶喷施稳定性欠佳、远程操控响应滞后等核心问题，通过技术优化与创新，提升喷药机器人的作业效率、防控效果与运行稳定性，为设施农业病虫害绿色防控提供可靠的技术装备支撑。</w:t>
      </w:r>
    </w:p>
    <w:p w14:paraId="47FA5762">
      <w:pPr>
        <w:widowControl/>
        <w:jc w:val="left"/>
        <w:rPr>
          <w:rFonts w:hint="eastAsia" w:ascii="宋体" w:hAnsi="宋体" w:cs="宋体"/>
          <w:kern w:val="0"/>
          <w:lang w:bidi="ar"/>
        </w:rPr>
      </w:pPr>
    </w:p>
    <w:p w14:paraId="69F72423">
      <w:pPr>
        <w:spacing w:line="400" w:lineRule="exact"/>
        <w:jc w:val="center"/>
        <w:rPr>
          <w:rFonts w:ascii="黑体" w:eastAsia="黑体" w:cs="Times New Roman"/>
          <w:color w:val="000000"/>
          <w:sz w:val="36"/>
          <w:szCs w:val="36"/>
        </w:rPr>
      </w:pPr>
      <w:r>
        <w:rPr>
          <w:rFonts w:hint="eastAsia" w:ascii="黑体" w:eastAsia="黑体" w:cs="Times New Roman"/>
          <w:color w:val="000000"/>
          <w:sz w:val="36"/>
          <w:szCs w:val="36"/>
        </w:rPr>
        <w:t>第2章可行性论证报告</w:t>
      </w:r>
    </w:p>
    <w:p w14:paraId="4932553D">
      <w:pPr>
        <w:pStyle w:val="3"/>
        <w:keepNext/>
        <w:keepLines/>
        <w:spacing w:before="260" w:beforeAutospacing="0" w:after="260" w:afterAutospacing="0" w:line="400" w:lineRule="exact"/>
        <w:jc w:val="center"/>
        <w:rPr>
          <w:rFonts w:hint="default" w:ascii="Times New Roman" w:hAnsi="Times New Roman" w:eastAsia="黑体"/>
          <w:b w:val="0"/>
          <w:kern w:val="2"/>
          <w:sz w:val="30"/>
          <w:szCs w:val="32"/>
        </w:rPr>
      </w:pPr>
      <w:r>
        <w:rPr>
          <w:rFonts w:hint="default" w:ascii="Times New Roman" w:hAnsi="Times New Roman" w:eastAsia="黑体"/>
          <w:b w:val="0"/>
          <w:kern w:val="2"/>
          <w:sz w:val="30"/>
          <w:szCs w:val="32"/>
        </w:rPr>
        <w:t>2.1设计目的</w:t>
      </w:r>
    </w:p>
    <w:p w14:paraId="2AFCEF09">
      <w:pPr>
        <w:ind w:firstLine="420"/>
      </w:pPr>
      <w:r>
        <w:t>本设计的核心目的在于开发一款专门针对温室大棚环境的轮式自动喷药机器人，以彻底解决传统人工喷施农药过程中存在的诸多痛点。温室大棚内部空间相对密闭，高温高湿的环境极易促发各类病虫害，而传统的人工背负式喷雾不仅农药利用率低下、喷洒不够均匀，更会导致操作人员长时间暴露在高浓度的农药气溶胶中，存在极大的健康隐患。随着农业劳动力逐渐短缺，研发自动化施药设备已成为必然趋势。通过本课题的设计与实现，旨在利用机械化与自动化技术，实现对作物冠层的精准二轴靶向喷施，从而大幅提高农药的有效覆盖率并减少浪费。同时，利用轮式底盘在温室平坦地面上的高机动性，提升整体作业效率，最终达到降低劳动强度、保障人员安全、实现绿色高效农业生产的综合目的。</w:t>
      </w:r>
    </w:p>
    <w:p w14:paraId="446AF8FF">
      <w:pPr>
        <w:widowControl/>
        <w:jc w:val="left"/>
        <w:rPr>
          <w:rFonts w:cs="宋体"/>
          <w:szCs w:val="28"/>
        </w:rPr>
      </w:pPr>
      <w:r>
        <w:t>完成温室喷药机器人的机械结构</w:t>
      </w:r>
      <w:r>
        <w:rPr>
          <w:rFonts w:hint="eastAsia"/>
        </w:rPr>
        <w:t>系统</w:t>
      </w:r>
      <w:r>
        <w:t>设计</w:t>
      </w:r>
      <w:r>
        <w:rPr>
          <w:rFonts w:hint="eastAsia"/>
        </w:rPr>
        <w:t>，</w:t>
      </w:r>
      <w:r>
        <w:t>可</w:t>
      </w:r>
      <w:r>
        <w:rPr>
          <w:rFonts w:hint="eastAsia"/>
        </w:rPr>
        <w:t>在田地中进行喷药和移动设计</w:t>
      </w:r>
      <w:r>
        <w:t>，设计其配套的控制系统，包括控制器，</w:t>
      </w:r>
      <w:r>
        <w:rPr>
          <w:rFonts w:hint="eastAsia"/>
        </w:rPr>
        <w:t>交互系统，传感器，</w:t>
      </w:r>
      <w:r>
        <w:t>电机及其驱动等</w:t>
      </w:r>
      <w:r>
        <w:rPr>
          <w:rStyle w:val="14"/>
          <w:rFonts w:hint="eastAsia"/>
          <w:lang w:eastAsia="zh-CN"/>
        </w:rPr>
        <w:t>。</w:t>
      </w:r>
      <w:r>
        <w:rPr>
          <w:rStyle w:val="14"/>
          <w:lang w:eastAsia="zh-CN"/>
        </w:rPr>
        <w:t>本设计研发的轮式喷药机器人，整机尺寸定为</w:t>
      </w:r>
      <m:oMath>
        <m:r>
          <m:rPr/>
          <w:rPr>
            <w:rStyle w:val="14"/>
            <w:rFonts w:ascii="Cambria Math" w:hAnsi="Cambria Math"/>
            <w:lang w:eastAsia="zh-CN"/>
          </w:rPr>
          <m:t>800×500×900</m:t>
        </m:r>
        <m:r>
          <m:rPr/>
          <w:rPr>
            <w:rStyle w:val="14"/>
            <w:rFonts w:hint="eastAsia" w:ascii="Cambria Math" w:hAnsi="Cambria Math"/>
            <w:lang w:eastAsia="zh-CN"/>
          </w:rPr>
          <m:t>mm</m:t>
        </m:r>
      </m:oMath>
      <w:r>
        <w:rPr>
          <w:rStyle w:val="14"/>
          <w:lang w:eastAsia="zh-CN"/>
        </w:rPr>
        <w:t>以适配窄行作业，搭载15L后置式抗腐蚀PE水箱以优化驱动轮附着力，设定额定作业速度为0.2~0.8m/s可调，最大喷施流量为1.2L/min，具备</w:t>
      </w:r>
      <m:oMath>
        <m:r>
          <m:rPr/>
          <w:rPr>
            <w:rStyle w:val="14"/>
            <w:rFonts w:ascii="Cambria Math" w:hAnsi="Cambria Math"/>
            <w:lang w:eastAsia="zh-CN"/>
          </w:rPr>
          <m:t>≤15°</m:t>
        </m:r>
      </m:oMath>
      <w:r>
        <w:rPr>
          <w:rStyle w:val="14"/>
          <w:lang w:eastAsia="zh-CN"/>
        </w:rPr>
        <w:t>的爬坡能力，其二轴云台水平旋转范围为</w:t>
      </w:r>
      <m:oMath>
        <m:r>
          <m:rPr/>
          <w:rPr>
            <w:rStyle w:val="14"/>
            <w:rFonts w:ascii="Cambria Math" w:hAnsi="Cambria Math"/>
            <w:lang w:eastAsia="zh-CN"/>
          </w:rPr>
          <m:t>±90°</m:t>
        </m:r>
      </m:oMath>
      <w:r>
        <w:rPr>
          <w:rStyle w:val="14"/>
          <w:lang w:eastAsia="zh-CN"/>
        </w:rPr>
        <w:t>、俯仰角度范围为</w:t>
      </w:r>
      <m:oMath>
        <m:r>
          <m:rPr/>
          <w:rPr>
            <w:rStyle w:val="14"/>
            <w:rFonts w:ascii="Cambria Math" w:hAnsi="Cambria Math"/>
            <w:lang w:eastAsia="zh-CN"/>
          </w:rPr>
          <m:t>−30°~+60°</m:t>
        </m:r>
      </m:oMath>
      <w:r>
        <w:rPr>
          <w:rStyle w:val="14"/>
          <w:lang w:eastAsia="zh-CN"/>
        </w:rPr>
        <w:t>，云台最大角速度设定为</w:t>
      </w:r>
      <m:oMath>
        <m:r>
          <m:rPr/>
          <w:rPr>
            <w:rStyle w:val="14"/>
            <w:rFonts w:ascii="Cambria Math" w:hAnsi="Cambria Math"/>
            <w:lang w:eastAsia="zh-CN"/>
          </w:rPr>
          <m:t>45°/s</m:t>
        </m:r>
      </m:oMath>
      <w:r>
        <w:rPr>
          <w:rStyle w:val="14"/>
          <w:lang w:eastAsia="zh-CN"/>
        </w:rPr>
        <w:t>，旨在确保对不同高度作物冠层的快速精准对靶。</w:t>
      </w:r>
    </w:p>
    <w:p w14:paraId="56DF287A">
      <w:pPr>
        <w:pStyle w:val="3"/>
        <w:keepNext/>
        <w:keepLines/>
        <w:spacing w:before="260" w:beforeAutospacing="0" w:after="260" w:afterAutospacing="0" w:line="400" w:lineRule="exact"/>
        <w:jc w:val="center"/>
        <w:rPr>
          <w:rFonts w:hint="default" w:ascii="Times New Roman" w:hAnsi="Times New Roman" w:eastAsia="黑体"/>
          <w:b w:val="0"/>
          <w:kern w:val="2"/>
          <w:sz w:val="30"/>
          <w:szCs w:val="32"/>
        </w:rPr>
      </w:pPr>
      <w:r>
        <w:rPr>
          <w:rFonts w:hint="default" w:ascii="Times New Roman" w:hAnsi="Times New Roman" w:eastAsia="黑体"/>
          <w:b w:val="0"/>
          <w:kern w:val="2"/>
          <w:sz w:val="30"/>
          <w:szCs w:val="32"/>
        </w:rPr>
        <w:t>2.2方案论证</w:t>
      </w:r>
    </w:p>
    <w:p w14:paraId="4A20A1FE">
      <w:pPr>
        <w:pStyle w:val="4"/>
        <w:keepNext/>
        <w:keepLines/>
        <w:spacing w:before="156" w:beforeAutospacing="0" w:after="156" w:afterLines="50" w:afterAutospacing="0" w:line="400" w:lineRule="exact"/>
        <w:jc w:val="both"/>
        <w:rPr>
          <w:rFonts w:hint="default" w:ascii="Times New Roman" w:hAnsi="Times New Roman"/>
          <w:b w:val="0"/>
          <w:bCs w:val="0"/>
          <w:kern w:val="2"/>
          <w:sz w:val="28"/>
          <w:szCs w:val="28"/>
        </w:rPr>
      </w:pPr>
      <w:r>
        <w:rPr>
          <w:rFonts w:hint="default" w:ascii="Times New Roman" w:hAnsi="Times New Roman"/>
          <w:b w:val="0"/>
          <w:bCs w:val="0"/>
          <w:kern w:val="2"/>
          <w:sz w:val="28"/>
          <w:szCs w:val="28"/>
        </w:rPr>
        <w:t>2.2.1</w:t>
      </w:r>
      <w:r>
        <w:rPr>
          <w:rFonts w:ascii="Times New Roman" w:hAnsi="Times New Roman"/>
          <w:b w:val="0"/>
          <w:bCs w:val="0"/>
          <w:kern w:val="2"/>
          <w:sz w:val="28"/>
          <w:szCs w:val="28"/>
        </w:rPr>
        <w:t>运动机构</w:t>
      </w:r>
      <w:r>
        <w:rPr>
          <w:rFonts w:hint="default" w:ascii="Times New Roman" w:hAnsi="Times New Roman"/>
          <w:b w:val="0"/>
          <w:bCs w:val="0"/>
          <w:kern w:val="2"/>
          <w:sz w:val="28"/>
          <w:szCs w:val="28"/>
        </w:rPr>
        <w:t>传动方案选择分析</w:t>
      </w:r>
    </w:p>
    <w:p w14:paraId="60F366A9">
      <w:pPr>
        <w:pStyle w:val="6"/>
        <w:ind w:firstLine="420"/>
        <w:rPr>
          <w:lang w:eastAsia="zh-CN"/>
        </w:rPr>
      </w:pPr>
      <w:r>
        <w:rPr>
          <w:rFonts w:hint="eastAsia"/>
          <w:lang w:eastAsia="zh-CN"/>
        </w:rPr>
        <w:t>1.采用电机与同步带配合传动</w:t>
      </w:r>
    </w:p>
    <w:p w14:paraId="74B655FB">
      <w:pPr>
        <w:pStyle w:val="6"/>
        <w:ind w:firstLine="420"/>
        <w:rPr>
          <w:lang w:eastAsia="zh-CN"/>
        </w:rPr>
      </w:pPr>
      <w:r>
        <w:drawing>
          <wp:anchor distT="0" distB="0" distL="114300" distR="114300" simplePos="0" relativeHeight="251663360" behindDoc="0" locked="0" layoutInCell="1" allowOverlap="1">
            <wp:simplePos x="0" y="0"/>
            <wp:positionH relativeFrom="column">
              <wp:posOffset>727075</wp:posOffset>
            </wp:positionH>
            <wp:positionV relativeFrom="paragraph">
              <wp:posOffset>1736090</wp:posOffset>
            </wp:positionV>
            <wp:extent cx="3912870" cy="2257425"/>
            <wp:effectExtent l="0" t="0" r="11430" b="317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912870" cy="2257425"/>
                    </a:xfrm>
                    <a:prstGeom prst="rect">
                      <a:avLst/>
                    </a:prstGeom>
                    <a:noFill/>
                    <a:ln>
                      <a:noFill/>
                    </a:ln>
                  </pic:spPr>
                </pic:pic>
              </a:graphicData>
            </a:graphic>
          </wp:anchor>
        </w:drawing>
      </w:r>
      <w:r>
        <w:rPr>
          <w:lang w:eastAsia="zh-CN"/>
        </w:rPr>
        <w:t>该方案利用电机作为动力源，通过同步带将扭矩传递至轮轴。同步带传动的显著优势在于其具有良好的柔性，能够吸收机器人起步或遇到障碍物时的冲击载荷，减少对电机轴的直接伤害。此外，同步带传动无需润滑，维护成本较低，且运行噪音较小，符合温室绿色生产的理念。然而，在温室喷药工况下，由于环境湿度极高且地面可能附着药液与湿泥，同步带易出现受潮打滑或受药液腐蚀老化的问题，这会导致传动精度下降甚至发生跳齿现象。同时，同步带传动系统结构较为松散，需要额外的涨紧机构，这增加了底盘空间的占用，不利于机器人在紧凑的温室行间穿梭。</w:t>
      </w:r>
    </w:p>
    <w:p w14:paraId="120D704D">
      <w:pPr>
        <w:widowControl/>
        <w:adjustRightInd w:val="0"/>
        <w:snapToGrid w:val="0"/>
        <w:spacing w:line="400" w:lineRule="exact"/>
        <w:ind w:left="360"/>
        <w:jc w:val="center"/>
        <w:rPr>
          <w:color w:val="000000"/>
          <w:sz w:val="18"/>
          <w:szCs w:val="18"/>
        </w:rPr>
      </w:pPr>
      <w:r>
        <w:rPr>
          <w:rFonts w:hint="eastAsia"/>
          <w:color w:val="000000"/>
          <w:sz w:val="18"/>
          <w:szCs w:val="18"/>
        </w:rPr>
        <w:t>1-电动机；2-V带传动</w:t>
      </w:r>
    </w:p>
    <w:p w14:paraId="289A0607">
      <w:pPr>
        <w:widowControl/>
        <w:adjustRightInd w:val="0"/>
        <w:snapToGrid w:val="0"/>
        <w:spacing w:line="400" w:lineRule="exact"/>
        <w:ind w:firstLine="2730" w:firstLineChars="1300"/>
        <w:rPr>
          <w:rFonts w:asciiTheme="minorHAnsi" w:hAnsiTheme="minorHAnsi" w:eastAsiaTheme="minorEastAsia"/>
          <w:color w:val="000000"/>
          <w:sz w:val="21"/>
          <w:szCs w:val="21"/>
        </w:rPr>
      </w:pP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1  方案一运动机构</w:t>
      </w:r>
      <w:r>
        <w:rPr>
          <w:rFonts w:asciiTheme="minorHAnsi" w:hAnsiTheme="minorHAnsi" w:eastAsiaTheme="minorEastAsia"/>
          <w:color w:val="000000"/>
          <w:sz w:val="21"/>
          <w:szCs w:val="21"/>
        </w:rPr>
        <w:t>传动简图</w:t>
      </w:r>
    </w:p>
    <w:p w14:paraId="37E5FC08">
      <w:pPr>
        <w:spacing w:line="400" w:lineRule="exact"/>
        <w:ind w:firstLine="657" w:firstLineChars="274"/>
        <w:rPr>
          <w:rFonts w:cs="Times New Roman"/>
          <w:kern w:val="0"/>
        </w:rPr>
      </w:pPr>
      <w:r>
        <w:rPr>
          <w:rFonts w:hint="eastAsia" w:cs="Times New Roman"/>
          <w:kern w:val="0"/>
        </w:rPr>
        <w:t>2.采用电机配套减速器传动</w:t>
      </w:r>
    </w:p>
    <w:p w14:paraId="0D028F4F">
      <w:pPr>
        <w:spacing w:line="400" w:lineRule="exact"/>
        <w:ind w:firstLine="657" w:firstLineChars="274"/>
        <w:rPr>
          <w:rFonts w:cs="Times New Roman"/>
          <w:kern w:val="0"/>
        </w:rPr>
      </w:pPr>
      <w:r>
        <w:rPr>
          <w:rFonts w:hint="eastAsia" w:cs="Times New Roman"/>
          <w:kern w:val="0"/>
        </w:rPr>
        <w:t>该方案将电机输出端与高精度减速器（如行星减速器或蜗轮蜗杆减速器）直接连接，通过减速后的高扭矩</w:t>
      </w:r>
      <w:r>
        <w:rPr>
          <w:rStyle w:val="14"/>
          <w:rFonts w:hint="eastAsia"/>
          <w:lang w:eastAsia="zh-CN"/>
        </w:rPr>
        <w:t>直接驱</w:t>
      </w:r>
      <w:r>
        <w:rPr>
          <w:rFonts w:hint="eastAsia" w:cs="Times New Roman"/>
          <w:kern w:val="0"/>
        </w:rPr>
        <w:t>动轮子运动。减速器传动方案具有极高的可靠性和结构紧凑性，能够在有限的底盘空间内实现大减速比。由于减速器通常采用全封闭结构，能够有效隔绝温室环境中的高湿、药液腐蚀及粉尘干扰，保证了传动系统的长期稳定性。对于满载水箱的喷药机器人而言，减速器传动提供的机械刚性能够确保其在低速巡航时具备极佳的扭矩输出，防止在起步或爬坡时动力不足。此外，电机与减速器的一体化设计大大简化了机械结构，降低了整机的维护频率。综合考量温室环境的严苛要求、底盘结构的紧凑性以及大载荷下所需的牵引力，本设计最终选择方案二，即采用电机配套减速器的传动方式作为轮子运动的动力方案。</w:t>
      </w:r>
    </w:p>
    <w:p w14:paraId="3640795B">
      <w:pPr>
        <w:pStyle w:val="6"/>
        <w:ind w:firstLine="420"/>
      </w:pPr>
      <w:r>
        <w:drawing>
          <wp:inline distT="0" distB="0" distL="114300" distR="114300">
            <wp:extent cx="5270500" cy="3022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0500" cy="3022600"/>
                    </a:xfrm>
                    <a:prstGeom prst="rect">
                      <a:avLst/>
                    </a:prstGeom>
                    <a:noFill/>
                    <a:ln>
                      <a:noFill/>
                    </a:ln>
                  </pic:spPr>
                </pic:pic>
              </a:graphicData>
            </a:graphic>
          </wp:inline>
        </w:drawing>
      </w:r>
    </w:p>
    <w:p w14:paraId="627C5F9D">
      <w:pPr>
        <w:widowControl/>
        <w:adjustRightInd w:val="0"/>
        <w:snapToGrid w:val="0"/>
        <w:spacing w:line="400" w:lineRule="exact"/>
        <w:ind w:left="360"/>
        <w:jc w:val="center"/>
        <w:rPr>
          <w:rFonts w:eastAsiaTheme="minorEastAsia"/>
          <w:color w:val="000000"/>
          <w:sz w:val="18"/>
          <w:szCs w:val="18"/>
        </w:rPr>
      </w:pPr>
      <w:r>
        <w:rPr>
          <w:rFonts w:hint="eastAsia"/>
          <w:color w:val="000000"/>
          <w:sz w:val="18"/>
          <w:szCs w:val="18"/>
        </w:rPr>
        <w:t>1-电动机；2-减速器</w:t>
      </w:r>
    </w:p>
    <w:p w14:paraId="586CF5C8">
      <w:pPr>
        <w:widowControl/>
        <w:adjustRightInd w:val="0"/>
        <w:snapToGrid w:val="0"/>
        <w:spacing w:line="400" w:lineRule="exact"/>
        <w:ind w:firstLine="2730" w:firstLineChars="1300"/>
        <w:rPr>
          <w:rFonts w:asciiTheme="minorHAnsi" w:hAnsiTheme="minorHAnsi" w:eastAsiaTheme="minorEastAsia"/>
          <w:color w:val="000000"/>
          <w:sz w:val="21"/>
          <w:szCs w:val="21"/>
        </w:rPr>
      </w:pP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2  方案二运动机构</w:t>
      </w:r>
      <w:r>
        <w:rPr>
          <w:rFonts w:asciiTheme="minorHAnsi" w:hAnsiTheme="minorHAnsi" w:eastAsiaTheme="minorEastAsia"/>
          <w:color w:val="000000"/>
          <w:sz w:val="21"/>
          <w:szCs w:val="21"/>
        </w:rPr>
        <w:t>传动简图</w:t>
      </w:r>
    </w:p>
    <w:p w14:paraId="671DDB23">
      <w:pPr>
        <w:pStyle w:val="4"/>
        <w:keepNext/>
        <w:keepLines/>
        <w:spacing w:before="156" w:beforeAutospacing="0" w:after="156" w:afterLines="50" w:afterAutospacing="0" w:line="400" w:lineRule="exact"/>
        <w:jc w:val="both"/>
        <w:rPr>
          <w:rFonts w:hint="default" w:ascii="Times New Roman" w:hAnsi="Times New Roman"/>
          <w:b w:val="0"/>
          <w:bCs w:val="0"/>
          <w:kern w:val="2"/>
          <w:sz w:val="28"/>
          <w:szCs w:val="28"/>
        </w:rPr>
      </w:pPr>
      <w:r>
        <w:rPr>
          <w:rFonts w:hint="default" w:ascii="Times New Roman" w:hAnsi="Times New Roman"/>
          <w:b w:val="0"/>
          <w:bCs w:val="0"/>
          <w:kern w:val="2"/>
          <w:sz w:val="28"/>
          <w:szCs w:val="28"/>
        </w:rPr>
        <w:t>2.2.2</w:t>
      </w:r>
      <w:r>
        <w:rPr>
          <w:rFonts w:ascii="Times New Roman" w:hAnsi="Times New Roman"/>
          <w:b w:val="0"/>
          <w:bCs w:val="0"/>
          <w:kern w:val="2"/>
          <w:sz w:val="28"/>
          <w:szCs w:val="28"/>
        </w:rPr>
        <w:t>喷药执行机构</w:t>
      </w:r>
      <w:r>
        <w:rPr>
          <w:rFonts w:hint="default" w:ascii="Times New Roman" w:hAnsi="Times New Roman"/>
          <w:b w:val="0"/>
          <w:bCs w:val="0"/>
          <w:kern w:val="2"/>
          <w:sz w:val="28"/>
          <w:szCs w:val="28"/>
        </w:rPr>
        <w:t>传动方案选择分析</w:t>
      </w:r>
    </w:p>
    <w:p w14:paraId="7F6CB39D">
      <w:pPr>
        <w:pStyle w:val="6"/>
        <w:ind w:firstLine="420"/>
        <w:rPr>
          <w:lang w:eastAsia="zh-CN"/>
        </w:rPr>
      </w:pPr>
      <w:r>
        <w:rPr>
          <w:rFonts w:hint="eastAsia"/>
          <w:lang w:eastAsia="zh-CN"/>
        </w:rPr>
        <w:t>1.用同步带传动来控制喷头的俯仰</w:t>
      </w:r>
    </w:p>
    <w:p w14:paraId="08338F71">
      <w:pPr>
        <w:pStyle w:val="6"/>
        <w:ind w:firstLine="420"/>
        <w:rPr>
          <w:lang w:eastAsia="zh-CN"/>
        </w:rPr>
      </w:pPr>
      <w:r>
        <w:rPr>
          <w:rFonts w:ascii="宋体" w:hAnsi="宋体"/>
          <w:szCs w:val="24"/>
          <w:lang w:eastAsia="zh-CN"/>
        </w:rPr>
        <w:t>该方案通过步进电机驱动同步带轮，利用同步带带动喷头组件绕俯仰轴旋转。同步带传动的核心优势在于能够实现电机的后置布局，通过皮带传动将动力传递至前端喷头，从而大幅减轻了悬臂末端的质量，降低了运动惯量，使喷头俯仰调节更加灵敏。同步带具有良好的吸振性能，能够吸收喷雾系统开启瞬时产生的冲击，保护电机和减速机构。此外，同步带传动无需润滑，不存在油污滴落污染作物的风险，符合温室绿色生产要求。徐阁在研究中指出，温室机器人的执行机构应尽量轻量化以提升动态响应，同步带方案正好契合这一需求</w:t>
      </w:r>
      <w:r>
        <w:rPr>
          <w:lang w:eastAsia="zh-CN"/>
        </w:rPr>
        <w:t>。</w:t>
      </w:r>
    </w:p>
    <w:p w14:paraId="3D1289D7">
      <w:pPr>
        <w:pStyle w:val="6"/>
        <w:ind w:firstLine="420"/>
      </w:pPr>
      <w:r>
        <w:drawing>
          <wp:inline distT="0" distB="0" distL="114300" distR="114300">
            <wp:extent cx="4905375" cy="4492625"/>
            <wp:effectExtent l="0" t="0" r="952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905375" cy="4492625"/>
                    </a:xfrm>
                    <a:prstGeom prst="rect">
                      <a:avLst/>
                    </a:prstGeom>
                    <a:noFill/>
                    <a:ln>
                      <a:noFill/>
                    </a:ln>
                  </pic:spPr>
                </pic:pic>
              </a:graphicData>
            </a:graphic>
          </wp:inline>
        </w:drawing>
      </w:r>
    </w:p>
    <w:p w14:paraId="0B3EC1E5">
      <w:pPr>
        <w:widowControl/>
        <w:adjustRightInd w:val="0"/>
        <w:snapToGrid w:val="0"/>
        <w:spacing w:line="400" w:lineRule="exact"/>
        <w:ind w:left="360"/>
        <w:jc w:val="center"/>
        <w:rPr>
          <w:rFonts w:eastAsiaTheme="minorEastAsia"/>
          <w:color w:val="000000"/>
          <w:sz w:val="18"/>
          <w:szCs w:val="18"/>
        </w:rPr>
      </w:pPr>
      <w:r>
        <w:rPr>
          <w:rFonts w:hint="eastAsia"/>
          <w:color w:val="000000"/>
          <w:sz w:val="18"/>
          <w:szCs w:val="18"/>
        </w:rPr>
        <w:t>1-同步带传动；2-轴承3-一级圆柱齿轮减速器；4-联轴器；5-电动机；</w:t>
      </w:r>
    </w:p>
    <w:p w14:paraId="01A117EE">
      <w:pPr>
        <w:widowControl/>
        <w:adjustRightInd w:val="0"/>
        <w:snapToGrid w:val="0"/>
        <w:spacing w:line="400" w:lineRule="exact"/>
        <w:ind w:firstLine="2730" w:firstLineChars="1300"/>
        <w:rPr>
          <w:rFonts w:asciiTheme="minorHAnsi" w:hAnsiTheme="minorHAnsi" w:eastAsiaTheme="minorEastAsia"/>
          <w:color w:val="000000"/>
          <w:sz w:val="21"/>
          <w:szCs w:val="21"/>
        </w:rPr>
      </w:pP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3  方案一喷药机构</w:t>
      </w:r>
      <w:r>
        <w:rPr>
          <w:rFonts w:asciiTheme="minorHAnsi" w:hAnsiTheme="minorHAnsi" w:eastAsiaTheme="minorEastAsia"/>
          <w:color w:val="000000"/>
          <w:sz w:val="21"/>
          <w:szCs w:val="21"/>
        </w:rPr>
        <w:t>传动简图</w:t>
      </w:r>
    </w:p>
    <w:p w14:paraId="1C1FBF9C">
      <w:pPr>
        <w:pStyle w:val="6"/>
        <w:ind w:firstLine="420"/>
        <w:rPr>
          <w:lang w:eastAsia="zh-CN"/>
        </w:rPr>
      </w:pPr>
      <w:r>
        <w:rPr>
          <w:rFonts w:hint="eastAsia"/>
          <w:lang w:eastAsia="zh-CN"/>
        </w:rPr>
        <w:t>2.用齿轮齿条控制喷头的俯仰</w:t>
      </w:r>
    </w:p>
    <w:p w14:paraId="0906755B">
      <w:pPr>
        <w:pStyle w:val="6"/>
        <w:ind w:firstLine="420"/>
        <w:rPr>
          <w:lang w:eastAsia="zh-CN"/>
        </w:rPr>
      </w:pPr>
      <w:r>
        <w:rPr>
          <w:rFonts w:ascii="宋体" w:hAnsi="宋体"/>
          <w:szCs w:val="24"/>
          <w:lang w:eastAsia="zh-CN"/>
        </w:rPr>
        <w:t>该方案通过电机带动小齿轮转动，驱动与喷头支架固联的圆弧形齿条实现俯仰运动。齿轮传动的刚性极强，能够提供极高的传动精度和瞬时响应，且不存在皮带老化、松弛带来的传动误差。在需要负载较大喷头组或进行高速高频俯仰调节时，齿轮传动表现出极佳的稳定性。然而，齿轮传动对安装精度要求极高，温室环境中的高湿度和可能残留的农药颗粒易进入齿隙，造成磨损加速甚至卡死。同时，齿轮副通常需要开放式或半开放式润滑，不仅增加了维护成本，还存在农药残留与润滑油混合导致机械故障的风险</w:t>
      </w:r>
      <w:r>
        <w:rPr>
          <w:lang w:eastAsia="zh-CN"/>
        </w:rPr>
        <w:t>。</w:t>
      </w:r>
    </w:p>
    <w:p w14:paraId="57D0CD15">
      <w:pPr>
        <w:pStyle w:val="6"/>
        <w:ind w:firstLine="420"/>
      </w:pPr>
      <w:r>
        <w:drawing>
          <wp:inline distT="0" distB="0" distL="114300" distR="114300">
            <wp:extent cx="5266055" cy="3499485"/>
            <wp:effectExtent l="0" t="0" r="444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66055" cy="3499485"/>
                    </a:xfrm>
                    <a:prstGeom prst="rect">
                      <a:avLst/>
                    </a:prstGeom>
                    <a:noFill/>
                    <a:ln>
                      <a:noFill/>
                    </a:ln>
                  </pic:spPr>
                </pic:pic>
              </a:graphicData>
            </a:graphic>
          </wp:inline>
        </w:drawing>
      </w:r>
    </w:p>
    <w:p w14:paraId="0058767D">
      <w:pPr>
        <w:widowControl/>
        <w:adjustRightInd w:val="0"/>
        <w:snapToGrid w:val="0"/>
        <w:spacing w:line="400" w:lineRule="exact"/>
        <w:ind w:left="360"/>
        <w:jc w:val="center"/>
        <w:rPr>
          <w:rFonts w:eastAsiaTheme="minorEastAsia"/>
          <w:color w:val="000000"/>
          <w:sz w:val="18"/>
          <w:szCs w:val="18"/>
        </w:rPr>
      </w:pPr>
      <w:r>
        <w:rPr>
          <w:rFonts w:hint="eastAsia"/>
          <w:color w:val="000000"/>
          <w:sz w:val="18"/>
          <w:szCs w:val="18"/>
        </w:rPr>
        <w:t>1-齿轮齿条传动；2-轴承3-一级圆柱齿轮减速器；4-联轴器；5-电动机；</w:t>
      </w:r>
    </w:p>
    <w:p w14:paraId="5CC638BB">
      <w:pPr>
        <w:widowControl/>
        <w:adjustRightInd w:val="0"/>
        <w:snapToGrid w:val="0"/>
        <w:spacing w:line="400" w:lineRule="exact"/>
        <w:ind w:firstLine="2730" w:firstLineChars="1300"/>
        <w:rPr>
          <w:rFonts w:asciiTheme="minorHAnsi" w:hAnsiTheme="minorHAnsi" w:eastAsiaTheme="minorEastAsia"/>
          <w:color w:val="000000"/>
          <w:sz w:val="21"/>
          <w:szCs w:val="21"/>
        </w:rPr>
      </w:pP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4  方案一喷药机构</w:t>
      </w:r>
      <w:r>
        <w:rPr>
          <w:rFonts w:asciiTheme="minorHAnsi" w:hAnsiTheme="minorHAnsi" w:eastAsiaTheme="minorEastAsia"/>
          <w:color w:val="000000"/>
          <w:sz w:val="21"/>
          <w:szCs w:val="21"/>
        </w:rPr>
        <w:t>传动简图</w:t>
      </w:r>
    </w:p>
    <w:p w14:paraId="3B7B34ED">
      <w:pPr>
        <w:pStyle w:val="4"/>
        <w:keepNext/>
        <w:keepLines/>
        <w:spacing w:before="156" w:beforeAutospacing="0" w:after="156" w:afterLines="50" w:afterAutospacing="0" w:line="400" w:lineRule="exact"/>
        <w:jc w:val="both"/>
        <w:rPr>
          <w:rFonts w:hint="default" w:ascii="Times New Roman" w:hAnsi="Times New Roman"/>
          <w:b w:val="0"/>
          <w:bCs w:val="0"/>
          <w:kern w:val="2"/>
          <w:sz w:val="28"/>
          <w:szCs w:val="28"/>
        </w:rPr>
      </w:pPr>
      <w:r>
        <w:rPr>
          <w:rFonts w:hint="default" w:ascii="Times New Roman" w:hAnsi="Times New Roman"/>
          <w:b w:val="0"/>
          <w:bCs w:val="0"/>
          <w:kern w:val="2"/>
          <w:sz w:val="28"/>
          <w:szCs w:val="28"/>
        </w:rPr>
        <w:t>2.2.</w:t>
      </w:r>
      <w:r>
        <w:rPr>
          <w:rFonts w:ascii="Times New Roman" w:hAnsi="Times New Roman"/>
          <w:b w:val="0"/>
          <w:bCs w:val="0"/>
          <w:kern w:val="2"/>
          <w:sz w:val="28"/>
          <w:szCs w:val="28"/>
        </w:rPr>
        <w:t>3电机</w:t>
      </w:r>
      <w:r>
        <w:rPr>
          <w:rFonts w:hint="default" w:ascii="Times New Roman" w:hAnsi="Times New Roman"/>
          <w:b w:val="0"/>
          <w:bCs w:val="0"/>
          <w:kern w:val="2"/>
          <w:sz w:val="28"/>
          <w:szCs w:val="28"/>
        </w:rPr>
        <w:t>方案选择</w:t>
      </w:r>
    </w:p>
    <w:p w14:paraId="00AA4BE8">
      <w:pPr>
        <w:pStyle w:val="6"/>
        <w:ind w:firstLine="420"/>
        <w:rPr>
          <w:lang w:eastAsia="zh-CN"/>
        </w:rPr>
      </w:pPr>
      <w:r>
        <w:rPr>
          <w:rFonts w:hint="eastAsia"/>
          <w:lang w:eastAsia="zh-CN"/>
        </w:rPr>
        <w:t>1.</w:t>
      </w:r>
      <w:r>
        <w:rPr>
          <w:rFonts w:ascii="宋体" w:hAnsi="宋体"/>
          <w:szCs w:val="24"/>
          <w:lang w:eastAsia="zh-CN"/>
        </w:rPr>
        <w:t>运动电机选型步进电机，喷头俯仰电机选型伺服电机</w:t>
      </w:r>
    </w:p>
    <w:p w14:paraId="202EB4A9">
      <w:pPr>
        <w:ind w:firstLine="420"/>
      </w:pPr>
      <w:r>
        <w:t>针对温室大棚喷药机器人移动底盘的驱动方式，目前行业内主要有内燃机驱动、液压驱动和纯电机驱动三种模式。传统内燃机驱动虽然动力强劲，但在密闭的温室大棚内会产生大量的废气排放和严重的噪音污染，不仅破坏作物生长环境，也不符合现代农业绿色环保的理念。液压驱动虽然承载能力好，但其系统结构过于复杂，管路繁多，且在农药等腐蚀性环境长期作业下极易发生液压油泄漏，维护成本高昂。综合考量温室大棚内部路面相对平坦且对环保要求极高的现实条件，本设计决定采用电机配套减速器的驱动方式。电机驱动具有零排放、低噪音、响应速度快以及控制精度高等显著优势，配合合适的车轮减速器，完全能够提供轮式底盘在温室地面直行、转弯及微小爬坡工况下所需的牵引力矩，同时极大地简化了底盘的机械结构，提升了整机的可靠性。</w:t>
      </w:r>
    </w:p>
    <w:p w14:paraId="3AD585C5">
      <w:pPr>
        <w:pStyle w:val="6"/>
        <w:ind w:firstLine="420"/>
      </w:pPr>
      <w:r>
        <w:drawing>
          <wp:anchor distT="0" distB="0" distL="114300" distR="114300" simplePos="0" relativeHeight="251664384" behindDoc="0" locked="0" layoutInCell="1" allowOverlap="1">
            <wp:simplePos x="0" y="0"/>
            <wp:positionH relativeFrom="column">
              <wp:posOffset>2889885</wp:posOffset>
            </wp:positionH>
            <wp:positionV relativeFrom="paragraph">
              <wp:posOffset>92075</wp:posOffset>
            </wp:positionV>
            <wp:extent cx="2316480" cy="1627505"/>
            <wp:effectExtent l="0" t="0" r="7620" b="10795"/>
            <wp:wrapSquare wrapText="bothSides"/>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3"/>
                    <a:stretch>
                      <a:fillRect/>
                    </a:stretch>
                  </pic:blipFill>
                  <pic:spPr>
                    <a:xfrm>
                      <a:off x="0" y="0"/>
                      <a:ext cx="2316480" cy="1627505"/>
                    </a:xfrm>
                    <a:prstGeom prst="rect">
                      <a:avLst/>
                    </a:prstGeom>
                    <a:noFill/>
                    <a:ln>
                      <a:noFill/>
                    </a:ln>
                  </pic:spPr>
                </pic:pic>
              </a:graphicData>
            </a:graphic>
          </wp:anchor>
        </w:drawing>
      </w:r>
      <w:r>
        <w:drawing>
          <wp:inline distT="0" distB="0" distL="114300" distR="114300">
            <wp:extent cx="1981835" cy="1721485"/>
            <wp:effectExtent l="0" t="0" r="12065" b="571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4"/>
                    <a:stretch>
                      <a:fillRect/>
                    </a:stretch>
                  </pic:blipFill>
                  <pic:spPr>
                    <a:xfrm>
                      <a:off x="0" y="0"/>
                      <a:ext cx="1981835" cy="1721485"/>
                    </a:xfrm>
                    <a:prstGeom prst="rect">
                      <a:avLst/>
                    </a:prstGeom>
                    <a:noFill/>
                    <a:ln>
                      <a:noFill/>
                    </a:ln>
                  </pic:spPr>
                </pic:pic>
              </a:graphicData>
            </a:graphic>
          </wp:inline>
        </w:drawing>
      </w:r>
    </w:p>
    <w:p w14:paraId="2C79BBC2">
      <w:pPr>
        <w:widowControl/>
        <w:adjustRightInd w:val="0"/>
        <w:snapToGrid w:val="0"/>
        <w:spacing w:line="400" w:lineRule="exact"/>
        <w:ind w:firstLine="1050" w:firstLineChars="500"/>
      </w:pP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 xml:space="preserve">5  步进电机                             </w:t>
      </w: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6  伺服电机</w:t>
      </w:r>
    </w:p>
    <w:p w14:paraId="5524D3E6">
      <w:pPr>
        <w:ind w:firstLine="420"/>
      </w:pPr>
      <w:r>
        <w:t>2.运动电机选型直流电机，喷头俯仰电机选型步进电机</w:t>
      </w:r>
    </w:p>
    <w:p w14:paraId="00E1F0E8">
      <w:pPr>
        <w:ind w:firstLine="420"/>
      </w:pPr>
      <w:r>
        <w:t>该方案中，底盘行走机构采用直流电机。直流电机尤其是直流减速电机具有优良的调速性能和启动转矩，其功率密度高、控制简单，配合编码器即可实现稳定的调速与路径跟踪。在温室平坦地面行驶时，直流电机表现出更高的能效比与运行平顺性，徐阁在研究中提到，电机驱动的平稳性是确保均匀喷施的基础。对于喷头俯仰轴，本方案选型步进电机。由于喷头俯仰属于小范围、高频次的定角度调节，步进电机的增量式运动特性非常适合这种点对点的精准定位。配合本设计中提到的同步带传动，步进电机可以在无需复杂闭环反馈的情况下，通过精确的脉冲控制实现稳定的俯仰角切换，既保证了靶向喷施的精度，又降低了电控系统的开发难度与硬件成本。</w:t>
      </w:r>
    </w:p>
    <w:p w14:paraId="76E3994B">
      <w:pPr>
        <w:pStyle w:val="6"/>
        <w:ind w:firstLine="420"/>
        <w:jc w:val="center"/>
      </w:pPr>
      <w:r>
        <w:drawing>
          <wp:inline distT="0" distB="0" distL="114300" distR="114300">
            <wp:extent cx="2252980" cy="1917700"/>
            <wp:effectExtent l="0" t="0" r="762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2252980" cy="1917700"/>
                    </a:xfrm>
                    <a:prstGeom prst="rect">
                      <a:avLst/>
                    </a:prstGeom>
                    <a:noFill/>
                    <a:ln>
                      <a:noFill/>
                    </a:ln>
                  </pic:spPr>
                </pic:pic>
              </a:graphicData>
            </a:graphic>
          </wp:inline>
        </w:drawing>
      </w:r>
    </w:p>
    <w:p w14:paraId="147CC81D">
      <w:pPr>
        <w:widowControl/>
        <w:adjustRightInd w:val="0"/>
        <w:snapToGrid w:val="0"/>
        <w:spacing w:line="400" w:lineRule="exact"/>
        <w:jc w:val="center"/>
      </w:pP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7  直流电机</w:t>
      </w:r>
    </w:p>
    <w:p w14:paraId="1215B4EA">
      <w:pPr>
        <w:pStyle w:val="4"/>
        <w:keepNext/>
        <w:keepLines/>
        <w:spacing w:before="156" w:beforeAutospacing="0" w:after="156" w:afterLines="50" w:afterAutospacing="0" w:line="400" w:lineRule="exact"/>
        <w:jc w:val="both"/>
        <w:rPr>
          <w:rFonts w:hint="default" w:ascii="Times New Roman" w:hAnsi="Times New Roman"/>
          <w:b w:val="0"/>
          <w:bCs w:val="0"/>
          <w:kern w:val="2"/>
          <w:sz w:val="28"/>
          <w:szCs w:val="28"/>
        </w:rPr>
      </w:pPr>
      <w:r>
        <w:rPr>
          <w:rFonts w:hint="default" w:ascii="Times New Roman" w:hAnsi="Times New Roman"/>
          <w:b w:val="0"/>
          <w:bCs w:val="0"/>
          <w:kern w:val="2"/>
          <w:sz w:val="28"/>
          <w:szCs w:val="28"/>
        </w:rPr>
        <w:t>2.2.</w:t>
      </w:r>
      <w:r>
        <w:rPr>
          <w:rFonts w:ascii="Times New Roman" w:hAnsi="Times New Roman"/>
          <w:b w:val="0"/>
          <w:bCs w:val="0"/>
          <w:kern w:val="2"/>
          <w:sz w:val="28"/>
          <w:szCs w:val="28"/>
        </w:rPr>
        <w:t>4</w:t>
      </w:r>
      <w:r>
        <w:rPr>
          <w:rFonts w:hint="default" w:ascii="Times New Roman" w:hAnsi="Times New Roman"/>
          <w:b w:val="0"/>
          <w:bCs w:val="0"/>
          <w:kern w:val="2"/>
          <w:sz w:val="28"/>
          <w:szCs w:val="28"/>
        </w:rPr>
        <w:t>电控部分方案选择</w:t>
      </w:r>
    </w:p>
    <w:p w14:paraId="65CA2735">
      <w:pPr>
        <w:pStyle w:val="6"/>
        <w:ind w:firstLine="420"/>
        <w:rPr>
          <w:lang w:eastAsia="zh-CN"/>
        </w:rPr>
      </w:pPr>
      <w:r>
        <w:rPr>
          <w:lang w:eastAsia="zh-CN"/>
        </w:rPr>
        <w:t>在喷药机器人的电控系统设计中，控制核心的选择直接关系到整机的运行稳定性、响应速度、制造成本以及后期的功能扩展。针对温室大棚作业环境与多轴运动控制的需求，目前主流的控制方案主要分为PLC控制与单片机控制两种。</w:t>
      </w:r>
    </w:p>
    <w:p w14:paraId="174F10EC">
      <w:pPr>
        <w:spacing w:line="400" w:lineRule="exact"/>
        <w:ind w:left="-60" w:firstLine="480"/>
        <w:rPr>
          <w:rFonts w:cs="Times New Roman"/>
          <w:kern w:val="0"/>
        </w:rPr>
      </w:pPr>
      <w:r>
        <w:rPr>
          <w:rFonts w:cs="Times New Roman"/>
          <w:kern w:val="0"/>
        </w:rPr>
        <w:t>1.PLC</w:t>
      </w:r>
      <w:r>
        <w:rPr>
          <w:rFonts w:hint="eastAsia" w:cs="Times New Roman"/>
          <w:kern w:val="0"/>
        </w:rPr>
        <w:t>控制</w:t>
      </w:r>
    </w:p>
    <w:p w14:paraId="4F48DA17">
      <w:pPr>
        <w:widowControl/>
        <w:ind w:firstLine="420"/>
        <w:rPr>
          <w:rFonts w:cs="宋体"/>
          <w:szCs w:val="28"/>
        </w:rPr>
      </w:pPr>
      <w:r>
        <w:rPr>
          <w:rFonts w:cs="宋体"/>
          <w:szCs w:val="28"/>
        </w:rPr>
        <w:t>采该方案采用PLC作为主控单元</w:t>
      </w:r>
      <w:r>
        <w:rPr>
          <w:rFonts w:hint="eastAsia" w:cs="宋体"/>
          <w:szCs w:val="28"/>
        </w:rPr>
        <w:t>如图2-8</w:t>
      </w:r>
      <w:r>
        <w:rPr>
          <w:rFonts w:cs="宋体"/>
          <w:szCs w:val="28"/>
        </w:rPr>
        <w:t>。PLC在传统工业自动化领域应用极为广泛，其核心优势在于经过了严苛的工业级测试，具备极高的抗干扰能力与工业级稳定性，能够在温室大棚这种高湿度、电磁环境复杂的恶劣工况下保持长时间不间断运行。同时，PLC通常采用直观的梯形图进行编程，逻辑清晰、开发周期较短，日常维护与故障排查也相对容易，易于后期运维。然而，结合本轮式微型喷药机器人的具体设计需求，PLC方案存在显著的结构性缺陷。首先，PLC的硬件体积较大且质量较重，采购成本也相对高昂，对于空间受限、对轻量化及低能耗有较高要求的轮式底盘而言，安装沉重的PLC模块会徒增底盘负荷，额外增加能耗、占据有限的内部空间，进而影响整机的续航与机动性。其次，本设计的核心在于通过步进电机精确控制底部云台与第二轴的俯仰，这需要极高频率的脉冲输出与复杂的运动学算法支持，而PLC内置的运动控制模块在处理步进电机高频脉冲、实现多轴联动控制时往往力不从心，灵活性与自定义程度不如嵌入式芯片，若要满足需求还需额外配置昂贵的专用定位扩展模块，这进一步降低了系统的灵活性与性价比。最后，PLC对于多传感器融合如超声波、视觉识别的扩展性相对较弱，难以实现所追求的智能化避障与精准靶向施药功能。</w:t>
      </w:r>
    </w:p>
    <w:p w14:paraId="38E39293">
      <w:pPr>
        <w:pStyle w:val="6"/>
        <w:ind w:firstLine="420"/>
      </w:pPr>
      <w:r>
        <w:drawing>
          <wp:inline distT="0" distB="0" distL="114300" distR="114300">
            <wp:extent cx="4975860" cy="4824730"/>
            <wp:effectExtent l="0" t="0" r="2540" b="127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6"/>
                    <a:stretch>
                      <a:fillRect/>
                    </a:stretch>
                  </pic:blipFill>
                  <pic:spPr>
                    <a:xfrm>
                      <a:off x="0" y="0"/>
                      <a:ext cx="4975860" cy="4824730"/>
                    </a:xfrm>
                    <a:prstGeom prst="rect">
                      <a:avLst/>
                    </a:prstGeom>
                    <a:noFill/>
                    <a:ln>
                      <a:noFill/>
                    </a:ln>
                  </pic:spPr>
                </pic:pic>
              </a:graphicData>
            </a:graphic>
          </wp:inline>
        </w:drawing>
      </w:r>
    </w:p>
    <w:p w14:paraId="0D7AF2AA">
      <w:pPr>
        <w:widowControl/>
        <w:adjustRightInd w:val="0"/>
        <w:snapToGrid w:val="0"/>
        <w:spacing w:line="400" w:lineRule="exact"/>
        <w:jc w:val="center"/>
        <w:rPr>
          <w:rFonts w:asciiTheme="minorHAnsi" w:hAnsiTheme="minorHAnsi" w:eastAsiaTheme="minorEastAsia"/>
          <w:color w:val="000000"/>
          <w:sz w:val="21"/>
          <w:szCs w:val="21"/>
        </w:rPr>
      </w:pP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8  PLC控制方案</w:t>
      </w:r>
    </w:p>
    <w:p w14:paraId="40BC0E64">
      <w:pPr>
        <w:spacing w:line="400" w:lineRule="exact"/>
        <w:ind w:firstLine="480" w:firstLineChars="200"/>
        <w:rPr>
          <w:rFonts w:cs="Times New Roman"/>
          <w:kern w:val="0"/>
        </w:rPr>
      </w:pPr>
      <w:r>
        <w:rPr>
          <w:rFonts w:hint="eastAsia" w:cs="Times New Roman"/>
          <w:kern w:val="0"/>
        </w:rPr>
        <w:t>2.</w:t>
      </w:r>
      <w:r>
        <w:t>树莓派</w:t>
      </w:r>
      <w:r>
        <w:rPr>
          <w:rFonts w:hint="eastAsia" w:cs="Times New Roman"/>
          <w:kern w:val="0"/>
        </w:rPr>
        <w:t>控制</w:t>
      </w:r>
    </w:p>
    <w:p w14:paraId="0980F9BC">
      <w:pPr>
        <w:pStyle w:val="6"/>
        <w:ind w:firstLine="420"/>
        <w:rPr>
          <w:lang w:eastAsia="zh-CN"/>
        </w:rPr>
      </w:pPr>
      <w:r>
        <w:rPr>
          <w:lang w:eastAsia="zh-CN"/>
        </w:rPr>
        <w:t>采该方案采用树莓派作为核心嵌入式计算平台</w:t>
      </w:r>
      <w:r>
        <w:rPr>
          <w:rFonts w:hint="eastAsia"/>
          <w:lang w:eastAsia="zh-CN"/>
        </w:rPr>
        <w:t>如图2-9</w:t>
      </w:r>
      <w:r>
        <w:rPr>
          <w:lang w:eastAsia="zh-CN"/>
        </w:rPr>
        <w:t>。树莓派实质上是一款微型电脑，搭载了高性能的ARM处理器并运行Linux操作系统。相比于传统控制器，树莓派在智能化作业中具有不可比拟的优势。其强大的CPU算力能够支持复杂的视觉处理算法，可实现在温室环境下的实时病虫害识别与精准对靶避障。如图 2-x所示的控制框架中，树莓派凭借其极高的集成度，不仅内置了Wi-Fi与蓝牙模块以方便远程移动端监控，其丰富的GPIO接口更能配合专门的扩展驱动模块，实现对底盘直流电机与二轴云台步进电机的精细化调度。</w:t>
      </w:r>
    </w:p>
    <w:p w14:paraId="33F947E3">
      <w:pPr>
        <w:pStyle w:val="6"/>
        <w:ind w:firstLine="420"/>
        <w:rPr>
          <w:lang w:eastAsia="zh-CN"/>
        </w:rPr>
      </w:pPr>
      <w:r>
        <w:rPr>
          <w:lang w:eastAsia="zh-CN"/>
        </w:rPr>
        <w:t>此外，树莓派支持的高级语言编程环境极大地方便了传感器数据的融合处理。针对温室极端环境可能导致的稳定性问题，本方案通过增加工业级稳压电源滤波模块、定制化散热结构及密封物理防护罩，有效弥补了其在工业稳定性上的短板。综合考量温室作业的智能化演进需求与系统性价比，本课题最终选择树莓派控制方案。该方案不仅能高效完成当前的底盘行走与喷药控制任务，更为后续引入边缘计算与自主导航算法提供了充足的硬件冗余。</w:t>
      </w:r>
    </w:p>
    <w:p w14:paraId="7D4797D8">
      <w:pPr>
        <w:pStyle w:val="6"/>
        <w:ind w:firstLine="420"/>
        <w:rPr>
          <w:lang w:eastAsia="zh-CN"/>
        </w:rPr>
      </w:pPr>
    </w:p>
    <w:p w14:paraId="3E992524">
      <w:pPr>
        <w:pStyle w:val="6"/>
        <w:ind w:firstLine="420"/>
      </w:pPr>
      <w:r>
        <w:drawing>
          <wp:inline distT="0" distB="0" distL="114300" distR="114300">
            <wp:extent cx="5272405" cy="4930140"/>
            <wp:effectExtent l="0" t="0" r="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7"/>
                    <a:srcRect t="1384"/>
                    <a:stretch>
                      <a:fillRect/>
                    </a:stretch>
                  </pic:blipFill>
                  <pic:spPr>
                    <a:xfrm>
                      <a:off x="0" y="0"/>
                      <a:ext cx="5272405" cy="4930140"/>
                    </a:xfrm>
                    <a:prstGeom prst="rect">
                      <a:avLst/>
                    </a:prstGeom>
                    <a:noFill/>
                    <a:ln>
                      <a:noFill/>
                    </a:ln>
                  </pic:spPr>
                </pic:pic>
              </a:graphicData>
            </a:graphic>
          </wp:inline>
        </w:drawing>
      </w:r>
    </w:p>
    <w:p w14:paraId="1432B0AB">
      <w:pPr>
        <w:widowControl/>
        <w:adjustRightInd w:val="0"/>
        <w:snapToGrid w:val="0"/>
        <w:spacing w:line="400" w:lineRule="exact"/>
        <w:jc w:val="center"/>
        <w:rPr>
          <w:rFonts w:asciiTheme="minorHAnsi" w:hAnsiTheme="minorHAnsi" w:eastAsiaTheme="minorEastAsia"/>
          <w:color w:val="000000"/>
          <w:sz w:val="21"/>
          <w:szCs w:val="21"/>
        </w:rPr>
      </w:pPr>
      <w:r>
        <w:rPr>
          <w:rFonts w:asciiTheme="minorHAnsi" w:hAnsiTheme="minorHAnsi" w:eastAsiaTheme="minorEastAsia"/>
          <w:color w:val="000000"/>
          <w:sz w:val="21"/>
          <w:szCs w:val="21"/>
        </w:rPr>
        <w:t>图2-</w:t>
      </w:r>
      <w:r>
        <w:rPr>
          <w:rFonts w:hint="eastAsia" w:asciiTheme="minorHAnsi" w:hAnsiTheme="minorHAnsi" w:eastAsiaTheme="minorEastAsia"/>
          <w:color w:val="000000"/>
          <w:sz w:val="21"/>
          <w:szCs w:val="21"/>
        </w:rPr>
        <w:t xml:space="preserve">9 </w:t>
      </w:r>
      <w:bookmarkStart w:id="26" w:name="_GoBack"/>
      <w:r>
        <w:rPr>
          <w:rFonts w:hint="eastAsia" w:asciiTheme="minorHAnsi" w:hAnsiTheme="minorHAnsi" w:eastAsiaTheme="minorEastAsia"/>
          <w:color w:val="000000"/>
          <w:sz w:val="21"/>
          <w:szCs w:val="21"/>
        </w:rPr>
        <w:t xml:space="preserve"> </w:t>
      </w:r>
      <w:bookmarkEnd w:id="26"/>
      <w:r>
        <w:rPr>
          <w:rFonts w:hint="eastAsia" w:asciiTheme="minorHAnsi" w:hAnsiTheme="minorHAnsi" w:eastAsiaTheme="minorEastAsia"/>
          <w:color w:val="000000"/>
          <w:sz w:val="21"/>
          <w:szCs w:val="21"/>
        </w:rPr>
        <w:t>树莓派控制方案</w:t>
      </w:r>
    </w:p>
    <w:p w14:paraId="6C5C28DB">
      <w:pPr>
        <w:pStyle w:val="3"/>
        <w:keepNext/>
        <w:keepLines/>
        <w:spacing w:before="260" w:beforeAutospacing="0" w:after="260" w:afterAutospacing="0" w:line="400" w:lineRule="exact"/>
        <w:jc w:val="center"/>
        <w:rPr>
          <w:rFonts w:hint="default" w:ascii="Times New Roman" w:hAnsi="Times New Roman" w:eastAsia="黑体"/>
          <w:b w:val="0"/>
          <w:kern w:val="2"/>
          <w:sz w:val="30"/>
          <w:szCs w:val="32"/>
        </w:rPr>
      </w:pPr>
      <w:r>
        <w:rPr>
          <w:rFonts w:hint="default" w:ascii="Times New Roman" w:hAnsi="Times New Roman" w:eastAsia="黑体"/>
          <w:b w:val="0"/>
          <w:kern w:val="2"/>
          <w:sz w:val="30"/>
          <w:szCs w:val="32"/>
        </w:rPr>
        <w:t>2.</w:t>
      </w:r>
      <w:r>
        <w:rPr>
          <w:rFonts w:ascii="Times New Roman" w:hAnsi="Times New Roman" w:eastAsia="黑体"/>
          <w:b w:val="0"/>
          <w:kern w:val="2"/>
          <w:sz w:val="30"/>
          <w:szCs w:val="32"/>
        </w:rPr>
        <w:t>3喷头</w:t>
      </w:r>
      <w:r>
        <w:rPr>
          <w:rFonts w:hint="default" w:ascii="Times New Roman" w:hAnsi="Times New Roman" w:eastAsia="黑体"/>
          <w:b w:val="0"/>
          <w:kern w:val="2"/>
          <w:sz w:val="30"/>
          <w:szCs w:val="32"/>
        </w:rPr>
        <w:t>部分方案选择</w:t>
      </w:r>
    </w:p>
    <w:p w14:paraId="61D61122"/>
    <w:p w14:paraId="77B05ABF">
      <w:pPr>
        <w:pStyle w:val="3"/>
        <w:keepNext/>
        <w:keepLines/>
        <w:spacing w:before="260" w:beforeAutospacing="0" w:after="260" w:afterAutospacing="0" w:line="400" w:lineRule="exact"/>
        <w:jc w:val="center"/>
        <w:rPr>
          <w:rFonts w:hint="default" w:ascii="Times New Roman" w:hAnsi="Times New Roman" w:eastAsia="黑体"/>
          <w:b w:val="0"/>
          <w:kern w:val="2"/>
          <w:sz w:val="30"/>
          <w:szCs w:val="32"/>
        </w:rPr>
      </w:pPr>
      <w:r>
        <w:rPr>
          <w:rFonts w:hint="default" w:ascii="Times New Roman" w:hAnsi="Times New Roman" w:eastAsia="黑体"/>
          <w:b w:val="0"/>
          <w:kern w:val="2"/>
          <w:sz w:val="30"/>
          <w:szCs w:val="32"/>
        </w:rPr>
        <w:t>2.3最终设计方案</w:t>
      </w:r>
    </w:p>
    <w:p w14:paraId="43964E4B">
      <w:pPr>
        <w:pStyle w:val="6"/>
        <w:ind w:firstLine="420"/>
        <w:rPr>
          <w:lang w:eastAsia="zh-CN"/>
        </w:rPr>
      </w:pPr>
      <w:r>
        <w:rPr>
          <w:lang w:eastAsia="zh-CN"/>
        </w:rPr>
        <w:t>综合上述各项论证与温室大棚的实际作业环境，本课题最终确定的整体设计方案如下。整机采用四轮驱动或两驱加万向轮的轮式移动底盘，由直流电机配套专门的减速器提供行走动力，确保在平整路面上的快速机动与灵活转向。车体上方搭载二轴喷药机构，其中底部水平云台采用步进电机直接配合谐波减速器，以提供大扭矩、高精度的方位角调节；第二轴则通过步进电机驱动同步带，精巧地控制喷头组件的俯仰角度，实现轻量化的高效对靶。在整机质心布局与液路系统方面，巧妙地将容积较大的水箱及供药水泵布置在车体后端。水箱后置的布局方案不仅为前部的喷药云台腾出了充足的操作空间，更重要的是利用药液自身的重量使整机重心后移，大幅增加了底盘驱动轮的地面附着力，有效防止了机器人在启动或湿滑地面作业时发生的打滑现象。在电控系统方面，本课题选定树莓派作为核心嵌入式计算平台。树莓派凭借其高性能的ARM处理器与Linux操作系统环境，负责全局路径规划、远程交互及后续潜在的视觉识别任务。通过树莓派的GPIO接口扩展专门的驱动电路，实现对底盘直流电机与喷药步进电机的精细化调度。</w:t>
      </w:r>
    </w:p>
    <w:p w14:paraId="7846654A">
      <w:pPr>
        <w:pStyle w:val="3"/>
        <w:keepNext/>
        <w:keepLines/>
        <w:spacing w:before="260" w:beforeAutospacing="0" w:after="260" w:afterAutospacing="0" w:line="400" w:lineRule="exact"/>
        <w:jc w:val="center"/>
        <w:rPr>
          <w:rFonts w:hint="default" w:ascii="Times New Roman" w:hAnsi="Times New Roman" w:eastAsia="黑体"/>
          <w:b w:val="0"/>
          <w:kern w:val="2"/>
          <w:sz w:val="30"/>
          <w:szCs w:val="32"/>
        </w:rPr>
      </w:pPr>
      <w:r>
        <w:rPr>
          <w:rFonts w:hint="default" w:ascii="Times New Roman" w:hAnsi="Times New Roman" w:eastAsia="黑体"/>
          <w:b w:val="0"/>
          <w:kern w:val="2"/>
          <w:sz w:val="30"/>
          <w:szCs w:val="32"/>
        </w:rPr>
        <w:t>2.4结论</w:t>
      </w:r>
    </w:p>
    <w:p w14:paraId="3FA8C41D">
      <w:pPr>
        <w:pStyle w:val="6"/>
        <w:ind w:firstLine="420"/>
        <w:rPr>
          <w:lang w:eastAsia="zh-CN"/>
        </w:rPr>
      </w:pPr>
      <w:r>
        <w:rPr>
          <w:lang w:eastAsia="zh-CN"/>
        </w:rPr>
        <w:t>经过全面细致的方案对比与技术分析，本设计所采用的“轮式底盘+二轴云台+水箱后置”的总体构型在理论与实际工程应用中均具备高度的可行性。在传动方案上，底部谐波减速器与第二轴带传动的优势互补，在保证高精度定向喷洒的同时，成功实现了末端执行机构的轻量化与吸振保护；在动力方案上，电机配套减速器完美契合了温室大棚对绿色、无污染、低噪音的严苛要求；整备质量后置的结构布局进一步提升了运动底盘的牵引稳定性。综上所述，该机器人的各项设计指标均符合温室自动化喷药的预期要求，具备良好的研发价值与广阔的应用前景。</w:t>
      </w:r>
    </w:p>
    <w:p w14:paraId="48786CAB">
      <w:r>
        <w:br w:type="page"/>
      </w:r>
    </w:p>
    <w:p w14:paraId="4EEDB7AF">
      <w:pPr>
        <w:pStyle w:val="6"/>
        <w:rPr>
          <w:lang w:eastAsia="zh-CN"/>
        </w:rPr>
      </w:pPr>
      <w:r>
        <w:rPr>
          <w:rFonts w:hint="eastAsia"/>
          <w:lang w:eastAsia="zh-CN"/>
        </w:rPr>
        <w:t>第2章可行性论证报告</w:t>
      </w:r>
    </w:p>
    <w:p w14:paraId="10AC8D11">
      <w:pPr>
        <w:pStyle w:val="6"/>
        <w:rPr>
          <w:lang w:eastAsia="zh-CN"/>
        </w:rPr>
      </w:pPr>
      <w:r>
        <w:rPr>
          <w:lang w:eastAsia="zh-CN"/>
        </w:rPr>
        <w:t>2.1设计目的</w:t>
      </w:r>
    </w:p>
    <w:p w14:paraId="446B0D3B">
      <w:pPr>
        <w:pStyle w:val="6"/>
        <w:rPr>
          <w:lang w:eastAsia="zh-CN"/>
        </w:rPr>
      </w:pPr>
      <w:r>
        <w:rPr>
          <w:rFonts w:hint="default"/>
          <w:lang w:eastAsia="zh-CN"/>
        </w:rPr>
        <w:t>3.2移动底盘驱动系统计算与伺服电机选型（四轮驱动方案）</w:t>
      </w:r>
    </w:p>
    <w:p w14:paraId="10EAEC52">
      <w:pPr>
        <w:pStyle w:val="6"/>
        <w:rPr>
          <w:rFonts w:hint="default"/>
          <w:lang w:eastAsia="zh-CN"/>
        </w:rPr>
      </w:pPr>
      <w:r>
        <w:rPr>
          <w:rFonts w:hint="default"/>
          <w:lang w:eastAsia="zh-CN"/>
        </w:rPr>
        <w:t>温室轮式机器人的底盘需要克服地面的滚动阻力，并在低速巡航、越障及爬坡时保持稳定的大扭矩输出。本设计采用四轮独立驱动方案，为了满足高精度自主导航、平滑的差速转向以及温室复杂地形的通过性，底盘驱动核心选用低压直流伺服电机与精密行星齿轮减速器组合。</w:t>
      </w:r>
    </w:p>
    <w:p w14:paraId="03CFD699">
      <w:pPr>
        <w:pStyle w:val="6"/>
        <w:rPr>
          <w:rFonts w:hint="default"/>
          <w:lang w:eastAsia="zh-CN"/>
        </w:rPr>
      </w:pPr>
      <w:r>
        <w:rPr>
          <w:rFonts w:hint="default"/>
          <w:lang w:eastAsia="zh-CN"/>
        </w:rPr>
        <w:t>3.2.1驱动系统核心设计参数</w:t>
      </w:r>
    </w:p>
    <w:p w14:paraId="4844ED7E">
      <w:pPr>
        <w:pStyle w:val="6"/>
        <w:rPr>
          <w:rFonts w:hint="default"/>
          <w:lang w:eastAsia="zh-CN"/>
        </w:rPr>
      </w:pPr>
      <w:r>
        <w:rPr>
          <w:rFonts w:hint="default"/>
          <w:lang w:eastAsia="zh-CN"/>
        </w:rPr>
        <w:t>根据温室大棚窄行作业的轻量化设计目标与实际作业指标，设定喷药机器人的基础运行参数如下：</w:t>
      </w:r>
    </w:p>
    <w:p w14:paraId="584CA6A2">
      <w:pPr>
        <w:pStyle w:val="6"/>
        <w:rPr>
          <w:rFonts w:hint="default"/>
          <w:lang w:eastAsia="zh-CN"/>
        </w:rPr>
      </w:pPr>
      <w:r>
        <w:rPr>
          <w:rFonts w:hint="default"/>
          <w:lang w:eastAsia="zh-CN"/>
        </w:rPr>
        <w:t>满载总质量：M=30kg（搭载15L后置式抗腐蚀PE水箱，满载药液约15kg，车架及机电系统约15kg）</w:t>
      </w:r>
    </w:p>
    <w:p w14:paraId="6C110625">
      <w:pPr>
        <w:pStyle w:val="6"/>
        <w:rPr>
          <w:rFonts w:hint="default"/>
          <w:lang w:eastAsia="zh-CN"/>
        </w:rPr>
      </w:pPr>
      <w:r>
        <w:rPr>
          <w:rFonts w:hint="default"/>
          <w:lang w:eastAsia="zh-CN"/>
        </w:rPr>
        <w:t>额定作业速度：</w:t>
      </w:r>
      <m:oMath>
        <m:r>
          <m:rPr/>
          <w:rPr>
            <w:rFonts w:hint="default" w:ascii="Cambria Math" w:hAnsi="Cambria Math"/>
            <w:sz w:val="24"/>
          </w:rPr>
          <m:t>v=0.2∼0.8m/s</m:t>
        </m:r>
      </m:oMath>
      <w:r>
        <w:rPr>
          <w:rFonts w:hint="default"/>
          <w:lang w:eastAsia="zh-CN"/>
        </w:rPr>
        <w:t>可调（取最高速度</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m:sty m:val="p"/>
              </m:rPr>
              <w:rPr>
                <w:rFonts w:hint="default" w:ascii="Cambria Math" w:hAnsi="Cambria Math"/>
                <w:sz w:val="24"/>
              </w:rPr>
              <m:t>max</m:t>
            </m:r>
            <m:ctrlPr>
              <w:rPr>
                <w:rFonts w:ascii="Cambria Math" w:hAnsi="Cambria Math"/>
                <w:sz w:val="24"/>
              </w:rPr>
            </m:ctrlPr>
          </m:sub>
        </m:sSub>
        <m:r>
          <m:rPr/>
          <w:rPr>
            <w:rFonts w:hint="default" w:ascii="Cambria Math" w:hAnsi="Cambria Math"/>
            <w:sz w:val="24"/>
          </w:rPr>
          <m:t>=0.8m/s</m:t>
        </m:r>
      </m:oMath>
      <w:r>
        <w:rPr>
          <w:rFonts w:hint="default"/>
          <w:lang w:eastAsia="zh-CN"/>
        </w:rPr>
        <w:t>进行极限转速核算）</w:t>
      </w:r>
    </w:p>
    <w:p w14:paraId="6422AEDF">
      <w:pPr>
        <w:pStyle w:val="6"/>
        <w:rPr>
          <w:rFonts w:hint="default"/>
          <w:lang w:eastAsia="zh-CN"/>
        </w:rPr>
      </w:pPr>
      <w:r>
        <w:rPr>
          <w:rFonts w:hint="default"/>
          <w:lang w:eastAsia="zh-CN"/>
        </w:rPr>
        <w:t>最大爬坡能力：</w:t>
      </w:r>
      <m:oMath>
        <m:r>
          <m:rPr/>
          <w:rPr>
            <w:rFonts w:hint="default" w:ascii="Cambria Math" w:hAnsi="Cambria Math"/>
            <w:sz w:val="24"/>
          </w:rPr>
          <m:t>α=1</m:t>
        </m:r>
        <m:sSup>
          <m:sSupPr>
            <m:ctrlPr>
              <w:rPr>
                <w:rFonts w:hint="default" w:ascii="Cambria Math" w:hAnsi="Cambria Math"/>
                <w:sz w:val="24"/>
              </w:rPr>
            </m:ctrlPr>
          </m:sSupPr>
          <m:e>
            <m:r>
              <m:rPr/>
              <w:rPr>
                <w:rFonts w:hint="default" w:ascii="Cambria Math" w:hAnsi="Cambria Math"/>
                <w:sz w:val="24"/>
              </w:rPr>
              <m:t>5</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p>
    <w:p w14:paraId="525D5C44">
      <w:pPr>
        <w:pStyle w:val="6"/>
        <w:rPr>
          <w:rFonts w:hint="default"/>
          <w:lang w:eastAsia="zh-CN"/>
        </w:rPr>
      </w:pPr>
      <w:r>
        <w:rPr>
          <w:rFonts w:hint="default"/>
          <w:lang w:eastAsia="zh-CN"/>
        </w:rPr>
        <w:t>驱动轮半径：</w:t>
      </w:r>
      <m:oMath>
        <m:r>
          <m:rPr/>
          <w:rPr>
            <w:rFonts w:hint="default" w:ascii="Cambria Math" w:hAnsi="Cambria Math"/>
            <w:sz w:val="24"/>
          </w:rPr>
          <m:t>R=0.1m</m:t>
        </m:r>
      </m:oMath>
    </w:p>
    <w:p w14:paraId="0C81105D">
      <w:pPr>
        <w:pStyle w:val="6"/>
        <w:rPr>
          <w:rFonts w:hint="default"/>
          <w:lang w:eastAsia="zh-CN"/>
        </w:rPr>
      </w:pPr>
      <w:r>
        <w:rPr>
          <w:rFonts w:hint="default"/>
          <w:lang w:eastAsia="zh-CN"/>
        </w:rPr>
        <w:t>温室泥地/地垫滚动阻力系数：</w:t>
      </w:r>
      <m:oMath>
        <m:r>
          <m:rPr/>
          <w:rPr>
            <w:rFonts w:hint="default" w:ascii="Cambria Math" w:hAnsi="Cambria Math"/>
            <w:sz w:val="24"/>
          </w:rPr>
          <m:t>f=0.1</m:t>
        </m:r>
      </m:oMath>
    </w:p>
    <w:p w14:paraId="31591A70">
      <w:pPr>
        <w:pStyle w:val="6"/>
        <w:rPr>
          <w:lang w:eastAsia="zh-CN"/>
        </w:rPr>
      </w:pPr>
      <w:r>
        <w:rPr>
          <w:rFonts w:hint="default"/>
          <w:lang w:eastAsia="zh-CN"/>
        </w:rPr>
        <w:t>传动系统总效率：</w:t>
      </w:r>
      <m:oMath>
        <m:r>
          <m:rPr/>
          <w:rPr>
            <w:rFonts w:hint="default" w:ascii="Cambria Math" w:hAnsi="Cambria Math"/>
            <w:sz w:val="24"/>
          </w:rPr>
          <m:t>η=0.85</m:t>
        </m:r>
      </m:oMath>
      <w:r>
        <w:rPr>
          <w:rFonts w:hint="default"/>
          <w:lang w:eastAsia="zh-CN"/>
        </w:rPr>
        <w:t>（综合减速器与轮轴轴承的摩擦损失</w:t>
      </w:r>
    </w:p>
    <w:p w14:paraId="08D54844">
      <w:pPr>
        <w:pStyle w:val="6"/>
        <w:rPr>
          <w:rFonts w:hint="default"/>
          <w:lang w:eastAsia="zh-CN"/>
        </w:rPr>
      </w:pPr>
      <w:r>
        <w:rPr>
          <w:rFonts w:hint="default"/>
          <w:lang w:eastAsia="zh-CN"/>
        </w:rPr>
        <w:t>3.2.1移动底盘驱动电机设计计算</w:t>
      </w:r>
    </w:p>
    <w:p w14:paraId="71BED870">
      <w:pPr>
        <w:pStyle w:val="6"/>
        <w:rPr>
          <w:lang w:eastAsia="zh-CN"/>
        </w:rPr>
      </w:pPr>
      <w:r>
        <w:rPr>
          <w:rFonts w:hint="default"/>
          <w:lang w:eastAsia="zh-CN"/>
        </w:rPr>
        <w:t>1.计算底盘满载极限牵引力当机器人处于满载且在15∘坡道上加速起步时，为底盘受力的最恶劣工况。此时底盘需要克服沿坡面向下的重力分量、坡面滚动摩擦阻力以及加速惯性阻力。整车极限总阻力Fmax​为：</w:t>
      </w:r>
    </w:p>
    <w:p w14:paraId="667BF1AE">
      <w:pPr>
        <w:pStyle w:val="6"/>
        <w:rPr>
          <w:rFonts w:hint="default"/>
          <w:lang w:eastAsia="zh-CN"/>
        </w:rPr>
      </w:pPr>
      <m:oMathPara>
        <m:oMath>
          <m:r>
            <m:rPr/>
            <w:rPr>
              <w:rFonts w:hint="default" w:ascii="Cambria Math" w:hAnsi="Cambria Math"/>
              <w:sz w:val="24"/>
            </w:rPr>
            <m:t>Fmax​=M⋅g⋅sinα+M⋅g⋅cosα⋅μ+M⋅a</m:t>
          </m:r>
        </m:oMath>
      </m:oMathPara>
    </w:p>
    <w:p w14:paraId="1F06F488">
      <w:pPr>
        <w:pStyle w:val="6"/>
        <w:rPr>
          <w:rFonts w:hint="default"/>
          <w:lang w:eastAsia="zh-CN"/>
        </w:rPr>
      </w:pPr>
      <w:r>
        <w:rPr>
          <w:rFonts w:hint="default"/>
          <w:lang w:eastAsia="zh-CN"/>
        </w:rPr>
        <w:t>式中M——满载总质量，kg，取30kg；</w:t>
      </w:r>
    </w:p>
    <w:p w14:paraId="2A3A68DA">
      <w:pPr>
        <w:pStyle w:val="6"/>
        <w:rPr>
          <w:rFonts w:hint="default"/>
          <w:lang w:eastAsia="zh-CN"/>
        </w:rPr>
      </w:pPr>
      <w:r>
        <w:rPr>
          <w:rFonts w:hint="default"/>
          <w:lang w:eastAsia="zh-CN"/>
        </w:rPr>
        <w:t>g——重力加速度，m/s²，取9.8m/s²；</w:t>
      </w:r>
    </w:p>
    <w:p w14:paraId="4871E49D">
      <w:pPr>
        <w:pStyle w:val="6"/>
        <w:rPr>
          <w:rFonts w:hint="default"/>
          <w:lang w:eastAsia="zh-CN"/>
        </w:rPr>
      </w:pPr>
      <w:r>
        <w:rPr>
          <w:rFonts w:hint="default"/>
          <w:lang w:eastAsia="zh-CN"/>
        </w:rPr>
        <w:t>α——最大爬坡角度，°，取15°；</w:t>
      </w:r>
    </w:p>
    <w:p w14:paraId="7BF98DA1">
      <w:pPr>
        <w:pStyle w:val="6"/>
        <w:rPr>
          <w:rFonts w:hint="default"/>
          <w:lang w:eastAsia="zh-CN"/>
        </w:rPr>
      </w:pPr>
      <w:r>
        <w:rPr>
          <w:rFonts w:hint="default"/>
          <w:lang w:eastAsia="zh-CN"/>
        </w:rPr>
        <w:t>μ——滚动阻力系数，取0.1；</w:t>
      </w:r>
    </w:p>
    <w:p w14:paraId="4313FFF5">
      <w:pPr>
        <w:pStyle w:val="6"/>
        <w:rPr>
          <w:rFonts w:hint="default"/>
          <w:lang w:eastAsia="zh-CN"/>
        </w:rPr>
      </w:pPr>
      <w:r>
        <w:rPr>
          <w:rFonts w:hint="default"/>
          <w:lang w:eastAsia="zh-CN"/>
        </w:rPr>
        <w:t>a——起步加速度，m/s²，取0.2m/s²。</w:t>
      </w:r>
    </w:p>
    <w:p w14:paraId="788CE1DF">
      <w:pPr>
        <w:pStyle w:val="6"/>
        <w:rPr>
          <w:lang w:eastAsia="zh-CN"/>
        </w:rPr>
      </w:pPr>
      <w:r>
        <w:rPr>
          <w:rFonts w:hint="default"/>
          <w:lang w:eastAsia="zh-CN"/>
        </w:rPr>
        <w:t>代入公式得：</w:t>
      </w:r>
    </w:p>
    <w:p w14:paraId="63C2AD12">
      <w:pPr>
        <w:pStyle w:val="6"/>
        <w:rPr>
          <w:rFonts w:hint="default"/>
          <w:lang w:eastAsia="zh-CN"/>
        </w:rPr>
      </w:pPr>
      <m:oMathPara>
        <m:oMath>
          <m:r>
            <m:rPr/>
            <w:rPr>
              <w:rFonts w:hint="default" w:ascii="Cambria Math" w:hAnsi="Cambria Math"/>
              <w:sz w:val="24"/>
            </w:rPr>
            <m:t>Fmax​=30</m:t>
          </m:r>
          <m:r>
            <m:rPr>
              <m:sty m:val="p"/>
            </m:rPr>
            <w:rPr>
              <w:rFonts w:hint="default" w:ascii="Cambria Math" w:hAnsi="Cambria Math"/>
              <w:sz w:val="24"/>
            </w:rPr>
            <m:t>×</m:t>
          </m:r>
          <m:r>
            <m:rPr/>
            <w:rPr>
              <w:rFonts w:hint="default" w:ascii="Cambria Math" w:hAnsi="Cambria Math"/>
              <w:sz w:val="24"/>
            </w:rPr>
            <m:t>9.8</m:t>
          </m:r>
          <m:r>
            <m:rPr>
              <m:sty m:val="p"/>
            </m:rPr>
            <w:rPr>
              <w:rFonts w:hint="default" w:ascii="Cambria Math" w:hAnsi="Cambria Math"/>
              <w:sz w:val="24"/>
            </w:rPr>
            <m:t>×</m:t>
          </m:r>
          <m:r>
            <m:rPr/>
            <w:rPr>
              <w:rFonts w:hint="default" w:ascii="Cambria Math" w:hAnsi="Cambria Math"/>
              <w:sz w:val="24"/>
            </w:rPr>
            <m:t>sin15∘+30</m:t>
          </m:r>
          <m:r>
            <m:rPr>
              <m:sty m:val="p"/>
            </m:rPr>
            <w:rPr>
              <w:rFonts w:hint="default" w:ascii="Cambria Math" w:hAnsi="Cambria Math"/>
              <w:sz w:val="24"/>
            </w:rPr>
            <m:t>×</m:t>
          </m:r>
          <m:r>
            <m:rPr/>
            <w:rPr>
              <w:rFonts w:hint="default" w:ascii="Cambria Math" w:hAnsi="Cambria Math"/>
              <w:sz w:val="24"/>
            </w:rPr>
            <m:t>9.8</m:t>
          </m:r>
          <m:r>
            <m:rPr>
              <m:sty m:val="p"/>
            </m:rPr>
            <w:rPr>
              <w:rFonts w:hint="default" w:ascii="Cambria Math" w:hAnsi="Cambria Math"/>
              <w:sz w:val="24"/>
            </w:rPr>
            <m:t>×</m:t>
          </m:r>
          <m:r>
            <m:rPr/>
            <w:rPr>
              <w:rFonts w:hint="default" w:ascii="Cambria Math" w:hAnsi="Cambria Math"/>
              <w:sz w:val="24"/>
            </w:rPr>
            <m:t>cos15∘</m:t>
          </m:r>
          <m:r>
            <m:rPr>
              <m:sty m:val="p"/>
            </m:rPr>
            <w:rPr>
              <w:rFonts w:hint="default" w:ascii="Cambria Math" w:hAnsi="Cambria Math"/>
              <w:sz w:val="24"/>
            </w:rPr>
            <m:t>×</m:t>
          </m:r>
          <m:r>
            <m:rPr/>
            <w:rPr>
              <w:rFonts w:hint="default" w:ascii="Cambria Math" w:hAnsi="Cambria Math"/>
              <w:sz w:val="24"/>
            </w:rPr>
            <m:t>0.1+30</m:t>
          </m:r>
          <m:r>
            <m:rPr>
              <m:sty m:val="p"/>
            </m:rPr>
            <w:rPr>
              <w:rFonts w:hint="default" w:ascii="Cambria Math" w:hAnsi="Cambria Math"/>
              <w:sz w:val="24"/>
            </w:rPr>
            <m:t>×</m:t>
          </m:r>
          <m:r>
            <m:rPr/>
            <w:rPr>
              <w:rFonts w:hint="default" w:ascii="Cambria Math" w:hAnsi="Cambria Math"/>
              <w:sz w:val="24"/>
            </w:rPr>
            <m:t>0.2=76.09+28.40+6=110.49</m:t>
          </m:r>
          <m:r>
            <m:rPr>
              <m:sty m:val="p"/>
            </m:rPr>
            <w:rPr>
              <w:rFonts w:hint="default" w:ascii="Cambria Math" w:hAnsi="Cambria Math"/>
              <w:sz w:val="24"/>
            </w:rPr>
            <m:t> </m:t>
          </m:r>
          <m:r>
            <m:rPr/>
            <w:rPr>
              <w:rFonts w:hint="default" w:ascii="Cambria Math" w:hAnsi="Cambria Math"/>
              <w:sz w:val="24"/>
            </w:rPr>
            <m:t>N</m:t>
          </m:r>
        </m:oMath>
      </m:oMathPara>
    </w:p>
    <w:p w14:paraId="7E2ABE33">
      <w:pPr>
        <w:pStyle w:val="6"/>
        <w:rPr>
          <w:lang w:eastAsia="zh-CN"/>
        </w:rPr>
      </w:pPr>
      <w:r>
        <w:rPr>
          <w:rFonts w:hint="default"/>
          <w:lang w:eastAsia="zh-CN"/>
        </w:rPr>
        <w:t>2.计算单轮峰值驱动转矩采用四轮驱动，假设整机重心分布均匀，总阻力由四个驱动轮平均分担。单轮所需提供的最大驱动扭矩Twmax​为：</w:t>
      </w:r>
    </w:p>
    <w:p w14:paraId="14DAC590">
      <w:pPr>
        <w:pStyle w:val="6"/>
        <w:rPr>
          <w:rFonts w:hint="default"/>
          <w:lang w:eastAsia="zh-CN"/>
        </w:rPr>
      </w:pPr>
      <m:oMathPara>
        <m:oMath>
          <m:r>
            <m:rPr/>
            <w:rPr>
              <w:rFonts w:hint="default" w:ascii="Cambria Math" w:hAnsi="Cambria Math"/>
              <w:sz w:val="24"/>
            </w:rPr>
            <m:t>Twmax​=4Fmax​⋅R​</m:t>
          </m:r>
        </m:oMath>
      </m:oMathPara>
    </w:p>
    <w:p w14:paraId="69A4665A">
      <w:pPr>
        <w:pStyle w:val="6"/>
        <w:rPr>
          <w:rFonts w:hint="default"/>
          <w:lang w:eastAsia="zh-CN"/>
        </w:rPr>
      </w:pPr>
      <w:r>
        <w:rPr>
          <w:rFonts w:hint="default"/>
          <w:lang w:eastAsia="zh-CN"/>
        </w:rPr>
        <w:t>式中R——驱动轮半径，m，取0.1m。</w:t>
      </w:r>
    </w:p>
    <w:p w14:paraId="4F572E5D">
      <w:pPr>
        <w:pStyle w:val="6"/>
        <w:rPr>
          <w:lang w:eastAsia="zh-CN"/>
        </w:rPr>
      </w:pPr>
      <w:r>
        <w:rPr>
          <w:rFonts w:hint="default"/>
          <w:lang w:eastAsia="zh-CN"/>
        </w:rPr>
        <w:t>代入公式得：</w:t>
      </w:r>
    </w:p>
    <w:p w14:paraId="7D207930">
      <w:pPr>
        <w:pStyle w:val="6"/>
        <w:rPr>
          <w:rFonts w:hint="default"/>
          <w:lang w:eastAsia="zh-CN"/>
        </w:rPr>
      </w:pPr>
      <m:oMathPara>
        <m:oMath>
          <m:r>
            <m:rPr/>
            <w:rPr>
              <w:rFonts w:hint="default" w:ascii="Cambria Math" w:hAnsi="Cambria Math"/>
              <w:sz w:val="24"/>
            </w:rPr>
            <m:t>Twmax​=4110.49</m:t>
          </m:r>
          <m:r>
            <m:rPr>
              <m:sty m:val="p"/>
            </m:rPr>
            <w:rPr>
              <w:rFonts w:hint="default" w:ascii="Cambria Math" w:hAnsi="Cambria Math"/>
              <w:sz w:val="24"/>
            </w:rPr>
            <m:t>×</m:t>
          </m:r>
          <m:r>
            <m:rPr/>
            <w:rPr>
              <w:rFonts w:hint="default" w:ascii="Cambria Math" w:hAnsi="Cambria Math"/>
              <w:sz w:val="24"/>
            </w:rPr>
            <m:t>0.1​=2.762</m:t>
          </m:r>
          <m:r>
            <m:rPr>
              <m:sty m:val="p"/>
            </m:rPr>
            <w:rPr>
              <w:rFonts w:hint="default" w:ascii="Cambria Math" w:hAnsi="Cambria Math"/>
              <w:sz w:val="24"/>
            </w:rPr>
            <m:t> </m:t>
          </m:r>
          <m:r>
            <m:rPr/>
            <w:rPr>
              <w:rFonts w:hint="default" w:ascii="Cambria Math" w:hAnsi="Cambria Math"/>
              <w:sz w:val="24"/>
            </w:rPr>
            <m:t>N⋅m</m:t>
          </m:r>
        </m:oMath>
      </m:oMathPara>
    </w:p>
    <w:p w14:paraId="382DA4AD">
      <w:pPr>
        <w:pStyle w:val="6"/>
        <w:rPr>
          <w:lang w:eastAsia="zh-CN"/>
        </w:rPr>
      </w:pPr>
      <w:r>
        <w:rPr>
          <w:rFonts w:hint="default"/>
          <w:lang w:eastAsia="zh-CN"/>
        </w:rPr>
        <w:t>3.计算驱动轮最高工作转速驱动轮在设计最高速度0.8m/s下的最高转速nwmax​为：</w:t>
      </w:r>
    </w:p>
    <w:p w14:paraId="311AFB50">
      <w:pPr>
        <w:pStyle w:val="6"/>
        <w:rPr>
          <w:rFonts w:hint="default"/>
          <w:lang w:eastAsia="zh-CN"/>
        </w:rPr>
      </w:pPr>
      <w:r>
        <w:rPr>
          <w:rFonts w:hint="default"/>
          <w:lang w:val="en-US" w:eastAsia="zh-CN"/>
        </w:rPr>
        <w:t>nwmax​=2πRVmax​​×60</w:t>
      </w:r>
    </w:p>
    <w:p w14:paraId="51D8C3FE">
      <w:pPr>
        <w:pStyle w:val="6"/>
        <w:rPr>
          <w:rFonts w:hint="default"/>
          <w:lang w:eastAsia="zh-CN"/>
        </w:rPr>
      </w:pPr>
      <w:r>
        <w:rPr>
          <w:rFonts w:hint="default"/>
          <w:lang w:eastAsia="zh-CN"/>
        </w:rPr>
        <w:t>式中Vmax​——最高运行速度，m/s，取0.8m/s。</w:t>
      </w:r>
    </w:p>
    <w:p w14:paraId="4606FD9D">
      <w:pPr>
        <w:pStyle w:val="6"/>
        <w:rPr>
          <w:lang w:eastAsia="zh-CN"/>
        </w:rPr>
      </w:pPr>
      <w:r>
        <w:rPr>
          <w:rFonts w:hint="default"/>
          <w:lang w:eastAsia="zh-CN"/>
        </w:rPr>
        <w:t>代入公式得：</w:t>
      </w:r>
    </w:p>
    <w:p w14:paraId="797973E6">
      <w:pPr>
        <w:pStyle w:val="6"/>
        <w:rPr>
          <w:rFonts w:hint="default"/>
          <w:lang w:eastAsia="zh-CN"/>
        </w:rPr>
      </w:pPr>
      <w:r>
        <w:rPr>
          <w:rFonts w:hint="default"/>
          <w:lang w:val="en-US" w:eastAsia="zh-CN"/>
        </w:rPr>
        <w:t>nwmax​=2×3.1416×0.10.8​×60=76.39 r/min</w:t>
      </w:r>
    </w:p>
    <w:p w14:paraId="2E16EB04">
      <w:pPr>
        <w:pStyle w:val="6"/>
        <w:rPr>
          <w:rFonts w:hint="default"/>
          <w:lang w:eastAsia="zh-CN"/>
        </w:rPr>
      </w:pPr>
      <w:r>
        <w:rPr>
          <w:rFonts w:hint="default"/>
          <w:lang w:eastAsia="zh-CN"/>
        </w:rPr>
        <w:t>3.2.2减速器传动比计算与电机初选</w:t>
      </w:r>
    </w:p>
    <w:p w14:paraId="1F8D2000">
      <w:pPr>
        <w:pStyle w:val="6"/>
        <w:rPr>
          <w:lang w:eastAsia="zh-CN"/>
        </w:rPr>
      </w:pPr>
      <w:r>
        <w:rPr>
          <w:rFonts w:hint="default"/>
          <w:lang w:eastAsia="zh-CN"/>
        </w:rPr>
        <w:t>1.传动比计算初选标准的24V低压直流伺服电机，其额定转速通常为nm​=3000r/min。所需匹配的减速器理论减速比i为：</w:t>
      </w:r>
    </w:p>
    <w:p w14:paraId="6B2A47DE">
      <w:pPr>
        <w:pStyle w:val="6"/>
        <w:rPr>
          <w:rFonts w:hint="default"/>
          <w:lang w:eastAsia="zh-CN"/>
        </w:rPr>
      </w:pPr>
      <w:r>
        <w:rPr>
          <w:rFonts w:hint="default"/>
          <w:lang w:val="en-US" w:eastAsia="zh-CN"/>
        </w:rPr>
        <w:t>i=nwmax​nm​​</w:t>
      </w:r>
    </w:p>
    <w:p w14:paraId="5B6785E4">
      <w:pPr>
        <w:pStyle w:val="6"/>
        <w:rPr>
          <w:lang w:eastAsia="zh-CN"/>
        </w:rPr>
      </w:pPr>
      <w:r>
        <w:rPr>
          <w:rFonts w:hint="default"/>
          <w:lang w:eastAsia="zh-CN"/>
        </w:rPr>
        <w:t>代入公式得：</w:t>
      </w:r>
    </w:p>
    <w:p w14:paraId="0DB85169">
      <w:pPr>
        <w:pStyle w:val="6"/>
        <w:rPr>
          <w:rFonts w:hint="default"/>
          <w:lang w:eastAsia="zh-CN"/>
        </w:rPr>
      </w:pPr>
      <w:r>
        <w:rPr>
          <w:rFonts w:hint="default"/>
          <w:lang w:val="en-US" w:eastAsia="zh-CN"/>
        </w:rPr>
        <w:t>i=76.393000​=39.27</w:t>
      </w:r>
    </w:p>
    <w:p w14:paraId="3A3F36E9">
      <w:pPr>
        <w:pStyle w:val="6"/>
        <w:rPr>
          <w:lang w:eastAsia="zh-CN"/>
        </w:rPr>
      </w:pPr>
      <w:r>
        <w:rPr>
          <w:rFonts w:hint="default"/>
          <w:lang w:eastAsia="zh-CN"/>
        </w:rPr>
        <w:t>为了保证最高速度能够顺利达到，同时结合工业行星减速器的标准速比序列，选取标准传动比i=30。</w:t>
      </w:r>
    </w:p>
    <w:p w14:paraId="3CB5AC1B">
      <w:pPr>
        <w:pStyle w:val="6"/>
        <w:rPr>
          <w:lang w:eastAsia="zh-CN"/>
        </w:rPr>
      </w:pPr>
      <w:r>
        <w:rPr>
          <w:rFonts w:hint="default"/>
          <w:lang w:eastAsia="zh-CN"/>
        </w:rPr>
        <w:t>2.计算折算到电机轴的负载转矩极限工况下，单侧电机轴端所需提供的峰值扭矩Tmax​为：</w:t>
      </w:r>
    </w:p>
    <w:p w14:paraId="5D24EC52">
      <w:pPr>
        <w:pStyle w:val="6"/>
        <w:rPr>
          <w:rFonts w:hint="default"/>
          <w:lang w:eastAsia="zh-CN"/>
        </w:rPr>
      </w:pPr>
      <w:r>
        <w:rPr>
          <w:rFonts w:hint="default"/>
          <w:lang w:val="en-US" w:eastAsia="zh-CN"/>
        </w:rPr>
        <w:t>Tmax​=i⋅ηTwmax​​</w:t>
      </w:r>
    </w:p>
    <w:p w14:paraId="06644FA4">
      <w:pPr>
        <w:pStyle w:val="6"/>
        <w:rPr>
          <w:rFonts w:hint="default"/>
          <w:lang w:eastAsia="zh-CN"/>
        </w:rPr>
      </w:pPr>
      <w:r>
        <w:rPr>
          <w:rFonts w:hint="default"/>
          <w:lang w:eastAsia="zh-CN"/>
        </w:rPr>
        <w:t>式中η——传动系统总效率，取0.85；</w:t>
      </w:r>
    </w:p>
    <w:p w14:paraId="4F6EA2D4">
      <w:pPr>
        <w:pStyle w:val="6"/>
        <w:rPr>
          <w:rFonts w:hint="default"/>
          <w:lang w:eastAsia="zh-CN"/>
        </w:rPr>
      </w:pPr>
      <w:r>
        <w:rPr>
          <w:rFonts w:hint="default"/>
          <w:lang w:eastAsia="zh-CN"/>
        </w:rPr>
        <w:t>i——减速器传动比，取30。</w:t>
      </w:r>
    </w:p>
    <w:p w14:paraId="5FE942CF">
      <w:pPr>
        <w:pStyle w:val="6"/>
        <w:rPr>
          <w:lang w:eastAsia="zh-CN"/>
        </w:rPr>
      </w:pPr>
      <w:r>
        <w:rPr>
          <w:rFonts w:hint="default"/>
          <w:lang w:eastAsia="zh-CN"/>
        </w:rPr>
        <w:t>代入公式得：</w:t>
      </w:r>
    </w:p>
    <w:p w14:paraId="6E6DD18F">
      <w:pPr>
        <w:pStyle w:val="6"/>
        <w:rPr>
          <w:rFonts w:hint="default"/>
          <w:lang w:eastAsia="zh-CN"/>
        </w:rPr>
      </w:pPr>
      <w:r>
        <w:rPr>
          <w:rFonts w:hint="default"/>
          <w:lang w:val="en-US" w:eastAsia="zh-CN"/>
        </w:rPr>
        <w:t>Tmax​=30×0.852.762​=0.108 N⋅m</w:t>
      </w:r>
    </w:p>
    <w:p w14:paraId="1571103B">
      <w:pPr>
        <w:pStyle w:val="6"/>
        <w:rPr>
          <w:lang w:eastAsia="zh-CN"/>
        </w:rPr>
      </w:pPr>
      <w:r>
        <w:rPr>
          <w:rFonts w:hint="default"/>
          <w:lang w:eastAsia="zh-CN"/>
        </w:rPr>
        <w:t>平地匀速巡航（额定工况）下，起步加速度a=0，爬坡角度α=0。此时总摩擦阻力Fnom​=M⋅g⋅μ=30×9.8×0.1=29.4N。单轮额定驱动扭矩Twnom​=4Fnom​⋅R​=429.4×0.1​=0.735N·m。电机轴端所需提供的额定扭矩Tnom​为：</w:t>
      </w:r>
    </w:p>
    <w:p w14:paraId="5B3052AE">
      <w:pPr>
        <w:pStyle w:val="6"/>
        <w:rPr>
          <w:rFonts w:hint="default"/>
          <w:lang w:eastAsia="zh-CN"/>
        </w:rPr>
      </w:pPr>
      <w:r>
        <w:rPr>
          <w:rFonts w:hint="default"/>
          <w:lang w:val="en-US" w:eastAsia="zh-CN"/>
        </w:rPr>
        <w:t>Tnom​=i⋅ηTwnom​​</w:t>
      </w:r>
    </w:p>
    <w:p w14:paraId="6DCBA22D">
      <w:pPr>
        <w:pStyle w:val="6"/>
        <w:rPr>
          <w:lang w:eastAsia="zh-CN"/>
        </w:rPr>
      </w:pPr>
      <w:r>
        <w:rPr>
          <w:rFonts w:hint="default"/>
          <w:lang w:eastAsia="zh-CN"/>
        </w:rPr>
        <w:t>代入公式得：</w:t>
      </w:r>
    </w:p>
    <w:p w14:paraId="489F027F">
      <w:pPr>
        <w:pStyle w:val="6"/>
        <w:rPr>
          <w:rFonts w:hint="default"/>
          <w:lang w:eastAsia="zh-CN"/>
        </w:rPr>
      </w:pPr>
      <w:r>
        <w:rPr>
          <w:rFonts w:hint="default"/>
          <w:lang w:val="en-US" w:eastAsia="zh-CN"/>
        </w:rPr>
        <w:t>Tnom​=30×0.850.735​=0.0288 N⋅m</w:t>
      </w:r>
    </w:p>
    <w:p w14:paraId="697ABC0B">
      <w:pPr>
        <w:pStyle w:val="6"/>
        <w:rPr>
          <w:lang w:eastAsia="zh-CN"/>
        </w:rPr>
      </w:pPr>
      <w:r>
        <w:rPr>
          <w:rFonts w:hint="default"/>
          <w:lang w:eastAsia="zh-CN"/>
        </w:rPr>
        <w:t>3.计算电机额定功率单个伺服电机在此额定工况下所需的理论机械功率P为：</w:t>
      </w:r>
    </w:p>
    <w:p w14:paraId="2B003B47">
      <w:pPr>
        <w:pStyle w:val="6"/>
        <w:rPr>
          <w:rFonts w:hint="default"/>
          <w:lang w:eastAsia="zh-CN"/>
        </w:rPr>
      </w:pPr>
      <w:r>
        <w:rPr>
          <w:rFonts w:hint="default"/>
          <w:lang w:val="en-US" w:eastAsia="zh-CN"/>
        </w:rPr>
        <w:t>P=9550Tnom​⋅nm​​</w:t>
      </w:r>
    </w:p>
    <w:p w14:paraId="5DCD2C5C">
      <w:pPr>
        <w:pStyle w:val="6"/>
        <w:rPr>
          <w:lang w:eastAsia="zh-CN"/>
        </w:rPr>
      </w:pPr>
      <w:r>
        <w:rPr>
          <w:rFonts w:hint="default"/>
          <w:lang w:eastAsia="zh-CN"/>
        </w:rPr>
        <w:t>代入公式得：</w:t>
      </w:r>
    </w:p>
    <w:p w14:paraId="164A06B3">
      <w:pPr>
        <w:pStyle w:val="6"/>
        <w:rPr>
          <w:rFonts w:hint="default"/>
          <w:lang w:eastAsia="zh-CN"/>
        </w:rPr>
      </w:pPr>
      <w:r>
        <w:rPr>
          <w:rFonts w:hint="default"/>
          <w:lang w:val="en-US" w:eastAsia="zh-CN"/>
        </w:rPr>
        <w:t>P=95500.0288×3000​=0.009 kW=9 W</w:t>
      </w:r>
    </w:p>
    <w:p w14:paraId="3277E97F">
      <w:pPr>
        <w:pStyle w:val="6"/>
        <w:rPr>
          <w:lang w:eastAsia="zh-CN"/>
        </w:rPr>
      </w:pPr>
      <w:r>
        <w:rPr>
          <w:rFonts w:hint="default"/>
          <w:lang w:eastAsia="zh-CN"/>
        </w:rPr>
        <w:t>4.伺服电机选择综合考虑农业复杂环境下的抗冲击需求以及一定的动力冗余，初选50W低压直流伺服电机，具体参数如表3-1所示。</w:t>
      </w:r>
    </w:p>
    <w:p w14:paraId="5CBFDE1D">
      <w:pPr>
        <w:pStyle w:val="6"/>
        <w:rPr>
          <w:lang w:eastAsia="zh-CN"/>
        </w:rPr>
      </w:pPr>
      <w:r>
        <w:rPr>
          <w:rFonts w:hint="default"/>
          <w:lang w:eastAsia="zh-CN"/>
        </w:rPr>
        <w:t>表3-150W直流伺服电机性能参数表|型号|额定功率(W)|额定电压(V)|额定转矩(N·m)|峰值转矩(N·m)|额定转速(r/min)|编码器类型||:---|:---|:---|:---|:---|:---|:---||50W微型伺服|50|24|0.16|0.48|3000|增量式光电编码器|</w:t>
      </w:r>
    </w:p>
    <w:p w14:paraId="6A9137EB">
      <w:pPr>
        <w:pStyle w:val="6"/>
        <w:rPr>
          <w:rFonts w:hint="default"/>
          <w:lang w:eastAsia="zh-CN"/>
        </w:rPr>
      </w:pPr>
      <w:r>
        <w:rPr>
          <w:rFonts w:hint="default"/>
          <w:lang w:eastAsia="zh-CN"/>
        </w:rPr>
        <w:t>3.2.3伺服电机的校核</w:t>
      </w:r>
    </w:p>
    <w:p w14:paraId="52CD6C77">
      <w:pPr>
        <w:pStyle w:val="6"/>
        <w:rPr>
          <w:lang w:eastAsia="zh-CN"/>
        </w:rPr>
      </w:pPr>
      <w:r>
        <w:rPr>
          <w:rFonts w:hint="default"/>
          <w:lang w:eastAsia="zh-CN"/>
        </w:rPr>
        <w:t>1.校核峰值转矩（过载能力）电机的峰值转矩需大于极限工况下所需的峰值扭矩。</w:t>
      </w:r>
    </w:p>
    <w:p w14:paraId="1925D8CA">
      <w:pPr>
        <w:pStyle w:val="6"/>
        <w:rPr>
          <w:rFonts w:hint="default"/>
          <w:lang w:eastAsia="zh-CN"/>
        </w:rPr>
      </w:pPr>
      <w:r>
        <w:rPr>
          <w:rFonts w:hint="default"/>
          <w:lang w:val="en-US" w:eastAsia="zh-CN"/>
        </w:rPr>
        <w:t>Tmax​=0.108 N⋅m&lt;0.48 N⋅m</w:t>
      </w:r>
    </w:p>
    <w:p w14:paraId="7228F77A">
      <w:pPr>
        <w:pStyle w:val="6"/>
        <w:rPr>
          <w:lang w:eastAsia="zh-CN"/>
        </w:rPr>
      </w:pPr>
      <w:r>
        <w:rPr>
          <w:rFonts w:hint="default"/>
          <w:lang w:eastAsia="zh-CN"/>
        </w:rPr>
        <w:t>满足极限脱困与满载爬坡起步要求。</w:t>
      </w:r>
    </w:p>
    <w:p w14:paraId="78FF643F">
      <w:pPr>
        <w:pStyle w:val="6"/>
        <w:rPr>
          <w:lang w:eastAsia="zh-CN"/>
        </w:rPr>
      </w:pPr>
      <w:r>
        <w:rPr>
          <w:rFonts w:hint="default"/>
          <w:lang w:eastAsia="zh-CN"/>
        </w:rPr>
        <w:t>2.校核额定转矩电机的额定转矩需大于平地匀速巡航时所需的扭矩，以保证长时间连续运行不会过热。</w:t>
      </w:r>
    </w:p>
    <w:p w14:paraId="7A113967">
      <w:pPr>
        <w:pStyle w:val="6"/>
        <w:rPr>
          <w:rFonts w:hint="default"/>
          <w:lang w:eastAsia="zh-CN"/>
        </w:rPr>
      </w:pPr>
      <w:r>
        <w:rPr>
          <w:rFonts w:hint="default"/>
          <w:lang w:val="en-US" w:eastAsia="zh-CN"/>
        </w:rPr>
        <w:t>Tnom​=0.0288 N⋅m&lt;0.16 N⋅m</w:t>
      </w:r>
    </w:p>
    <w:p w14:paraId="02C368F2">
      <w:pPr>
        <w:pStyle w:val="6"/>
        <w:rPr>
          <w:lang w:eastAsia="zh-CN"/>
        </w:rPr>
      </w:pPr>
      <w:r>
        <w:rPr>
          <w:rFonts w:hint="default"/>
          <w:lang w:eastAsia="zh-CN"/>
        </w:rPr>
        <w:t>满足要求。</w:t>
      </w:r>
    </w:p>
    <w:p w14:paraId="0B364804">
      <w:pPr>
        <w:pStyle w:val="6"/>
        <w:rPr>
          <w:lang w:eastAsia="zh-CN"/>
        </w:rPr>
      </w:pPr>
      <w:r>
        <w:rPr>
          <w:rFonts w:hint="default"/>
          <w:lang w:eastAsia="zh-CN"/>
        </w:rPr>
        <w:t>3.校核最高工作转速实际作业中电机所需达到的最高转速nactual​为：</w:t>
      </w:r>
    </w:p>
    <w:p w14:paraId="54E100B3">
      <w:pPr>
        <w:pStyle w:val="6"/>
        <w:rPr>
          <w:rFonts w:hint="default"/>
          <w:lang w:eastAsia="zh-CN"/>
        </w:rPr>
      </w:pPr>
      <w:r>
        <w:rPr>
          <w:rFonts w:hint="default"/>
          <w:lang w:val="en-US" w:eastAsia="zh-CN"/>
        </w:rPr>
        <w:t>nactual​=nwmax​×i</w:t>
      </w:r>
    </w:p>
    <w:p w14:paraId="26C17900">
      <w:pPr>
        <w:pStyle w:val="6"/>
        <w:rPr>
          <w:lang w:eastAsia="zh-CN"/>
        </w:rPr>
      </w:pPr>
      <w:r>
        <w:rPr>
          <w:rFonts w:hint="default"/>
          <w:lang w:eastAsia="zh-CN"/>
        </w:rPr>
        <w:t>代入公式得：</w:t>
      </w:r>
    </w:p>
    <w:p w14:paraId="41E34468">
      <w:pPr>
        <w:pStyle w:val="6"/>
        <w:rPr>
          <w:rFonts w:hint="default"/>
          <w:lang w:eastAsia="zh-CN"/>
        </w:rPr>
      </w:pPr>
      <w:r>
        <w:rPr>
          <w:rFonts w:hint="default"/>
          <w:lang w:val="en-US" w:eastAsia="zh-CN"/>
        </w:rPr>
        <w:t>nactual​=76.39×30=2291.7 r/min&lt;3000 r/min</w:t>
      </w:r>
    </w:p>
    <w:p w14:paraId="602DF4F7">
      <w:pPr>
        <w:pStyle w:val="6"/>
        <w:rPr>
          <w:lang w:eastAsia="zh-CN"/>
        </w:rPr>
      </w:pPr>
      <w:r>
        <w:rPr>
          <w:rFonts w:hint="default"/>
          <w:lang w:eastAsia="zh-CN"/>
        </w:rPr>
        <w:t>满足要求。综上所述，所选的50W直流伺服电机符合设计要求。</w:t>
      </w:r>
    </w:p>
    <w:p w14:paraId="3BDAAFF9">
      <w:pPr>
        <w:pStyle w:val="6"/>
        <w:rPr>
          <w:rFonts w:hint="default"/>
          <w:lang w:eastAsia="zh-CN"/>
        </w:rPr>
      </w:pPr>
      <w:r>
        <w:rPr>
          <w:rFonts w:hint="default"/>
          <w:lang w:eastAsia="zh-CN"/>
        </w:rPr>
        <w:t>3.2.4行星减速器选型与校核</w:t>
      </w:r>
    </w:p>
    <w:p w14:paraId="124A9B9D">
      <w:pPr>
        <w:pStyle w:val="6"/>
        <w:rPr>
          <w:lang w:eastAsia="zh-CN"/>
        </w:rPr>
      </w:pPr>
      <w:r>
        <w:rPr>
          <w:rFonts w:hint="default"/>
          <w:lang w:eastAsia="zh-CN"/>
        </w:rPr>
        <w:t>1.减速器选择结合50W伺服电机的标准安装法兰尺寸，选用PLF42-30型精密直齿行星减速器，减速比为30。其主要参数如表3-2所示。</w:t>
      </w:r>
    </w:p>
    <w:p w14:paraId="7EFA56A7">
      <w:pPr>
        <w:pStyle w:val="6"/>
        <w:rPr>
          <w:lang w:eastAsia="zh-CN"/>
        </w:rPr>
      </w:pPr>
      <w:r>
        <w:rPr>
          <w:rFonts w:hint="default"/>
          <w:lang w:eastAsia="zh-CN"/>
        </w:rPr>
        <w:t>表3-2PLF42-30行星减速器尺寸与性能参数表|型号|减速比i|额定输出扭矩(N·m)|最大紧急停止扭矩(N·m)|容许径向力(N)|回程间隙(arcmin)||:---|:---|:---|:---|:---|:---||PLF42-30| 30 | 15 | 30 | 240 | ≤12 |</w:t>
      </w:r>
    </w:p>
    <w:p w14:paraId="373C2C72">
      <w:pPr>
        <w:pStyle w:val="6"/>
        <w:rPr>
          <w:lang w:eastAsia="zh-CN"/>
        </w:rPr>
      </w:pPr>
      <w:r>
        <w:rPr>
          <w:rFonts w:hint="default"/>
          <w:lang w:eastAsia="zh-CN"/>
        </w:rPr>
        <w:t>2. 输出扭矩校核 减速器实际承受的最大轮端扭矩必须小于减速器的额定输出扭矩。</w:t>
      </w:r>
    </w:p>
    <w:p w14:paraId="13D0FDF7">
      <w:pPr>
        <w:pStyle w:val="6"/>
        <w:rPr>
          <w:rFonts w:hint="default"/>
          <w:lang w:eastAsia="zh-CN"/>
        </w:rPr>
      </w:pPr>
      <w:r>
        <w:rPr>
          <w:rFonts w:hint="default"/>
          <w:lang w:val="en-US" w:eastAsia="zh-CN"/>
        </w:rPr>
        <w:t>Twmax​=2.762 N⋅m&lt;15 N⋅m</w:t>
      </w:r>
    </w:p>
    <w:p w14:paraId="5F1002BA">
      <w:pPr>
        <w:pStyle w:val="6"/>
        <w:rPr>
          <w:lang w:eastAsia="zh-CN"/>
        </w:rPr>
      </w:pPr>
      <w:r>
        <w:rPr>
          <w:rFonts w:hint="default"/>
          <w:lang w:eastAsia="zh-CN"/>
        </w:rPr>
        <w:t>满足要求。</w:t>
      </w:r>
    </w:p>
    <w:p w14:paraId="4BE7CC04">
      <w:pPr>
        <w:pStyle w:val="6"/>
        <w:rPr>
          <w:lang w:eastAsia="zh-CN"/>
        </w:rPr>
      </w:pPr>
      <w:r>
        <w:rPr>
          <w:rFonts w:hint="default"/>
          <w:lang w:eastAsia="zh-CN"/>
        </w:rPr>
        <w:t>3. 径向力校核 本设计中，驱动轮直接安装在行星减速器的输出轴上，减速器的轴承直接承受车体的部分重力。 单轮承受的静态径向载荷 Fr​ 为：</w:t>
      </w:r>
    </w:p>
    <w:p w14:paraId="2D29F2C8">
      <w:pPr>
        <w:pStyle w:val="6"/>
        <w:rPr>
          <w:rFonts w:hint="default"/>
          <w:lang w:eastAsia="zh-CN"/>
        </w:rPr>
      </w:pPr>
      <w:r>
        <w:rPr>
          <w:rFonts w:hint="default"/>
          <w:lang w:val="en-US" w:eastAsia="zh-CN"/>
        </w:rPr>
        <w:t>Fr​=4M⋅g​</w:t>
      </w:r>
    </w:p>
    <w:p w14:paraId="3E0F18B8">
      <w:pPr>
        <w:pStyle w:val="6"/>
        <w:rPr>
          <w:lang w:eastAsia="zh-CN"/>
        </w:rPr>
      </w:pPr>
      <w:r>
        <w:rPr>
          <w:rFonts w:hint="default"/>
          <w:lang w:eastAsia="zh-CN"/>
        </w:rPr>
        <w:t>代入公式得：</w:t>
      </w:r>
    </w:p>
    <w:p w14:paraId="0480B7CE">
      <w:pPr>
        <w:pStyle w:val="6"/>
        <w:rPr>
          <w:rFonts w:hint="default"/>
          <w:lang w:eastAsia="zh-CN"/>
        </w:rPr>
      </w:pPr>
      <w:r>
        <w:rPr>
          <w:rFonts w:hint="default"/>
          <w:lang w:val="en-US" w:eastAsia="zh-CN"/>
        </w:rPr>
        <w:t>Fr​=430×9.8​=73.5 N</w:t>
      </w:r>
    </w:p>
    <w:p w14:paraId="48574A95">
      <w:pPr>
        <w:pStyle w:val="6"/>
        <w:rPr>
          <w:lang w:eastAsia="zh-CN"/>
        </w:rPr>
      </w:pPr>
      <w:r>
        <w:rPr>
          <w:rFonts w:hint="default"/>
          <w:lang w:eastAsia="zh-CN"/>
        </w:rPr>
        <w:t>考虑到温室作业运动过程中的路面颠簸与冲击，引入动载系数 Kv​=1.5。 实际当量径向力 Freq​ 为：</w:t>
      </w:r>
    </w:p>
    <w:p w14:paraId="03C9D139">
      <w:pPr>
        <w:pStyle w:val="6"/>
        <w:rPr>
          <w:rFonts w:hint="default"/>
          <w:lang w:eastAsia="zh-CN"/>
        </w:rPr>
      </w:pPr>
      <w:r>
        <w:rPr>
          <w:rFonts w:hint="default"/>
          <w:lang w:val="en-US" w:eastAsia="zh-CN"/>
        </w:rPr>
        <w:t>Freq​=Fr​⋅Kv​</w:t>
      </w:r>
    </w:p>
    <w:p w14:paraId="4ADA8AB0">
      <w:pPr>
        <w:pStyle w:val="6"/>
        <w:rPr>
          <w:lang w:eastAsia="zh-CN"/>
        </w:rPr>
      </w:pPr>
      <w:r>
        <w:rPr>
          <w:rFonts w:hint="default"/>
          <w:lang w:eastAsia="zh-CN"/>
        </w:rPr>
        <w:t>代入公式得：</w:t>
      </w:r>
    </w:p>
    <w:p w14:paraId="5F7A2BA4">
      <w:pPr>
        <w:pStyle w:val="6"/>
        <w:rPr>
          <w:rFonts w:hint="default"/>
          <w:lang w:eastAsia="zh-CN"/>
        </w:rPr>
      </w:pPr>
      <w:r>
        <w:rPr>
          <w:rFonts w:hint="default"/>
          <w:lang w:val="en-US" w:eastAsia="zh-CN"/>
        </w:rPr>
        <w:t>Freq​=73.5×1.5=110.25 N</w:t>
      </w:r>
    </w:p>
    <w:p w14:paraId="31CCCE19">
      <w:pPr>
        <w:pStyle w:val="6"/>
        <w:rPr>
          <w:lang w:eastAsia="zh-CN"/>
        </w:rPr>
      </w:pPr>
      <w:r>
        <w:rPr>
          <w:lang w:eastAsia="zh-CN"/>
        </w:rPr>
        <w:t>设计其配套的控制系统，包括控制器，</w:t>
      </w:r>
      <w:r>
        <w:rPr>
          <w:rFonts w:hint="eastAsia"/>
          <w:lang w:eastAsia="zh-CN"/>
        </w:rPr>
        <w:t>交互系统，传感器，</w:t>
      </w:r>
      <w:r>
        <w:rPr>
          <w:lang w:eastAsia="zh-CN"/>
        </w:rPr>
        <w:t>电机及其驱动等</w:t>
      </w:r>
      <w:r>
        <w:rPr>
          <w:rFonts w:hint="eastAsia"/>
          <w:lang w:eastAsia="zh-CN"/>
        </w:rPr>
        <w:t>。</w:t>
      </w:r>
    </w:p>
    <w:p w14:paraId="190B5898">
      <w:r>
        <w:br w:type="page"/>
      </w:r>
    </w:p>
    <w:p w14:paraId="63528BF2">
      <w:pPr>
        <w:pStyle w:val="6"/>
        <w:rPr>
          <w:lang w:eastAsia="zh-CN"/>
        </w:rPr>
      </w:pPr>
      <w:r>
        <w:rPr>
          <w:rFonts w:hint="eastAsia"/>
          <w:lang w:eastAsia="zh-CN"/>
        </w:rPr>
        <w:t>参考文献</w:t>
      </w:r>
    </w:p>
    <w:p w14:paraId="70CF9CC0">
      <w:pPr>
        <w:pStyle w:val="13"/>
        <w:wordWrap w:val="0"/>
        <w:spacing w:line="440" w:lineRule="exact"/>
        <w:rPr>
          <w:rFonts w:cs="Times New Roman"/>
          <w:sz w:val="21"/>
          <w:szCs w:val="21"/>
        </w:rPr>
      </w:pPr>
      <w:bookmarkStart w:id="0" w:name="_Ref5677"/>
      <w:r>
        <w:rPr>
          <w:rFonts w:cs="Times New Roman"/>
          <w:sz w:val="21"/>
          <w:szCs w:val="21"/>
        </w:rPr>
        <w:t>罗锡文.对我国农机化科技创新的思考[J].山东农机化,2019,(01):10-13.DOI:10.15976/j.cnki.37-1123/s.2019.01.005.</w:t>
      </w:r>
      <w:bookmarkEnd w:id="0"/>
    </w:p>
    <w:p w14:paraId="67BD69C8">
      <w:pPr>
        <w:pStyle w:val="13"/>
        <w:wordWrap w:val="0"/>
        <w:spacing w:line="440" w:lineRule="exact"/>
        <w:rPr>
          <w:rFonts w:cs="Times New Roman"/>
          <w:sz w:val="21"/>
          <w:szCs w:val="21"/>
        </w:rPr>
      </w:pPr>
      <w:bookmarkStart w:id="1" w:name="_Ref5749"/>
      <w:r>
        <w:rPr>
          <w:rFonts w:hint="eastAsia" w:cs="Times New Roman"/>
          <w:sz w:val="21"/>
          <w:szCs w:val="21"/>
        </w:rPr>
        <w:t>夏敬源.公共植保绿色植保的发展与展望[J].农业技术与装备,2011,(10):4-7.</w:t>
      </w:r>
      <w:bookmarkEnd w:id="1"/>
    </w:p>
    <w:p w14:paraId="68901D8F">
      <w:pPr>
        <w:pStyle w:val="13"/>
        <w:wordWrap w:val="0"/>
        <w:spacing w:line="440" w:lineRule="exact"/>
        <w:rPr>
          <w:rFonts w:cs="Times New Roman"/>
          <w:sz w:val="21"/>
          <w:szCs w:val="21"/>
        </w:rPr>
      </w:pPr>
      <w:bookmarkStart w:id="2" w:name="_Ref5772"/>
      <w:r>
        <w:rPr>
          <w:rFonts w:cs="Times New Roman"/>
          <w:sz w:val="21"/>
          <w:szCs w:val="21"/>
        </w:rPr>
        <w:t>徐阁.履带式温室喷药机器人设计与实现[D].湖北文理学院,2025.DOI:10.44305/d.cnki.ghbwl.2025.000083.</w:t>
      </w:r>
      <w:bookmarkEnd w:id="2"/>
    </w:p>
    <w:p w14:paraId="7BCAD31C">
      <w:pPr>
        <w:pStyle w:val="13"/>
        <w:wordWrap w:val="0"/>
        <w:spacing w:line="440" w:lineRule="exact"/>
        <w:rPr>
          <w:rFonts w:cs="Times New Roman"/>
          <w:sz w:val="21"/>
          <w:szCs w:val="21"/>
        </w:rPr>
      </w:pPr>
      <w:bookmarkStart w:id="3" w:name="_Ref5795"/>
      <w:r>
        <w:rPr>
          <w:rFonts w:cs="Times New Roman"/>
          <w:sz w:val="21"/>
          <w:szCs w:val="21"/>
        </w:rPr>
        <w:t>何雄奎.中国精准施药技术和装备研究现状及发展建议[J].智慧农业(中英文),2020,2(01):133-146.</w:t>
      </w:r>
      <w:bookmarkEnd w:id="3"/>
    </w:p>
    <w:p w14:paraId="2F11C30C">
      <w:pPr>
        <w:pStyle w:val="13"/>
        <w:wordWrap w:val="0"/>
        <w:spacing w:line="440" w:lineRule="exact"/>
        <w:rPr>
          <w:rFonts w:cs="Times New Roman"/>
          <w:sz w:val="21"/>
          <w:szCs w:val="21"/>
        </w:rPr>
      </w:pPr>
      <w:bookmarkStart w:id="4" w:name="_Ref5821"/>
      <w:r>
        <w:rPr>
          <w:rFonts w:cs="Times New Roman"/>
          <w:sz w:val="21"/>
          <w:szCs w:val="21"/>
        </w:rPr>
        <w:t>吴圣勇,张梦迪,徐进,等.我国设施园艺病虫害发生特点与绿色防控策略[J].中国生物防治学报,2024,40(05):1169-1180.DOI:10.16409/j.cnki.2095-039x.2022.01.022.</w:t>
      </w:r>
      <w:bookmarkEnd w:id="4"/>
    </w:p>
    <w:p w14:paraId="57747029">
      <w:pPr>
        <w:pStyle w:val="13"/>
        <w:wordWrap w:val="0"/>
        <w:spacing w:line="440" w:lineRule="exact"/>
        <w:rPr>
          <w:rFonts w:cs="Times New Roman"/>
          <w:sz w:val="21"/>
          <w:szCs w:val="21"/>
        </w:rPr>
      </w:pPr>
      <w:bookmarkStart w:id="5" w:name="_Ref5857"/>
      <w:r>
        <w:rPr>
          <w:rFonts w:hint="eastAsia" w:cs="Times New Roman"/>
          <w:sz w:val="21"/>
          <w:szCs w:val="21"/>
        </w:rPr>
        <w:t>Balloni S,et al.A prototype of self-propelled sprayer to reduce operator exposure in greenhouse treatment [J]. Biosystems Engineering, 2008, 100 (3): 345-354.</w:t>
      </w:r>
      <w:bookmarkEnd w:id="5"/>
    </w:p>
    <w:p w14:paraId="28FFB5B4">
      <w:pPr>
        <w:pStyle w:val="13"/>
        <w:wordWrap w:val="0"/>
        <w:spacing w:line="440" w:lineRule="exact"/>
        <w:rPr>
          <w:rFonts w:cs="Times New Roman"/>
          <w:sz w:val="21"/>
          <w:szCs w:val="21"/>
        </w:rPr>
      </w:pPr>
      <w:bookmarkStart w:id="6" w:name="_Ref5880"/>
      <w:r>
        <w:rPr>
          <w:rFonts w:cs="Times New Roman"/>
          <w:sz w:val="21"/>
          <w:szCs w:val="21"/>
        </w:rPr>
        <w:t>周庆智.乡村权威再造:基层政治的一个经验解释[J].学术交流,2020,(08):25-34+191.</w:t>
      </w:r>
      <w:bookmarkEnd w:id="6"/>
    </w:p>
    <w:p w14:paraId="74EA87F0">
      <w:pPr>
        <w:pStyle w:val="13"/>
        <w:wordWrap w:val="0"/>
        <w:spacing w:line="440" w:lineRule="exact"/>
        <w:rPr>
          <w:rFonts w:cs="Times New Roman"/>
          <w:sz w:val="21"/>
          <w:szCs w:val="21"/>
        </w:rPr>
      </w:pPr>
      <w:bookmarkStart w:id="7" w:name="_Ref5903"/>
      <w:r>
        <w:rPr>
          <w:rFonts w:cs="Times New Roman"/>
          <w:sz w:val="21"/>
          <w:szCs w:val="21"/>
        </w:rPr>
        <w:t>王艳莉,高帅,阮艾民.自走式温室喷药机器人的设计[J].现代农机,2024(4):65-67.</w:t>
      </w:r>
      <w:bookmarkEnd w:id="7"/>
    </w:p>
    <w:p w14:paraId="646E0250">
      <w:pPr>
        <w:pStyle w:val="13"/>
        <w:wordWrap w:val="0"/>
        <w:spacing w:line="440" w:lineRule="exact"/>
        <w:rPr>
          <w:rFonts w:cs="Times New Roman"/>
          <w:sz w:val="21"/>
          <w:szCs w:val="21"/>
        </w:rPr>
      </w:pPr>
      <w:bookmarkStart w:id="8" w:name="_Ref5916"/>
      <w:r>
        <w:rPr>
          <w:rFonts w:cs="Times New Roman"/>
          <w:sz w:val="21"/>
          <w:szCs w:val="21"/>
        </w:rPr>
        <w:t>陈可飞,王铁广,李文勤,等.花卉大棚喷药机器人远程控制系统设计——基于互联网[J].农机化研究,2025,47(02):61-67.DOI:10.13427/j.issn.1003-188X.2025.02.009.</w:t>
      </w:r>
      <w:bookmarkEnd w:id="8"/>
    </w:p>
    <w:p w14:paraId="6B5BA847">
      <w:pPr>
        <w:pStyle w:val="13"/>
        <w:wordWrap w:val="0"/>
        <w:spacing w:line="440" w:lineRule="exact"/>
        <w:rPr>
          <w:rFonts w:cs="Times New Roman"/>
          <w:sz w:val="21"/>
          <w:szCs w:val="21"/>
        </w:rPr>
      </w:pPr>
      <w:bookmarkStart w:id="9" w:name="_Ref5942"/>
      <w:r>
        <w:rPr>
          <w:rFonts w:cs="Times New Roman"/>
          <w:sz w:val="21"/>
          <w:szCs w:val="21"/>
        </w:rPr>
        <w:t>喻晨.温室种植精准对靶喷雾机器人的研究[J].农业技术与装备,2021,(03):13-14.</w:t>
      </w:r>
      <w:bookmarkEnd w:id="9"/>
    </w:p>
    <w:p w14:paraId="3653973E">
      <w:pPr>
        <w:pStyle w:val="13"/>
        <w:wordWrap w:val="0"/>
        <w:spacing w:line="440" w:lineRule="exact"/>
        <w:rPr>
          <w:rFonts w:cs="Times New Roman"/>
          <w:sz w:val="21"/>
          <w:szCs w:val="21"/>
        </w:rPr>
      </w:pPr>
      <w:bookmarkStart w:id="10" w:name="_Ref11748"/>
      <w:r>
        <w:rPr>
          <w:rFonts w:cs="Times New Roman"/>
          <w:sz w:val="21"/>
          <w:szCs w:val="21"/>
        </w:rPr>
        <w:t>章少岑,魏新华,邓屹,等.履带式收割机全田块路径跟踪算法设计与试验[J].农业工程学报,2023,39(20):36-45.</w:t>
      </w:r>
      <w:bookmarkEnd w:id="10"/>
    </w:p>
    <w:p w14:paraId="3FDDEB48">
      <w:pPr>
        <w:pStyle w:val="13"/>
        <w:wordWrap w:val="0"/>
        <w:spacing w:line="440" w:lineRule="exact"/>
        <w:rPr>
          <w:rFonts w:cs="Times New Roman"/>
          <w:sz w:val="21"/>
          <w:szCs w:val="21"/>
        </w:rPr>
      </w:pPr>
      <w:bookmarkStart w:id="11" w:name="_Ref11791"/>
      <w:r>
        <w:rPr>
          <w:rFonts w:cs="Times New Roman"/>
          <w:sz w:val="21"/>
          <w:szCs w:val="21"/>
        </w:rPr>
        <w:t>李龙龙,何雄奎,宋坚利,等.基于变量喷雾的果园自动仿形喷雾机的设计与试验[J].农业工程学报,2017,33(01):70-76.</w:t>
      </w:r>
      <w:bookmarkEnd w:id="11"/>
    </w:p>
    <w:p w14:paraId="3F98071E">
      <w:pPr>
        <w:pStyle w:val="13"/>
        <w:wordWrap w:val="0"/>
        <w:spacing w:line="440" w:lineRule="exact"/>
        <w:rPr>
          <w:rFonts w:cs="Times New Roman"/>
          <w:sz w:val="21"/>
          <w:szCs w:val="21"/>
        </w:rPr>
      </w:pPr>
      <w:bookmarkStart w:id="12" w:name="_Ref11817"/>
      <w:r>
        <w:rPr>
          <w:rFonts w:cs="Times New Roman"/>
          <w:sz w:val="21"/>
          <w:szCs w:val="21"/>
        </w:rPr>
        <w:t>Chi M, Guanglin L, Xiaodong L, et al. Development of multi-orientation automatic spraying device for citrus orchards in hilly and mountainous areas [J]. Transactions of the Chinese Society of Agricultural Engineering, 2019, 35 (3): 31-41.</w:t>
      </w:r>
      <w:bookmarkEnd w:id="12"/>
    </w:p>
    <w:p w14:paraId="4655DB32">
      <w:pPr>
        <w:pStyle w:val="13"/>
        <w:wordWrap w:val="0"/>
        <w:spacing w:line="440" w:lineRule="exact"/>
        <w:rPr>
          <w:rFonts w:cs="Times New Roman"/>
          <w:sz w:val="21"/>
          <w:szCs w:val="21"/>
        </w:rPr>
      </w:pPr>
      <w:bookmarkStart w:id="13" w:name="_Ref11846"/>
      <w:r>
        <w:rPr>
          <w:rFonts w:cs="Times New Roman"/>
          <w:sz w:val="21"/>
          <w:szCs w:val="21"/>
        </w:rPr>
        <w:t>崔玉萍,徐生龙.基于绿色农业的计算机智能识别技术在农药喷施机械中的应用[J].农机使用与维修,2024,(06):64-66.DOI:10.14031/j.cnki.njwx.2024.06.018.</w:t>
      </w:r>
      <w:bookmarkEnd w:id="13"/>
    </w:p>
    <w:p w14:paraId="66C6EA13">
      <w:pPr>
        <w:pStyle w:val="13"/>
        <w:wordWrap w:val="0"/>
        <w:spacing w:line="440" w:lineRule="exact"/>
        <w:rPr>
          <w:rFonts w:cs="Times New Roman"/>
          <w:sz w:val="21"/>
          <w:szCs w:val="21"/>
        </w:rPr>
      </w:pPr>
      <w:bookmarkStart w:id="14" w:name="_Ref11872"/>
      <w:r>
        <w:rPr>
          <w:rFonts w:cs="Times New Roman"/>
          <w:sz w:val="21"/>
          <w:szCs w:val="21"/>
        </w:rPr>
        <w:t>初金哲,庄卫东.3WPX-1500悬挂式喷药机支架系统设计[J].四川农业与农机,2020,(05):37-39.</w:t>
      </w:r>
      <w:bookmarkEnd w:id="14"/>
    </w:p>
    <w:p w14:paraId="780EBDBB">
      <w:pPr>
        <w:pStyle w:val="13"/>
        <w:wordWrap w:val="0"/>
        <w:spacing w:line="440" w:lineRule="exact"/>
        <w:rPr>
          <w:rFonts w:cs="Times New Roman"/>
          <w:sz w:val="21"/>
          <w:szCs w:val="21"/>
        </w:rPr>
      </w:pPr>
      <w:bookmarkStart w:id="15" w:name="_Ref11892"/>
      <w:r>
        <w:rPr>
          <w:rFonts w:cs="Times New Roman"/>
          <w:sz w:val="21"/>
          <w:szCs w:val="21"/>
        </w:rPr>
        <w:t>董文杰.果园喷雾机器人的研究现状和发展趋势[J].山东林业科技,2020,50(05):95-101.</w:t>
      </w:r>
      <w:bookmarkEnd w:id="15"/>
    </w:p>
    <w:p w14:paraId="68919F2D">
      <w:pPr>
        <w:pStyle w:val="13"/>
        <w:wordWrap w:val="0"/>
        <w:spacing w:line="440" w:lineRule="exact"/>
        <w:rPr>
          <w:rFonts w:cs="Times New Roman"/>
          <w:sz w:val="21"/>
          <w:szCs w:val="21"/>
        </w:rPr>
      </w:pPr>
      <w:bookmarkStart w:id="16" w:name="_Ref11924"/>
      <w:r>
        <w:rPr>
          <w:rFonts w:cs="Times New Roman"/>
          <w:sz w:val="21"/>
          <w:szCs w:val="21"/>
        </w:rPr>
        <w:t>张红艳,丁海波,普朝华,等.基于机器视觉的施药机器人设计与研究[J].乡村科技,2024,15(17):142-147.DOI:10.19345/j.cnki.1674-7909.2024.17.031.</w:t>
      </w:r>
      <w:bookmarkEnd w:id="16"/>
    </w:p>
    <w:p w14:paraId="35945F15">
      <w:pPr>
        <w:pStyle w:val="13"/>
        <w:wordWrap w:val="0"/>
        <w:spacing w:line="440" w:lineRule="exact"/>
        <w:rPr>
          <w:rFonts w:cs="Times New Roman"/>
          <w:sz w:val="21"/>
          <w:szCs w:val="21"/>
        </w:rPr>
      </w:pPr>
      <w:bookmarkStart w:id="17" w:name="_Ref11947"/>
      <w:r>
        <w:rPr>
          <w:rFonts w:cs="Times New Roman"/>
          <w:sz w:val="21"/>
          <w:szCs w:val="21"/>
        </w:rPr>
        <w:t>郑永军,江世界,陈炳太,等.丘陵山区果园机械化技术与装备研究进展[J].农业机械学报,2020,51(11):1-20.</w:t>
      </w:r>
      <w:bookmarkEnd w:id="17"/>
    </w:p>
    <w:p w14:paraId="18108B63">
      <w:pPr>
        <w:pStyle w:val="13"/>
        <w:wordWrap w:val="0"/>
        <w:spacing w:line="440" w:lineRule="exact"/>
        <w:rPr>
          <w:rFonts w:cs="Times New Roman"/>
          <w:sz w:val="21"/>
          <w:szCs w:val="21"/>
        </w:rPr>
      </w:pPr>
      <w:bookmarkStart w:id="18" w:name="_Ref11983"/>
      <w:r>
        <w:rPr>
          <w:rFonts w:cs="Times New Roman"/>
          <w:sz w:val="21"/>
          <w:szCs w:val="21"/>
        </w:rPr>
        <w:t>周奇.丘陵山区果园生产机械化技术分析[J].河北农机,2023,(08):39-41.DOI:10.15989/j.cnki.hbnjzzs.2023.08.003.</w:t>
      </w:r>
      <w:bookmarkEnd w:id="18"/>
    </w:p>
    <w:p w14:paraId="4DC017E0">
      <w:pPr>
        <w:pStyle w:val="13"/>
        <w:wordWrap w:val="0"/>
        <w:spacing w:line="440" w:lineRule="exact"/>
        <w:rPr>
          <w:rFonts w:cs="Times New Roman"/>
          <w:sz w:val="21"/>
          <w:szCs w:val="21"/>
        </w:rPr>
      </w:pPr>
      <w:bookmarkStart w:id="19" w:name="_Ref12016"/>
      <w:r>
        <w:rPr>
          <w:rFonts w:cs="Times New Roman"/>
          <w:sz w:val="21"/>
          <w:szCs w:val="21"/>
        </w:rPr>
        <w:t xml:space="preserve"> Miranda-Fuentes A, Rodríguez-Lizana A, et al. Improving plant protection product applications in traditional and intensive olive orchards through the development of new prototype air-assisted sprayers [J]. Crop Protection, 2017, 94: 44-58.</w:t>
      </w:r>
      <w:bookmarkEnd w:id="19"/>
    </w:p>
    <w:p w14:paraId="5D60CE14">
      <w:pPr>
        <w:pStyle w:val="13"/>
        <w:wordWrap w:val="0"/>
        <w:spacing w:line="440" w:lineRule="exact"/>
        <w:rPr>
          <w:rFonts w:cs="Times New Roman"/>
          <w:sz w:val="21"/>
          <w:szCs w:val="21"/>
        </w:rPr>
      </w:pPr>
      <w:bookmarkStart w:id="20" w:name="_Ref12068"/>
      <w:r>
        <w:rPr>
          <w:rFonts w:cs="Times New Roman"/>
          <w:sz w:val="21"/>
          <w:szCs w:val="21"/>
        </w:rPr>
        <w:t xml:space="preserve"> Nauman Hafiz Muhammad, Ghafoor Abdul, Khan Muhammad Azam, et al. Real time variable rate sprayer: Its development and comparative analysis of spray coverage with conventional orchard sprayer [J]. Pakistan Journal of Agricultural Sciences, 2022, 59 (6): 993-1002.</w:t>
      </w:r>
      <w:bookmarkEnd w:id="20"/>
    </w:p>
    <w:p w14:paraId="65CED012">
      <w:pPr>
        <w:pStyle w:val="13"/>
        <w:wordWrap w:val="0"/>
        <w:spacing w:line="440" w:lineRule="exact"/>
        <w:rPr>
          <w:rFonts w:cs="Times New Roman"/>
          <w:sz w:val="21"/>
          <w:szCs w:val="21"/>
        </w:rPr>
      </w:pPr>
      <w:bookmarkStart w:id="21" w:name="_Ref12055"/>
      <w:r>
        <w:rPr>
          <w:rFonts w:cs="Times New Roman"/>
          <w:sz w:val="21"/>
          <w:szCs w:val="21"/>
        </w:rPr>
        <w:t xml:space="preserve"> 叶进文，蔡晨，周晴晴，等。大豆玉米带状复合种植喷杆喷雾机研究进展 [J]. 宁夏农林科技，2024, 65 (09): 19-24.</w:t>
      </w:r>
      <w:bookmarkEnd w:id="21"/>
    </w:p>
    <w:p w14:paraId="4A113794">
      <w:pPr>
        <w:pStyle w:val="13"/>
        <w:wordWrap w:val="0"/>
        <w:spacing w:line="440" w:lineRule="exact"/>
        <w:rPr>
          <w:rFonts w:cs="Times New Roman"/>
          <w:sz w:val="21"/>
          <w:szCs w:val="21"/>
        </w:rPr>
      </w:pPr>
      <w:bookmarkStart w:id="22" w:name="_Ref12166"/>
      <w:r>
        <w:rPr>
          <w:rFonts w:cs="Times New Roman"/>
          <w:sz w:val="21"/>
          <w:szCs w:val="21"/>
        </w:rPr>
        <w:t xml:space="preserve"> 李社潮。国际农机巨头克拉斯研发出无人驾驶拖拉机与配套农机投入作业试验 [EB/OL]. (2021-07-06), [2025-02-25].</w:t>
      </w:r>
      <w:bookmarkEnd w:id="22"/>
    </w:p>
    <w:p w14:paraId="118DF7F8">
      <w:pPr>
        <w:pStyle w:val="13"/>
        <w:wordWrap w:val="0"/>
        <w:spacing w:line="440" w:lineRule="exact"/>
        <w:rPr>
          <w:rFonts w:cs="Times New Roman"/>
          <w:sz w:val="21"/>
          <w:szCs w:val="21"/>
        </w:rPr>
      </w:pPr>
      <w:bookmarkStart w:id="23" w:name="_Ref12186"/>
      <w:r>
        <w:rPr>
          <w:rFonts w:cs="Times New Roman"/>
          <w:sz w:val="21"/>
          <w:szCs w:val="21"/>
        </w:rPr>
        <w:t xml:space="preserve"> Ponorac L, Ivan B. Experimental Validation of a High-Speed Tracked Vehicle Powertrain Simulation Model [J]. Measurement Science Review, 2023, 23: 192-201.</w:t>
      </w:r>
      <w:bookmarkEnd w:id="23"/>
    </w:p>
    <w:p w14:paraId="0E6E9859">
      <w:pPr>
        <w:pStyle w:val="13"/>
        <w:wordWrap w:val="0"/>
        <w:spacing w:line="440" w:lineRule="exact"/>
        <w:rPr>
          <w:rFonts w:cs="Times New Roman"/>
          <w:sz w:val="21"/>
          <w:szCs w:val="21"/>
        </w:rPr>
      </w:pPr>
      <w:bookmarkStart w:id="24" w:name="_Ref12365"/>
      <w:r>
        <w:rPr>
          <w:rFonts w:cs="Times New Roman"/>
          <w:sz w:val="21"/>
          <w:szCs w:val="21"/>
        </w:rPr>
        <w:t xml:space="preserve"> 薛新宇，兰玉彬。美国农业航空技术现状和发展趋势分析 [J]. 农业机械学报，2013, (5): 194-201.</w:t>
      </w:r>
      <w:bookmarkEnd w:id="24"/>
    </w:p>
    <w:p w14:paraId="43D74B19">
      <w:pPr>
        <w:pStyle w:val="13"/>
        <w:wordWrap w:val="0"/>
        <w:spacing w:line="440" w:lineRule="exact"/>
        <w:rPr>
          <w:rFonts w:cs="Times New Roman"/>
          <w:sz w:val="21"/>
          <w:szCs w:val="21"/>
        </w:rPr>
      </w:pPr>
      <w:bookmarkStart w:id="25" w:name="_Ref12385"/>
      <w:r>
        <w:rPr>
          <w:rFonts w:cs="Times New Roman"/>
          <w:sz w:val="21"/>
          <w:szCs w:val="21"/>
        </w:rPr>
        <w:t xml:space="preserve"> CEMA aisbl. European Agricultural Machinery Industry Association. Market Trends [EB/OL]. (2025-02-25).</w:t>
      </w:r>
      <w:bookmarkEnd w:id="2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Mincho">
    <w:altName w:val="AMGDT"/>
    <w:panose1 w:val="00000000000000000000"/>
    <w:charset w:val="00"/>
    <w:family w:val="auto"/>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 w:name="KaTeX_Math">
    <w:altName w:val="AMGD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76C71"/>
    <w:multiLevelType w:val="singleLevel"/>
    <w:tmpl w:val="0DB76C71"/>
    <w:lvl w:ilvl="0" w:tentative="0">
      <w:start w:val="1"/>
      <w:numFmt w:val="decimal"/>
      <w:pStyle w:val="13"/>
      <w:suff w:val="nothing"/>
      <w:lvlText w:val="[%1]"/>
      <w:lvlJc w:val="left"/>
      <w:pPr>
        <w:ind w:left="-403" w:firstLine="40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2D22E0"/>
    <w:rsid w:val="00112562"/>
    <w:rsid w:val="00230246"/>
    <w:rsid w:val="002B1236"/>
    <w:rsid w:val="0036136E"/>
    <w:rsid w:val="0067536A"/>
    <w:rsid w:val="00773C43"/>
    <w:rsid w:val="00973542"/>
    <w:rsid w:val="018502B5"/>
    <w:rsid w:val="04ED064B"/>
    <w:rsid w:val="07462294"/>
    <w:rsid w:val="096133B5"/>
    <w:rsid w:val="0ACD7BC0"/>
    <w:rsid w:val="118847C4"/>
    <w:rsid w:val="118E286E"/>
    <w:rsid w:val="12015736"/>
    <w:rsid w:val="12D12EC7"/>
    <w:rsid w:val="14FC3F92"/>
    <w:rsid w:val="15B8435D"/>
    <w:rsid w:val="192D22E0"/>
    <w:rsid w:val="19EE4B78"/>
    <w:rsid w:val="1B252495"/>
    <w:rsid w:val="1B6805D3"/>
    <w:rsid w:val="1B9C64CF"/>
    <w:rsid w:val="1CD53A47"/>
    <w:rsid w:val="1DB63878"/>
    <w:rsid w:val="1E3E561C"/>
    <w:rsid w:val="1E5E181A"/>
    <w:rsid w:val="1EFD54D7"/>
    <w:rsid w:val="1F8D685B"/>
    <w:rsid w:val="201E3957"/>
    <w:rsid w:val="20442539"/>
    <w:rsid w:val="227D2BB6"/>
    <w:rsid w:val="22AD2D70"/>
    <w:rsid w:val="24853FA4"/>
    <w:rsid w:val="258C4EBE"/>
    <w:rsid w:val="258E50DA"/>
    <w:rsid w:val="25A8619C"/>
    <w:rsid w:val="25DE6EB0"/>
    <w:rsid w:val="26D7660D"/>
    <w:rsid w:val="29F74E14"/>
    <w:rsid w:val="2A214512"/>
    <w:rsid w:val="2A481CFC"/>
    <w:rsid w:val="2B473D61"/>
    <w:rsid w:val="2BA8442D"/>
    <w:rsid w:val="2DAD00C8"/>
    <w:rsid w:val="2DFA155F"/>
    <w:rsid w:val="3049057C"/>
    <w:rsid w:val="3A410516"/>
    <w:rsid w:val="3AA50AA5"/>
    <w:rsid w:val="3B7566C9"/>
    <w:rsid w:val="3C88242C"/>
    <w:rsid w:val="3D7B3D3F"/>
    <w:rsid w:val="3E5E1696"/>
    <w:rsid w:val="3F073ADC"/>
    <w:rsid w:val="40B97058"/>
    <w:rsid w:val="40C003E6"/>
    <w:rsid w:val="40FC0CF2"/>
    <w:rsid w:val="44185E43"/>
    <w:rsid w:val="44B12D85"/>
    <w:rsid w:val="45592BB7"/>
    <w:rsid w:val="45AD2F03"/>
    <w:rsid w:val="49261002"/>
    <w:rsid w:val="495C3DA8"/>
    <w:rsid w:val="4BD25472"/>
    <w:rsid w:val="4D221AE1"/>
    <w:rsid w:val="543640C4"/>
    <w:rsid w:val="56486A5C"/>
    <w:rsid w:val="584414A5"/>
    <w:rsid w:val="58C12326"/>
    <w:rsid w:val="58EB36CF"/>
    <w:rsid w:val="599D70BF"/>
    <w:rsid w:val="5E99597B"/>
    <w:rsid w:val="64236413"/>
    <w:rsid w:val="68866F70"/>
    <w:rsid w:val="69AE2C22"/>
    <w:rsid w:val="6AFB1E97"/>
    <w:rsid w:val="6B9D1128"/>
    <w:rsid w:val="70381498"/>
    <w:rsid w:val="712B4B58"/>
    <w:rsid w:val="73E060CE"/>
    <w:rsid w:val="748051BB"/>
    <w:rsid w:val="75596138"/>
    <w:rsid w:val="75952EE8"/>
    <w:rsid w:val="75B3511C"/>
    <w:rsid w:val="76982C90"/>
    <w:rsid w:val="77B07B65"/>
    <w:rsid w:val="783D40A3"/>
    <w:rsid w:val="7CDD764F"/>
    <w:rsid w:val="7E176B90"/>
    <w:rsid w:val="7EDE7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cs="Times New Roman"/>
      <w:b/>
      <w:bCs/>
      <w:kern w:val="0"/>
      <w:sz w:val="36"/>
      <w:szCs w:val="36"/>
    </w:rPr>
  </w:style>
  <w:style w:type="paragraph" w:styleId="4">
    <w:name w:val="heading 3"/>
    <w:basedOn w:val="1"/>
    <w:next w:val="1"/>
    <w:link w:val="16"/>
    <w:semiHidden/>
    <w:unhideWhenUsed/>
    <w:qFormat/>
    <w:uiPriority w:val="0"/>
    <w:pPr>
      <w:spacing w:beforeAutospacing="1" w:afterAutospacing="1"/>
      <w:jc w:val="left"/>
      <w:outlineLvl w:val="2"/>
    </w:pPr>
    <w:rPr>
      <w:rFonts w:hint="eastAsia" w:ascii="宋体" w:hAnsi="宋体" w:cs="Times New Roman"/>
      <w:b/>
      <w:bCs/>
      <w:kern w:val="0"/>
      <w:sz w:val="27"/>
      <w:szCs w:val="27"/>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4"/>
    <w:qFormat/>
    <w:uiPriority w:val="0"/>
    <w:rPr>
      <w:rFonts w:cs="宋体"/>
      <w:szCs w:val="28"/>
      <w:lang w:eastAsia="en-US"/>
    </w:rPr>
  </w:style>
  <w:style w:type="paragraph" w:styleId="7">
    <w:name w:val="Body Text Indent"/>
    <w:basedOn w:val="1"/>
    <w:unhideWhenUsed/>
    <w:qFormat/>
    <w:uiPriority w:val="99"/>
    <w:pPr>
      <w:spacing w:after="120"/>
      <w:ind w:left="420" w:leftChars="200"/>
    </w:pPr>
  </w:style>
  <w:style w:type="paragraph" w:styleId="8">
    <w:name w:val="Normal (Web)"/>
    <w:basedOn w:val="1"/>
    <w:qFormat/>
    <w:uiPriority w:val="0"/>
    <w:pPr>
      <w:spacing w:beforeAutospacing="1" w:afterAutospacing="1"/>
      <w:jc w:val="left"/>
    </w:pPr>
    <w:rPr>
      <w:rFonts w:cs="Times New Roman"/>
      <w:kern w:val="0"/>
    </w:rPr>
  </w:style>
  <w:style w:type="paragraph" w:styleId="9">
    <w:name w:val="Body Text First Indent 2"/>
    <w:basedOn w:val="7"/>
    <w:qFormat/>
    <w:uiPriority w:val="0"/>
    <w:pPr>
      <w:widowControl/>
      <w:adjustRightInd w:val="0"/>
      <w:snapToGrid w:val="0"/>
      <w:ind w:firstLine="420"/>
      <w:jc w:val="left"/>
    </w:pPr>
    <w:rPr>
      <w:rFonts w:ascii="Tahoma" w:hAnsi="Tahoma"/>
    </w:rPr>
  </w:style>
  <w:style w:type="character" w:styleId="12">
    <w:name w:val="Hyperlink"/>
    <w:basedOn w:val="11"/>
    <w:qFormat/>
    <w:uiPriority w:val="0"/>
    <w:rPr>
      <w:color w:val="0000FF"/>
      <w:u w:val="single"/>
    </w:rPr>
  </w:style>
  <w:style w:type="paragraph" w:customStyle="1" w:styleId="13">
    <w:name w:val="样式1"/>
    <w:basedOn w:val="1"/>
    <w:qFormat/>
    <w:uiPriority w:val="0"/>
    <w:pPr>
      <w:numPr>
        <w:ilvl w:val="0"/>
        <w:numId w:val="1"/>
      </w:numPr>
    </w:pPr>
  </w:style>
  <w:style w:type="character" w:customStyle="1" w:styleId="14">
    <w:name w:val="正文文本 字符"/>
    <w:link w:val="6"/>
    <w:qFormat/>
    <w:uiPriority w:val="0"/>
    <w:rPr>
      <w:rFonts w:ascii="Times New Roman" w:hAnsi="Times New Roman" w:eastAsia="宋体" w:cs="宋体"/>
      <w:sz w:val="24"/>
      <w:szCs w:val="28"/>
      <w:lang w:eastAsia="en-US"/>
    </w:rPr>
  </w:style>
  <w:style w:type="character" w:styleId="15">
    <w:name w:val="Placeholder Text"/>
    <w:basedOn w:val="11"/>
    <w:unhideWhenUsed/>
    <w:uiPriority w:val="99"/>
    <w:rPr>
      <w:color w:val="666666"/>
    </w:rPr>
  </w:style>
  <w:style w:type="character" w:customStyle="1" w:styleId="16">
    <w:name w:val="标题 3 字符"/>
    <w:basedOn w:val="11"/>
    <w:link w:val="4"/>
    <w:semiHidden/>
    <w:uiPriority w:val="0"/>
    <w:rPr>
      <w:rFonts w:ascii="宋体" w:hAnsi="宋体"/>
      <w:b/>
      <w:bCs/>
      <w:sz w:val="27"/>
      <w:szCs w:val="27"/>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3121</Words>
  <Characters>3333</Characters>
  <Lines>292</Lines>
  <Paragraphs>172</Paragraphs>
  <TotalTime>390</TotalTime>
  <ScaleCrop>false</ScaleCrop>
  <LinksUpToDate>false</LinksUpToDate>
  <CharactersWithSpaces>3360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2026-03-09T05:23:00Z</dcterms:created>
  <dc:creator>WPS_1528117298</dc:creator>
  <cp:lastModifiedBy>WPS_1528117298</cp:lastModifiedBy>
  <dcterms:modified xsi:type="dcterms:W3CDTF">2026-03-30T23:28:15Z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1844F3E71A8A46B2940CAFBD1D1E4418_11</vt:lpwstr>
  </property>
  <property fmtid="{D5CDD505-2E9C-101B-9397-08002B2CF9AE}" pid="4" name="KSOTemplateDocerSaveRecord">
    <vt:lpwstr>eyJoZGlkIjoiZjFiMTIyZmMxZDU3NTM1MjI2Yzk5YWI5OWY3NzlhYzUiLCJ1c2VySWQiOiIzNzYwMjEzMjcifQ==</vt:lpwstr>
  </property>
</Properties>
</file>