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9CAD5" w14:textId="77777777" w:rsidR="001C5423" w:rsidRPr="001C5423" w:rsidRDefault="001C5423" w:rsidP="001C5423">
      <w:r w:rsidRPr="001C5423">
        <w:rPr>
          <w:b/>
          <w:bCs/>
        </w:rPr>
        <w:t xml:space="preserve">How the Software Finds a Callsign's Country </w:t>
      </w:r>
      <w:r w:rsidRPr="001C5423">
        <w:rPr>
          <w:rFonts w:ascii="Segoe UI Emoji" w:hAnsi="Segoe UI Emoji" w:cs="Segoe UI Emoji"/>
          <w:b/>
          <w:bCs/>
        </w:rPr>
        <w:t>🗺️</w:t>
      </w:r>
    </w:p>
    <w:p w14:paraId="47672BA3" w14:textId="77777777" w:rsidR="001C5423" w:rsidRPr="001C5423" w:rsidRDefault="001C5423" w:rsidP="001C5423">
      <w:r w:rsidRPr="001C5423">
        <w:rPr>
          <w:b/>
          <w:bCs/>
        </w:rPr>
        <w:t>Version 0.9.0-beta (2025-07-18)</w:t>
      </w:r>
    </w:p>
    <w:p w14:paraId="5C01F962" w14:textId="77777777" w:rsidR="001C5423" w:rsidRPr="001C5423" w:rsidRDefault="001C5423" w:rsidP="001C5423">
      <w:r w:rsidRPr="001C5423">
        <w:t xml:space="preserve">This Source Code Form is subject to the terms of the Mozilla Public License, v. 2.0. If a copy of the MPL was not distributed with this file, </w:t>
      </w:r>
      <w:proofErr w:type="gramStart"/>
      <w:r w:rsidRPr="001C5423">
        <w:t>You</w:t>
      </w:r>
      <w:proofErr w:type="gramEnd"/>
      <w:r w:rsidRPr="001C5423">
        <w:t xml:space="preserve"> can obtain one at </w:t>
      </w:r>
      <w:hyperlink r:id="rId5" w:tgtFrame="_blank" w:history="1">
        <w:r w:rsidRPr="001C5423">
          <w:rPr>
            <w:rStyle w:val="Hyperlink"/>
          </w:rPr>
          <w:t>http://mozilla.org/MPL/2.0/</w:t>
        </w:r>
      </w:hyperlink>
      <w:r w:rsidRPr="001C5423">
        <w:t>.</w:t>
      </w:r>
    </w:p>
    <w:p w14:paraId="52C91764" w14:textId="77777777" w:rsidR="001C5423" w:rsidRPr="001C5423" w:rsidRDefault="001C5423" w:rsidP="001C5423">
      <w:r w:rsidRPr="001C5423">
        <w:t xml:space="preserve">Copyright (c) 2025 Mark Bailey, KD4D </w:t>
      </w:r>
      <w:hyperlink r:id="rId6" w:tgtFrame="_blank" w:history="1">
        <w:r w:rsidRPr="001C5423">
          <w:rPr>
            <w:rStyle w:val="Hyperlink"/>
          </w:rPr>
          <w:t>kd4d@kd4d.org</w:t>
        </w:r>
      </w:hyperlink>
    </w:p>
    <w:p w14:paraId="07933BA9" w14:textId="77777777" w:rsidR="001C5423" w:rsidRPr="001C5423" w:rsidRDefault="001C5423" w:rsidP="001C5423">
      <w:r w:rsidRPr="001C5423">
        <w:t>Ever wonder how logging software instantly knows that 3D2R is Rotuma and not just Fiji? It uses a rapid, step-by-step process to decode your callsign, following a precise set of rules. This guide explains that process from start to finish.</w:t>
      </w:r>
    </w:p>
    <w:p w14:paraId="36647E30" w14:textId="77777777" w:rsidR="001C5423" w:rsidRPr="001C5423" w:rsidRDefault="001C5423" w:rsidP="001C5423">
      <w:r w:rsidRPr="001C5423">
        <w:rPr>
          <w:b/>
          <w:bCs/>
        </w:rPr>
        <w:t>The Core Ingredients</w:t>
      </w:r>
      <w:r w:rsidRPr="001C5423">
        <w:t xml:space="preserve"> Before diving into the steps, let's understand the key components the software uses:</w:t>
      </w:r>
    </w:p>
    <w:p w14:paraId="4849CF54" w14:textId="77777777" w:rsidR="001C5423" w:rsidRPr="001C5423" w:rsidRDefault="001C5423" w:rsidP="001C5423">
      <w:pPr>
        <w:numPr>
          <w:ilvl w:val="0"/>
          <w:numId w:val="25"/>
        </w:numPr>
      </w:pPr>
      <w:r w:rsidRPr="001C5423">
        <w:rPr>
          <w:b/>
          <w:bCs/>
        </w:rPr>
        <w:t>DXCC</w:t>
      </w:r>
      <w:r w:rsidRPr="001C5423">
        <w:t xml:space="preserve"> (DX Century Club): This is the premier award in </w:t>
      </w:r>
      <w:proofErr w:type="gramStart"/>
      <w:r w:rsidRPr="001C5423">
        <w:t>ham radio</w:t>
      </w:r>
      <w:proofErr w:type="gramEnd"/>
      <w:r w:rsidRPr="001C5423">
        <w:t xml:space="preserve"> for contacting 100 different "entities." An entity is usually a country but can also be a distinct territory or island (like Hawaii or Puerto Rico). Our main goal is to identify this DXCC entity.</w:t>
      </w:r>
    </w:p>
    <w:p w14:paraId="52A3A5D4" w14:textId="77777777" w:rsidR="001C5423" w:rsidRPr="001C5423" w:rsidRDefault="001C5423" w:rsidP="001C5423">
      <w:pPr>
        <w:numPr>
          <w:ilvl w:val="0"/>
          <w:numId w:val="25"/>
        </w:numPr>
      </w:pPr>
      <w:r w:rsidRPr="001C5423">
        <w:rPr>
          <w:b/>
          <w:bCs/>
        </w:rPr>
        <w:t>WAE</w:t>
      </w:r>
      <w:r w:rsidRPr="001C5423">
        <w:t xml:space="preserve"> (Worked All Europe): A popular award for contacting European entities. The software also keeps track of a few special sub-entities (like the Shetland Islands or Sicily) that count separately for this award.</w:t>
      </w:r>
    </w:p>
    <w:p w14:paraId="6B1D8776" w14:textId="77777777" w:rsidR="001C5423" w:rsidRPr="001C5423" w:rsidRDefault="001C5423" w:rsidP="001C5423">
      <w:pPr>
        <w:numPr>
          <w:ilvl w:val="0"/>
          <w:numId w:val="25"/>
        </w:numPr>
      </w:pPr>
      <w:r w:rsidRPr="001C5423">
        <w:rPr>
          <w:b/>
          <w:bCs/>
        </w:rPr>
        <w:t>CTY.DAT</w:t>
      </w:r>
      <w:r w:rsidRPr="001C5423">
        <w:t xml:space="preserve">: This is the software's brain. It's a universal database file that acts as a master list, mapping thousands of callsign prefixes (like K, G, VE2) and even some full, specific callsigns to their correct DXCC entity, CQ Zone, ITU Zone, and Continent. This file is meticulously maintained by AD1C, </w:t>
      </w:r>
      <w:hyperlink r:id="rId7" w:tgtFrame="_blank" w:history="1">
        <w:r w:rsidRPr="001C5423">
          <w:rPr>
            <w:rStyle w:val="Hyperlink"/>
          </w:rPr>
          <w:t>www.country-files.com</w:t>
        </w:r>
      </w:hyperlink>
      <w:r w:rsidRPr="001C5423">
        <w:t>.</w:t>
      </w:r>
    </w:p>
    <w:p w14:paraId="66E2A4B7" w14:textId="77777777" w:rsidR="001C5423" w:rsidRPr="001C5423" w:rsidRDefault="001C5423" w:rsidP="001C5423">
      <w:r w:rsidRPr="001C5423">
        <w:rPr>
          <w:b/>
          <w:bCs/>
        </w:rPr>
        <w:t>The Step-by-Step Lookup Algorithm</w:t>
      </w:r>
      <w:r w:rsidRPr="001C5423">
        <w:t xml:space="preserve"> When you enter a callsign, the program follows this exact sequence of checks. It stops as soon as it gets a positive match.</w:t>
      </w:r>
    </w:p>
    <w:p w14:paraId="1FD5DB39" w14:textId="77777777" w:rsidR="001C5423" w:rsidRPr="001C5423" w:rsidRDefault="001C5423" w:rsidP="001C5423">
      <w:r w:rsidRPr="001C5423">
        <w:rPr>
          <w:b/>
          <w:bCs/>
        </w:rPr>
        <w:t>1. Cleanup and Preparation</w:t>
      </w:r>
      <w:r w:rsidRPr="001C5423">
        <w:t xml:space="preserve"> First, the callsign is standardized to ensure it can be matched reliably.</w:t>
      </w:r>
    </w:p>
    <w:p w14:paraId="6A47CBE8" w14:textId="77777777" w:rsidR="001C5423" w:rsidRPr="001C5423" w:rsidRDefault="001C5423" w:rsidP="001C5423">
      <w:pPr>
        <w:numPr>
          <w:ilvl w:val="0"/>
          <w:numId w:val="26"/>
        </w:numPr>
      </w:pPr>
      <w:r w:rsidRPr="001C5423">
        <w:t>It's converted to UPPERCASE.</w:t>
      </w:r>
    </w:p>
    <w:p w14:paraId="5F6677F1" w14:textId="77777777" w:rsidR="001C5423" w:rsidRPr="001C5423" w:rsidRDefault="001C5423" w:rsidP="001C5423">
      <w:pPr>
        <w:numPr>
          <w:ilvl w:val="0"/>
          <w:numId w:val="26"/>
        </w:numPr>
      </w:pPr>
      <w:r w:rsidRPr="001C5423">
        <w:t>Any characters after a hyphen (-) are removed (e.g., W1AW-1 becomes W1AW).</w:t>
      </w:r>
    </w:p>
    <w:p w14:paraId="791451A2" w14:textId="77777777" w:rsidR="001C5423" w:rsidRPr="001C5423" w:rsidRDefault="001C5423" w:rsidP="001C5423">
      <w:r w:rsidRPr="001C5423">
        <w:rPr>
          <w:b/>
          <w:bCs/>
        </w:rPr>
        <w:t>2. Stripping Common Suffixes</w:t>
      </w:r>
      <w:r w:rsidRPr="001C5423">
        <w:t xml:space="preserve"> Next, the software checks for and removes common suffixes from the end of the callsign. This is done early to simplify the call before the main rules are applied. The suffixes that are removed include:</w:t>
      </w:r>
    </w:p>
    <w:p w14:paraId="1B8CA213" w14:textId="77777777" w:rsidR="001C5423" w:rsidRPr="001C5423" w:rsidRDefault="001C5423" w:rsidP="001C5423">
      <w:pPr>
        <w:numPr>
          <w:ilvl w:val="0"/>
          <w:numId w:val="27"/>
        </w:numPr>
      </w:pPr>
      <w:r w:rsidRPr="001C5423">
        <w:t>Portable indicators: /P, /M, /B</w:t>
      </w:r>
    </w:p>
    <w:p w14:paraId="7D326DDE" w14:textId="77777777" w:rsidR="001C5423" w:rsidRPr="001C5423" w:rsidRDefault="001C5423" w:rsidP="001C5423">
      <w:pPr>
        <w:numPr>
          <w:ilvl w:val="0"/>
          <w:numId w:val="27"/>
        </w:numPr>
      </w:pPr>
      <w:r w:rsidRPr="001C5423">
        <w:lastRenderedPageBreak/>
        <w:t>Low power indicator: /QRP</w:t>
      </w:r>
    </w:p>
    <w:p w14:paraId="12ADDBFB" w14:textId="77777777" w:rsidR="001C5423" w:rsidRPr="001C5423" w:rsidRDefault="001C5423" w:rsidP="001C5423">
      <w:pPr>
        <w:numPr>
          <w:ilvl w:val="0"/>
          <w:numId w:val="27"/>
        </w:numPr>
      </w:pPr>
      <w:r w:rsidRPr="001C5423">
        <w:t>Numeric indicators: /0, /1, /2, /3, /4, /5, /6, /7, /8, /9 For example, W3AAA/0 becomes W3AAA, and G/DL0AAA/P becomes G/DL0AAA.</w:t>
      </w:r>
    </w:p>
    <w:p w14:paraId="32DCE940" w14:textId="77777777" w:rsidR="001C5423" w:rsidRPr="001C5423" w:rsidRDefault="001C5423" w:rsidP="001C5423">
      <w:r w:rsidRPr="001C5423">
        <w:rPr>
          <w:b/>
          <w:bCs/>
        </w:rPr>
        <w:t>3. The VIP List: Exact Callsign Matches</w:t>
      </w:r>
      <w:r w:rsidRPr="001C5423">
        <w:t xml:space="preserve"> The software then checks its list of special, "exact match" callsigns. These are unique stations, like =4U1UN (United Nations HQ), that have their own entity. If the callsign is on this VIP list, its country is found immediately, and the search ends.</w:t>
      </w:r>
    </w:p>
    <w:p w14:paraId="5FED1783" w14:textId="77777777" w:rsidR="001C5423" w:rsidRPr="001C5423" w:rsidRDefault="001C5423" w:rsidP="001C5423">
      <w:r w:rsidRPr="001C5423">
        <w:rPr>
          <w:b/>
          <w:bCs/>
        </w:rPr>
        <w:t>4. At Sea: The Maritime Mobile (/MM) Rule</w:t>
      </w:r>
      <w:r w:rsidRPr="001C5423">
        <w:t xml:space="preserve"> If the callsign ends with /MM, the software identifies it as a "Maritime Mobile" station. Because the station is on a vessel at sea, its country is set to Unknown/Undefined. This rule is very specific to /MM and is not affected by the common suffix stripping in step 2.</w:t>
      </w:r>
    </w:p>
    <w:p w14:paraId="25ABDF92" w14:textId="77777777" w:rsidR="001C5423" w:rsidRPr="001C5423" w:rsidRDefault="001C5423" w:rsidP="001C5423">
      <w:r w:rsidRPr="001C5423">
        <w:rPr>
          <w:b/>
          <w:bCs/>
        </w:rPr>
        <w:t>5. The "KG4" Exception: A Special Length Rule</w:t>
      </w:r>
      <w:r w:rsidRPr="001C5423">
        <w:t xml:space="preserve"> Callsigns beginning with KG4 are unique and are judged by their length:</w:t>
      </w:r>
    </w:p>
    <w:p w14:paraId="4DACBBDB" w14:textId="77777777" w:rsidR="001C5423" w:rsidRPr="001C5423" w:rsidRDefault="001C5423" w:rsidP="001C5423">
      <w:pPr>
        <w:numPr>
          <w:ilvl w:val="0"/>
          <w:numId w:val="28"/>
        </w:numPr>
      </w:pPr>
      <w:r w:rsidRPr="001C5423">
        <w:t>If the callsign is 5 characters long and follows the pattern of KG4 plus two letters (e.g., KG4NA), it is resolved to the specific Guantanamo Bay entity found in CTY.DAT (if available).</w:t>
      </w:r>
    </w:p>
    <w:p w14:paraId="76AF95E6" w14:textId="77777777" w:rsidR="001C5423" w:rsidRPr="001C5423" w:rsidRDefault="001C5423" w:rsidP="001C5423">
      <w:pPr>
        <w:numPr>
          <w:ilvl w:val="0"/>
          <w:numId w:val="28"/>
        </w:numPr>
      </w:pPr>
      <w:r w:rsidRPr="001C5423">
        <w:t>For any other length (like KG4A or KG4ABC), it is the United States (by looking up the general 'K' prefix).</w:t>
      </w:r>
    </w:p>
    <w:p w14:paraId="4916947C" w14:textId="77777777" w:rsidR="001C5423" w:rsidRPr="001C5423" w:rsidRDefault="001C5423" w:rsidP="001C5423">
      <w:r w:rsidRPr="001C5423">
        <w:rPr>
          <w:b/>
          <w:bCs/>
        </w:rPr>
        <w:t>6. Decoding Callsigns with Slashes (/)</w:t>
      </w:r>
      <w:r w:rsidRPr="001C5423">
        <w:t xml:space="preserve"> If a slash still exists in the callsign after the initial suffix stripping, the software splits it into parts and applies a strict set of rules.</w:t>
      </w:r>
    </w:p>
    <w:p w14:paraId="024B43AD" w14:textId="77777777" w:rsidR="001C5423" w:rsidRPr="001C5423" w:rsidRDefault="001C5423" w:rsidP="001C5423">
      <w:pPr>
        <w:numPr>
          <w:ilvl w:val="0"/>
          <w:numId w:val="29"/>
        </w:numPr>
      </w:pPr>
      <w:r w:rsidRPr="001C5423">
        <w:rPr>
          <w:b/>
          <w:bCs/>
        </w:rPr>
        <w:t>Rule 1: Prefix / Prefix (F/DL)</w:t>
      </w:r>
      <w:r w:rsidRPr="001C5423">
        <w:t xml:space="preserve"> -&gt; If both parts are valid prefixes, it's ambiguous. The result is Unknown.</w:t>
      </w:r>
    </w:p>
    <w:p w14:paraId="1C6FE32C" w14:textId="77777777" w:rsidR="001C5423" w:rsidRPr="001C5423" w:rsidRDefault="001C5423" w:rsidP="001C5423">
      <w:pPr>
        <w:numPr>
          <w:ilvl w:val="0"/>
          <w:numId w:val="29"/>
        </w:numPr>
      </w:pPr>
      <w:r w:rsidRPr="001C5423">
        <w:rPr>
          <w:b/>
          <w:bCs/>
        </w:rPr>
        <w:t>Rule 2: Prefix / Callsign (MM/KD4D)</w:t>
      </w:r>
      <w:r w:rsidRPr="001C5423">
        <w:t xml:space="preserve"> -&gt; If only the first part is a valid prefix, that part determines the country. Result: Scotland.</w:t>
      </w:r>
    </w:p>
    <w:p w14:paraId="0B6ABF9E" w14:textId="77777777" w:rsidR="001C5423" w:rsidRPr="001C5423" w:rsidRDefault="001C5423" w:rsidP="001C5423">
      <w:pPr>
        <w:numPr>
          <w:ilvl w:val="0"/>
          <w:numId w:val="29"/>
        </w:numPr>
      </w:pPr>
      <w:r w:rsidRPr="001C5423">
        <w:rPr>
          <w:b/>
          <w:bCs/>
        </w:rPr>
        <w:t>Rule 3: Callsign / Prefix (KD4D/VY2)</w:t>
      </w:r>
      <w:r w:rsidRPr="001C5423">
        <w:t xml:space="preserve"> -&gt; If only the second part is a valid prefix, that part determines the country. Result: Canada.</w:t>
      </w:r>
    </w:p>
    <w:p w14:paraId="1945D676" w14:textId="77777777" w:rsidR="001C5423" w:rsidRPr="001C5423" w:rsidRDefault="001C5423" w:rsidP="001C5423">
      <w:pPr>
        <w:numPr>
          <w:ilvl w:val="0"/>
          <w:numId w:val="29"/>
        </w:numPr>
      </w:pPr>
      <w:r w:rsidRPr="001C5423">
        <w:rPr>
          <w:b/>
          <w:bCs/>
        </w:rPr>
        <w:t>Rule 4 (CEPT Rule)</w:t>
      </w:r>
      <w:r w:rsidRPr="001C5423">
        <w:t xml:space="preserve">: If neither part is a valid prefix, the script </w:t>
      </w:r>
      <w:proofErr w:type="gramStart"/>
      <w:r w:rsidRPr="001C5423">
        <w:t>applies</w:t>
      </w:r>
      <w:proofErr w:type="gramEnd"/>
      <w:r w:rsidRPr="001C5423">
        <w:t xml:space="preserve"> the CEPT Rule. This assumes a format of [Visited Country Prefix]</w:t>
      </w:r>
      <w:proofErr w:type="gramStart"/>
      <w:r w:rsidRPr="001C5423">
        <w:t>/[</w:t>
      </w:r>
      <w:proofErr w:type="gramEnd"/>
      <w:r w:rsidRPr="001C5423">
        <w:t>Home Callsign]. The country is then determined by looking up the first part of the callsign.</w:t>
      </w:r>
    </w:p>
    <w:p w14:paraId="274119FA" w14:textId="77777777" w:rsidR="001C5423" w:rsidRPr="001C5423" w:rsidRDefault="001C5423" w:rsidP="001C5423">
      <w:r w:rsidRPr="001C5423">
        <w:rPr>
          <w:b/>
          <w:bCs/>
        </w:rPr>
        <w:t>7. The Final Check: Longest Prefix Match</w:t>
      </w:r>
      <w:r w:rsidRPr="001C5423">
        <w:t xml:space="preserve"> If a callsign makes it through all the special rules above, the software performs the standard lookup. It does this by finding the longest </w:t>
      </w:r>
      <w:r w:rsidRPr="001C5423">
        <w:lastRenderedPageBreak/>
        <w:t xml:space="preserve">possible prefix in its database from AD1C, </w:t>
      </w:r>
      <w:hyperlink r:id="rId8" w:tgtFrame="_blank" w:history="1">
        <w:r w:rsidRPr="001C5423">
          <w:rPr>
            <w:rStyle w:val="Hyperlink"/>
          </w:rPr>
          <w:t>www.country-files.com</w:t>
        </w:r>
      </w:hyperlink>
      <w:r w:rsidRPr="001C5423">
        <w:t xml:space="preserve"> that matches the beginning of the callsign. For example, when looking up N1MM, it checks:</w:t>
      </w:r>
    </w:p>
    <w:p w14:paraId="078E4CA3" w14:textId="77777777" w:rsidR="001C5423" w:rsidRPr="001C5423" w:rsidRDefault="001C5423" w:rsidP="001C5423">
      <w:pPr>
        <w:numPr>
          <w:ilvl w:val="0"/>
          <w:numId w:val="30"/>
        </w:numPr>
      </w:pPr>
      <w:r w:rsidRPr="001C5423">
        <w:t>Is N1MM a prefix? (No)</w:t>
      </w:r>
    </w:p>
    <w:p w14:paraId="791EC142" w14:textId="77777777" w:rsidR="001C5423" w:rsidRPr="001C5423" w:rsidRDefault="001C5423" w:rsidP="001C5423">
      <w:pPr>
        <w:numPr>
          <w:ilvl w:val="0"/>
          <w:numId w:val="30"/>
        </w:numPr>
      </w:pPr>
      <w:r w:rsidRPr="001C5423">
        <w:t>Is N1M a prefix? (No)</w:t>
      </w:r>
    </w:p>
    <w:p w14:paraId="2BE8FC16" w14:textId="77777777" w:rsidR="001C5423" w:rsidRPr="001C5423" w:rsidRDefault="001C5423" w:rsidP="001C5423">
      <w:pPr>
        <w:numPr>
          <w:ilvl w:val="0"/>
          <w:numId w:val="30"/>
        </w:numPr>
      </w:pPr>
      <w:r w:rsidRPr="001C5423">
        <w:t>Is N1 a prefix? (Yes, for the United States) -&gt; Match Found!</w:t>
      </w:r>
    </w:p>
    <w:p w14:paraId="241B9C41" w14:textId="77777777" w:rsidR="001C5423" w:rsidRPr="001C5423" w:rsidRDefault="001C5423" w:rsidP="001C5423">
      <w:r w:rsidRPr="001C5423">
        <w:rPr>
          <w:b/>
          <w:bCs/>
        </w:rPr>
        <w:t>8. Advanced Lookup: Getting Both DXCC and WAE Information</w:t>
      </w:r>
      <w:r w:rsidRPr="001C5423">
        <w:t xml:space="preserve"> Beyond the basic lookup, the software offers a more comprehensive function that returns details about both the primary DXCC entity and any relevant WAE (Worked All Europe) entity.</w:t>
      </w:r>
    </w:p>
    <w:p w14:paraId="52462F4C" w14:textId="77777777" w:rsidR="001C5423" w:rsidRPr="001C5423" w:rsidRDefault="001C5423" w:rsidP="001C5423">
      <w:pPr>
        <w:numPr>
          <w:ilvl w:val="0"/>
          <w:numId w:val="31"/>
        </w:numPr>
      </w:pPr>
      <w:proofErr w:type="spellStart"/>
      <w:r w:rsidRPr="001C5423">
        <w:rPr>
          <w:b/>
          <w:bCs/>
        </w:rPr>
        <w:t>get_cty</w:t>
      </w:r>
      <w:proofErr w:type="spellEnd"/>
      <w:r w:rsidRPr="001C5423">
        <w:rPr>
          <w:b/>
          <w:bCs/>
        </w:rPr>
        <w:t xml:space="preserve"> (Basic Lookup)</w:t>
      </w:r>
      <w:r w:rsidRPr="001C5423">
        <w:t xml:space="preserve">: This function (explained in steps 1-7) returns a </w:t>
      </w:r>
      <w:proofErr w:type="spellStart"/>
      <w:r w:rsidRPr="001C5423">
        <w:t>CtyInfo</w:t>
      </w:r>
      <w:proofErr w:type="spellEnd"/>
      <w:r w:rsidRPr="001C5423">
        <w:t xml:space="preserve"> </w:t>
      </w:r>
      <w:proofErr w:type="spellStart"/>
      <w:r w:rsidRPr="001C5423">
        <w:t>namedtuple</w:t>
      </w:r>
      <w:proofErr w:type="spellEnd"/>
      <w:r w:rsidRPr="001C5423">
        <w:t xml:space="preserve"> which provides the single best entity match based on the </w:t>
      </w:r>
      <w:proofErr w:type="spellStart"/>
      <w:r w:rsidRPr="001C5423">
        <w:t>CtyLookup</w:t>
      </w:r>
      <w:proofErr w:type="spellEnd"/>
      <w:r w:rsidRPr="001C5423">
        <w:t xml:space="preserve"> instance's </w:t>
      </w:r>
      <w:proofErr w:type="spellStart"/>
      <w:r w:rsidRPr="001C5423">
        <w:t>wae</w:t>
      </w:r>
      <w:proofErr w:type="spellEnd"/>
      <w:r w:rsidRPr="001C5423">
        <w:t xml:space="preserve"> setting (set during initialization). The DXCC field in this tuple will contain the primary prefix, which might include an asterisk if it's a WAE-specific entity (*4U1V).</w:t>
      </w:r>
    </w:p>
    <w:p w14:paraId="69914D99" w14:textId="77777777" w:rsidR="001C5423" w:rsidRPr="001C5423" w:rsidRDefault="001C5423" w:rsidP="001C5423">
      <w:pPr>
        <w:numPr>
          <w:ilvl w:val="0"/>
          <w:numId w:val="31"/>
        </w:numPr>
      </w:pPr>
      <w:proofErr w:type="spellStart"/>
      <w:r w:rsidRPr="001C5423">
        <w:rPr>
          <w:b/>
          <w:bCs/>
        </w:rPr>
        <w:t>get_cty_DXCC_WAE</w:t>
      </w:r>
      <w:proofErr w:type="spellEnd"/>
      <w:r w:rsidRPr="001C5423">
        <w:rPr>
          <w:b/>
          <w:bCs/>
        </w:rPr>
        <w:t xml:space="preserve"> (Comprehensive Lookup)</w:t>
      </w:r>
      <w:r w:rsidRPr="001C5423">
        <w:t xml:space="preserve">: This new function is designed to give you a fuller picture. It internally performs separate lookups to identify both the primary DXCC entity and, if applicable, the WAE-specific entity, regardless of how the </w:t>
      </w:r>
      <w:proofErr w:type="spellStart"/>
      <w:r w:rsidRPr="001C5423">
        <w:t>CtyLookup</w:t>
      </w:r>
      <w:proofErr w:type="spellEnd"/>
      <w:r w:rsidRPr="001C5423">
        <w:t xml:space="preserve"> instance itself was initialized. It returns </w:t>
      </w:r>
      <w:proofErr w:type="gramStart"/>
      <w:r w:rsidRPr="001C5423">
        <w:t xml:space="preserve">a </w:t>
      </w:r>
      <w:proofErr w:type="spellStart"/>
      <w:r w:rsidRPr="001C5423">
        <w:t>FullCtyInfo</w:t>
      </w:r>
      <w:proofErr w:type="spellEnd"/>
      <w:proofErr w:type="gramEnd"/>
      <w:r w:rsidRPr="001C5423">
        <w:t xml:space="preserve"> </w:t>
      </w:r>
      <w:proofErr w:type="spellStart"/>
      <w:r w:rsidRPr="001C5423">
        <w:t>namedtuple</w:t>
      </w:r>
      <w:proofErr w:type="spellEnd"/>
      <w:r w:rsidRPr="001C5423">
        <w:t>.</w:t>
      </w:r>
    </w:p>
    <w:p w14:paraId="065AE25E" w14:textId="77777777" w:rsidR="001C5423" w:rsidRPr="001C5423" w:rsidRDefault="001C5423" w:rsidP="001C5423">
      <w:r w:rsidRPr="001C5423">
        <w:rPr>
          <w:b/>
          <w:bCs/>
        </w:rPr>
        <w:t>9. Understanding the Return Values</w:t>
      </w:r>
    </w:p>
    <w:p w14:paraId="67AAE652" w14:textId="77777777" w:rsidR="001C5423" w:rsidRPr="001C5423" w:rsidRDefault="001C5423" w:rsidP="001C5423">
      <w:pPr>
        <w:numPr>
          <w:ilvl w:val="0"/>
          <w:numId w:val="32"/>
        </w:numPr>
      </w:pPr>
      <w:proofErr w:type="spellStart"/>
      <w:r w:rsidRPr="001C5423">
        <w:rPr>
          <w:b/>
          <w:bCs/>
        </w:rPr>
        <w:t>CtyInfo</w:t>
      </w:r>
      <w:proofErr w:type="spellEnd"/>
      <w:r w:rsidRPr="001C5423">
        <w:rPr>
          <w:b/>
          <w:bCs/>
        </w:rPr>
        <w:t xml:space="preserve"> (returned by </w:t>
      </w:r>
      <w:proofErr w:type="spellStart"/>
      <w:r w:rsidRPr="001C5423">
        <w:rPr>
          <w:b/>
          <w:bCs/>
        </w:rPr>
        <w:t>get_cty</w:t>
      </w:r>
      <w:proofErr w:type="spellEnd"/>
      <w:r w:rsidRPr="001C5423">
        <w:rPr>
          <w:b/>
          <w:bCs/>
        </w:rPr>
        <w:t>):</w:t>
      </w:r>
      <w:r w:rsidRPr="001C5423">
        <w:t xml:space="preserve"> This tuple represents the single entity found.</w:t>
      </w:r>
    </w:p>
    <w:p w14:paraId="2252BE25" w14:textId="77777777" w:rsidR="001C5423" w:rsidRPr="001C5423" w:rsidRDefault="001C5423" w:rsidP="001C5423">
      <w:pPr>
        <w:numPr>
          <w:ilvl w:val="1"/>
          <w:numId w:val="32"/>
        </w:numPr>
      </w:pPr>
      <w:r w:rsidRPr="001C5423">
        <w:t>name: The human-readable name of the DXCC/WAE entity.</w:t>
      </w:r>
    </w:p>
    <w:p w14:paraId="5B554990" w14:textId="77777777" w:rsidR="001C5423" w:rsidRPr="001C5423" w:rsidRDefault="001C5423" w:rsidP="001C5423">
      <w:pPr>
        <w:numPr>
          <w:ilvl w:val="1"/>
          <w:numId w:val="32"/>
        </w:numPr>
      </w:pPr>
      <w:r w:rsidRPr="001C5423">
        <w:t>DXCC: The primary prefix of the resolved entity (e.g., 'K', 'CE0Y', or '*4U1V').</w:t>
      </w:r>
    </w:p>
    <w:p w14:paraId="71F3F506" w14:textId="77777777" w:rsidR="001C5423" w:rsidRPr="001C5423" w:rsidRDefault="001C5423" w:rsidP="001C5423">
      <w:pPr>
        <w:numPr>
          <w:ilvl w:val="1"/>
          <w:numId w:val="32"/>
        </w:numPr>
      </w:pPr>
      <w:proofErr w:type="spellStart"/>
      <w:r w:rsidRPr="001C5423">
        <w:t>CQZone</w:t>
      </w:r>
      <w:proofErr w:type="spellEnd"/>
      <w:r w:rsidRPr="001C5423">
        <w:t>: The CQ Zone number.</w:t>
      </w:r>
    </w:p>
    <w:p w14:paraId="370BCD9C" w14:textId="77777777" w:rsidR="001C5423" w:rsidRPr="001C5423" w:rsidRDefault="001C5423" w:rsidP="001C5423">
      <w:pPr>
        <w:numPr>
          <w:ilvl w:val="1"/>
          <w:numId w:val="32"/>
        </w:numPr>
      </w:pPr>
      <w:proofErr w:type="spellStart"/>
      <w:r w:rsidRPr="001C5423">
        <w:t>ITUZone</w:t>
      </w:r>
      <w:proofErr w:type="spellEnd"/>
      <w:r w:rsidRPr="001C5423">
        <w:t>: The ITU Zone number.</w:t>
      </w:r>
    </w:p>
    <w:p w14:paraId="5ADB98D6" w14:textId="77777777" w:rsidR="001C5423" w:rsidRPr="001C5423" w:rsidRDefault="001C5423" w:rsidP="001C5423">
      <w:pPr>
        <w:numPr>
          <w:ilvl w:val="1"/>
          <w:numId w:val="32"/>
        </w:numPr>
      </w:pPr>
      <w:r w:rsidRPr="001C5423">
        <w:t>Continent: The continent abbreviation (e.g., 'NA', 'EU').</w:t>
      </w:r>
    </w:p>
    <w:p w14:paraId="3583284D" w14:textId="77777777" w:rsidR="001C5423" w:rsidRPr="001C5423" w:rsidRDefault="001C5423" w:rsidP="001C5423">
      <w:pPr>
        <w:numPr>
          <w:ilvl w:val="1"/>
          <w:numId w:val="32"/>
        </w:numPr>
      </w:pPr>
      <w:r w:rsidRPr="001C5423">
        <w:t>Lat: Latitude (string).</w:t>
      </w:r>
    </w:p>
    <w:p w14:paraId="03ADF4A8" w14:textId="77777777" w:rsidR="001C5423" w:rsidRPr="001C5423" w:rsidRDefault="001C5423" w:rsidP="001C5423">
      <w:pPr>
        <w:numPr>
          <w:ilvl w:val="1"/>
          <w:numId w:val="32"/>
        </w:numPr>
      </w:pPr>
      <w:r w:rsidRPr="001C5423">
        <w:t>Lon: Longitude (string).</w:t>
      </w:r>
    </w:p>
    <w:p w14:paraId="438F8CF9" w14:textId="77777777" w:rsidR="001C5423" w:rsidRPr="001C5423" w:rsidRDefault="001C5423" w:rsidP="001C5423">
      <w:pPr>
        <w:numPr>
          <w:ilvl w:val="1"/>
          <w:numId w:val="32"/>
        </w:numPr>
      </w:pPr>
      <w:proofErr w:type="spellStart"/>
      <w:r w:rsidRPr="001C5423">
        <w:t>Tzone</w:t>
      </w:r>
      <w:proofErr w:type="spellEnd"/>
      <w:r w:rsidRPr="001C5423">
        <w:t>: Time Zone (string).</w:t>
      </w:r>
    </w:p>
    <w:p w14:paraId="75201248" w14:textId="77777777" w:rsidR="001C5423" w:rsidRPr="001C5423" w:rsidRDefault="001C5423" w:rsidP="001C5423">
      <w:pPr>
        <w:numPr>
          <w:ilvl w:val="0"/>
          <w:numId w:val="32"/>
        </w:numPr>
      </w:pPr>
      <w:proofErr w:type="spellStart"/>
      <w:r w:rsidRPr="001C5423">
        <w:rPr>
          <w:b/>
          <w:bCs/>
        </w:rPr>
        <w:t>FullCtyInfo</w:t>
      </w:r>
      <w:proofErr w:type="spellEnd"/>
      <w:r w:rsidRPr="001C5423">
        <w:rPr>
          <w:b/>
          <w:bCs/>
        </w:rPr>
        <w:t xml:space="preserve"> (returned by </w:t>
      </w:r>
      <w:proofErr w:type="spellStart"/>
      <w:r w:rsidRPr="001C5423">
        <w:rPr>
          <w:b/>
          <w:bCs/>
        </w:rPr>
        <w:t>get_cty_DXCC_WAE</w:t>
      </w:r>
      <w:proofErr w:type="spellEnd"/>
      <w:r w:rsidRPr="001C5423">
        <w:rPr>
          <w:b/>
          <w:bCs/>
        </w:rPr>
        <w:t>):</w:t>
      </w:r>
      <w:r w:rsidRPr="001C5423">
        <w:t xml:space="preserve"> This tuple provides a comprehensive view with distinct fields for DXCC and WAE.</w:t>
      </w:r>
    </w:p>
    <w:p w14:paraId="6A6A4E96" w14:textId="77777777" w:rsidR="001C5423" w:rsidRPr="001C5423" w:rsidRDefault="001C5423" w:rsidP="001C5423">
      <w:pPr>
        <w:numPr>
          <w:ilvl w:val="1"/>
          <w:numId w:val="32"/>
        </w:numPr>
      </w:pPr>
      <w:proofErr w:type="spellStart"/>
      <w:r w:rsidRPr="001C5423">
        <w:lastRenderedPageBreak/>
        <w:t>DXCCName</w:t>
      </w:r>
      <w:proofErr w:type="spellEnd"/>
      <w:r w:rsidRPr="001C5423">
        <w:t>: The human-readable name of the primary DXCC entity (e.g., "United States").</w:t>
      </w:r>
    </w:p>
    <w:p w14:paraId="0B55C935" w14:textId="77777777" w:rsidR="001C5423" w:rsidRPr="001C5423" w:rsidRDefault="001C5423" w:rsidP="001C5423">
      <w:pPr>
        <w:numPr>
          <w:ilvl w:val="1"/>
          <w:numId w:val="32"/>
        </w:numPr>
      </w:pPr>
      <w:proofErr w:type="spellStart"/>
      <w:r w:rsidRPr="001C5423">
        <w:t>DXCCPfx</w:t>
      </w:r>
      <w:proofErr w:type="spellEnd"/>
      <w:r w:rsidRPr="001C5423">
        <w:t>: The primary prefix of the DXCC entity (e.g., "K").</w:t>
      </w:r>
    </w:p>
    <w:p w14:paraId="75149B44" w14:textId="77777777" w:rsidR="001C5423" w:rsidRPr="001C5423" w:rsidRDefault="001C5423" w:rsidP="001C5423">
      <w:pPr>
        <w:numPr>
          <w:ilvl w:val="1"/>
          <w:numId w:val="32"/>
        </w:numPr>
      </w:pPr>
      <w:proofErr w:type="spellStart"/>
      <w:r w:rsidRPr="001C5423">
        <w:t>CQZone</w:t>
      </w:r>
      <w:proofErr w:type="spellEnd"/>
      <w:r w:rsidRPr="001C5423">
        <w:t>: The CQ Zone number (derived from the primary DXCC entity, if possible, otherwise from the WAE entity).</w:t>
      </w:r>
    </w:p>
    <w:p w14:paraId="32957591" w14:textId="77777777" w:rsidR="001C5423" w:rsidRPr="001C5423" w:rsidRDefault="001C5423" w:rsidP="001C5423">
      <w:pPr>
        <w:numPr>
          <w:ilvl w:val="1"/>
          <w:numId w:val="32"/>
        </w:numPr>
      </w:pPr>
      <w:proofErr w:type="spellStart"/>
      <w:r w:rsidRPr="001C5423">
        <w:t>ITUZone</w:t>
      </w:r>
      <w:proofErr w:type="spellEnd"/>
      <w:r w:rsidRPr="001C5423">
        <w:t>: The ITU Zone number (derived from the primary DXCC entity, if possible, otherwise from the WAE entity).</w:t>
      </w:r>
    </w:p>
    <w:p w14:paraId="2ACC0AE0" w14:textId="77777777" w:rsidR="001C5423" w:rsidRPr="001C5423" w:rsidRDefault="001C5423" w:rsidP="001C5423">
      <w:pPr>
        <w:numPr>
          <w:ilvl w:val="1"/>
          <w:numId w:val="32"/>
        </w:numPr>
      </w:pPr>
      <w:r w:rsidRPr="001C5423">
        <w:t>Continent: The Continent abbreviation (derived from the primary DXCC entity, if possible, otherwise from the WAE entity).</w:t>
      </w:r>
    </w:p>
    <w:p w14:paraId="70CA0CFD" w14:textId="77777777" w:rsidR="001C5423" w:rsidRPr="001C5423" w:rsidRDefault="001C5423" w:rsidP="001C5423">
      <w:pPr>
        <w:numPr>
          <w:ilvl w:val="1"/>
          <w:numId w:val="32"/>
        </w:numPr>
      </w:pPr>
      <w:r w:rsidRPr="001C5423">
        <w:t>Lat: Latitude (string).</w:t>
      </w:r>
    </w:p>
    <w:p w14:paraId="1261290B" w14:textId="77777777" w:rsidR="001C5423" w:rsidRPr="001C5423" w:rsidRDefault="001C5423" w:rsidP="001C5423">
      <w:pPr>
        <w:numPr>
          <w:ilvl w:val="1"/>
          <w:numId w:val="32"/>
        </w:numPr>
      </w:pPr>
      <w:r w:rsidRPr="001C5423">
        <w:t>Lon: Longitude (string).</w:t>
      </w:r>
    </w:p>
    <w:p w14:paraId="34704A76" w14:textId="77777777" w:rsidR="001C5423" w:rsidRPr="001C5423" w:rsidRDefault="001C5423" w:rsidP="001C5423">
      <w:pPr>
        <w:numPr>
          <w:ilvl w:val="1"/>
          <w:numId w:val="32"/>
        </w:numPr>
      </w:pPr>
      <w:proofErr w:type="spellStart"/>
      <w:r w:rsidRPr="001C5423">
        <w:t>Tzone</w:t>
      </w:r>
      <w:proofErr w:type="spellEnd"/>
      <w:r w:rsidRPr="001C5423">
        <w:t>: Time Zone (string).</w:t>
      </w:r>
    </w:p>
    <w:p w14:paraId="52E564F0" w14:textId="77777777" w:rsidR="001C5423" w:rsidRPr="001C5423" w:rsidRDefault="001C5423" w:rsidP="001C5423">
      <w:pPr>
        <w:numPr>
          <w:ilvl w:val="1"/>
          <w:numId w:val="32"/>
        </w:numPr>
      </w:pPr>
      <w:proofErr w:type="spellStart"/>
      <w:r w:rsidRPr="001C5423">
        <w:t>WAEName</w:t>
      </w:r>
      <w:proofErr w:type="spellEnd"/>
      <w:r w:rsidRPr="001C5423">
        <w:t>: The human-readable name of the WAE entity (e.g., "Vienna Intl Ctr"), or "None" if not applicable.</w:t>
      </w:r>
    </w:p>
    <w:p w14:paraId="455E1D62" w14:textId="77777777" w:rsidR="001C5423" w:rsidRPr="001C5423" w:rsidRDefault="001C5423" w:rsidP="001C5423">
      <w:pPr>
        <w:numPr>
          <w:ilvl w:val="1"/>
          <w:numId w:val="32"/>
        </w:numPr>
      </w:pPr>
      <w:proofErr w:type="spellStart"/>
      <w:r w:rsidRPr="001C5423">
        <w:t>WAEPfx</w:t>
      </w:r>
      <w:proofErr w:type="spellEnd"/>
      <w:r w:rsidRPr="001C5423">
        <w:t>: The WAE prefix (e.g., "*4U1V"), or "None" if not applicable.</w:t>
      </w:r>
    </w:p>
    <w:p w14:paraId="1180CF94" w14:textId="5C5A82B5" w:rsidR="004E5CC5" w:rsidRPr="007F292D" w:rsidRDefault="004E5CC5" w:rsidP="007F292D"/>
    <w:sectPr w:rsidR="004E5CC5" w:rsidRPr="007F2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1C78"/>
    <w:multiLevelType w:val="multilevel"/>
    <w:tmpl w:val="C16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A3C5F"/>
    <w:multiLevelType w:val="multilevel"/>
    <w:tmpl w:val="7596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A2A3D"/>
    <w:multiLevelType w:val="multilevel"/>
    <w:tmpl w:val="531E3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26ED3"/>
    <w:multiLevelType w:val="multilevel"/>
    <w:tmpl w:val="C0CC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E5AA5"/>
    <w:multiLevelType w:val="multilevel"/>
    <w:tmpl w:val="4B44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C5F59"/>
    <w:multiLevelType w:val="multilevel"/>
    <w:tmpl w:val="6A2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70D98"/>
    <w:multiLevelType w:val="multilevel"/>
    <w:tmpl w:val="74FC5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760FE"/>
    <w:multiLevelType w:val="multilevel"/>
    <w:tmpl w:val="726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F6DE6"/>
    <w:multiLevelType w:val="multilevel"/>
    <w:tmpl w:val="D4E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A3A73"/>
    <w:multiLevelType w:val="multilevel"/>
    <w:tmpl w:val="3E36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9B0E20"/>
    <w:multiLevelType w:val="multilevel"/>
    <w:tmpl w:val="322A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1774E"/>
    <w:multiLevelType w:val="multilevel"/>
    <w:tmpl w:val="A008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D47BB"/>
    <w:multiLevelType w:val="multilevel"/>
    <w:tmpl w:val="463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951E62"/>
    <w:multiLevelType w:val="multilevel"/>
    <w:tmpl w:val="BD5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3415A1"/>
    <w:multiLevelType w:val="multilevel"/>
    <w:tmpl w:val="FF04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A0DB1"/>
    <w:multiLevelType w:val="multilevel"/>
    <w:tmpl w:val="F0EE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A2BB8"/>
    <w:multiLevelType w:val="multilevel"/>
    <w:tmpl w:val="D2D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62BCA"/>
    <w:multiLevelType w:val="multilevel"/>
    <w:tmpl w:val="1EB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C5B56"/>
    <w:multiLevelType w:val="multilevel"/>
    <w:tmpl w:val="59C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82319"/>
    <w:multiLevelType w:val="multilevel"/>
    <w:tmpl w:val="761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F07AC"/>
    <w:multiLevelType w:val="multilevel"/>
    <w:tmpl w:val="1DD8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F1AFA"/>
    <w:multiLevelType w:val="multilevel"/>
    <w:tmpl w:val="5B00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0757AF"/>
    <w:multiLevelType w:val="multilevel"/>
    <w:tmpl w:val="5F9C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8B01C4"/>
    <w:multiLevelType w:val="multilevel"/>
    <w:tmpl w:val="B8648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5250B1"/>
    <w:multiLevelType w:val="multilevel"/>
    <w:tmpl w:val="B442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C2DAF"/>
    <w:multiLevelType w:val="multilevel"/>
    <w:tmpl w:val="BF86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C4153"/>
    <w:multiLevelType w:val="multilevel"/>
    <w:tmpl w:val="C08A1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6045CD"/>
    <w:multiLevelType w:val="multilevel"/>
    <w:tmpl w:val="F37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F90372"/>
    <w:multiLevelType w:val="multilevel"/>
    <w:tmpl w:val="DBC80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B71648"/>
    <w:multiLevelType w:val="multilevel"/>
    <w:tmpl w:val="0B1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E33C1"/>
    <w:multiLevelType w:val="multilevel"/>
    <w:tmpl w:val="4EDC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7762EE"/>
    <w:multiLevelType w:val="multilevel"/>
    <w:tmpl w:val="28D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258576">
    <w:abstractNumId w:val="9"/>
  </w:num>
  <w:num w:numId="2" w16cid:durableId="1777946583">
    <w:abstractNumId w:val="17"/>
  </w:num>
  <w:num w:numId="3" w16cid:durableId="305207957">
    <w:abstractNumId w:val="6"/>
  </w:num>
  <w:num w:numId="4" w16cid:durableId="815996658">
    <w:abstractNumId w:val="1"/>
  </w:num>
  <w:num w:numId="5" w16cid:durableId="605767924">
    <w:abstractNumId w:val="28"/>
  </w:num>
  <w:num w:numId="6" w16cid:durableId="2030330354">
    <w:abstractNumId w:val="29"/>
  </w:num>
  <w:num w:numId="7" w16cid:durableId="1838232570">
    <w:abstractNumId w:val="23"/>
  </w:num>
  <w:num w:numId="8" w16cid:durableId="1355885075">
    <w:abstractNumId w:val="24"/>
  </w:num>
  <w:num w:numId="9" w16cid:durableId="1197279529">
    <w:abstractNumId w:val="2"/>
  </w:num>
  <w:num w:numId="10" w16cid:durableId="690380005">
    <w:abstractNumId w:val="14"/>
  </w:num>
  <w:num w:numId="11" w16cid:durableId="1590233803">
    <w:abstractNumId w:val="21"/>
  </w:num>
  <w:num w:numId="12" w16cid:durableId="1431704357">
    <w:abstractNumId w:val="26"/>
  </w:num>
  <w:num w:numId="13" w16cid:durableId="165244721">
    <w:abstractNumId w:val="10"/>
  </w:num>
  <w:num w:numId="14" w16cid:durableId="876350858">
    <w:abstractNumId w:val="31"/>
  </w:num>
  <w:num w:numId="15" w16cid:durableId="153231416">
    <w:abstractNumId w:val="7"/>
  </w:num>
  <w:num w:numId="16" w16cid:durableId="1835219762">
    <w:abstractNumId w:val="27"/>
  </w:num>
  <w:num w:numId="17" w16cid:durableId="904993250">
    <w:abstractNumId w:val="13"/>
  </w:num>
  <w:num w:numId="18" w16cid:durableId="1602951257">
    <w:abstractNumId w:val="11"/>
  </w:num>
  <w:num w:numId="19" w16cid:durableId="144662911">
    <w:abstractNumId w:val="0"/>
  </w:num>
  <w:num w:numId="20" w16cid:durableId="1707292429">
    <w:abstractNumId w:val="3"/>
  </w:num>
  <w:num w:numId="21" w16cid:durableId="229704517">
    <w:abstractNumId w:val="19"/>
  </w:num>
  <w:num w:numId="22" w16cid:durableId="1354453765">
    <w:abstractNumId w:val="4"/>
  </w:num>
  <w:num w:numId="23" w16cid:durableId="1414622472">
    <w:abstractNumId w:val="20"/>
  </w:num>
  <w:num w:numId="24" w16cid:durableId="2046174737">
    <w:abstractNumId w:val="8"/>
  </w:num>
  <w:num w:numId="25" w16cid:durableId="1794134769">
    <w:abstractNumId w:val="12"/>
  </w:num>
  <w:num w:numId="26" w16cid:durableId="1240942846">
    <w:abstractNumId w:val="16"/>
  </w:num>
  <w:num w:numId="27" w16cid:durableId="518009250">
    <w:abstractNumId w:val="5"/>
  </w:num>
  <w:num w:numId="28" w16cid:durableId="163594265">
    <w:abstractNumId w:val="25"/>
  </w:num>
  <w:num w:numId="29" w16cid:durableId="272903128">
    <w:abstractNumId w:val="22"/>
  </w:num>
  <w:num w:numId="30" w16cid:durableId="2035227079">
    <w:abstractNumId w:val="18"/>
  </w:num>
  <w:num w:numId="31" w16cid:durableId="448595677">
    <w:abstractNumId w:val="15"/>
  </w:num>
  <w:num w:numId="32" w16cid:durableId="249900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C5"/>
    <w:rsid w:val="001C5423"/>
    <w:rsid w:val="002B7825"/>
    <w:rsid w:val="004E5CC5"/>
    <w:rsid w:val="007F292D"/>
    <w:rsid w:val="00913F45"/>
    <w:rsid w:val="009B1DC0"/>
    <w:rsid w:val="00A962F7"/>
    <w:rsid w:val="00AC299C"/>
    <w:rsid w:val="00AE50B1"/>
    <w:rsid w:val="00B97562"/>
    <w:rsid w:val="00D52F77"/>
    <w:rsid w:val="00E604C0"/>
    <w:rsid w:val="00FC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C4CF"/>
  <w15:chartTrackingRefBased/>
  <w15:docId w15:val="{F1D79A29-9B4A-411A-9CF1-AD8955AE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CC5"/>
    <w:rPr>
      <w:rFonts w:eastAsiaTheme="majorEastAsia" w:cstheme="majorBidi"/>
      <w:color w:val="272727" w:themeColor="text1" w:themeTint="D8"/>
    </w:rPr>
  </w:style>
  <w:style w:type="paragraph" w:styleId="Title">
    <w:name w:val="Title"/>
    <w:basedOn w:val="Normal"/>
    <w:next w:val="Normal"/>
    <w:link w:val="TitleChar"/>
    <w:uiPriority w:val="10"/>
    <w:qFormat/>
    <w:rsid w:val="004E5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CC5"/>
    <w:pPr>
      <w:spacing w:before="160"/>
      <w:jc w:val="center"/>
    </w:pPr>
    <w:rPr>
      <w:i/>
      <w:iCs/>
      <w:color w:val="404040" w:themeColor="text1" w:themeTint="BF"/>
    </w:rPr>
  </w:style>
  <w:style w:type="character" w:customStyle="1" w:styleId="QuoteChar">
    <w:name w:val="Quote Char"/>
    <w:basedOn w:val="DefaultParagraphFont"/>
    <w:link w:val="Quote"/>
    <w:uiPriority w:val="29"/>
    <w:rsid w:val="004E5CC5"/>
    <w:rPr>
      <w:i/>
      <w:iCs/>
      <w:color w:val="404040" w:themeColor="text1" w:themeTint="BF"/>
    </w:rPr>
  </w:style>
  <w:style w:type="paragraph" w:styleId="ListParagraph">
    <w:name w:val="List Paragraph"/>
    <w:basedOn w:val="Normal"/>
    <w:uiPriority w:val="34"/>
    <w:qFormat/>
    <w:rsid w:val="004E5CC5"/>
    <w:pPr>
      <w:ind w:left="720"/>
      <w:contextualSpacing/>
    </w:pPr>
  </w:style>
  <w:style w:type="character" w:styleId="IntenseEmphasis">
    <w:name w:val="Intense Emphasis"/>
    <w:basedOn w:val="DefaultParagraphFont"/>
    <w:uiPriority w:val="21"/>
    <w:qFormat/>
    <w:rsid w:val="004E5CC5"/>
    <w:rPr>
      <w:i/>
      <w:iCs/>
      <w:color w:val="0F4761" w:themeColor="accent1" w:themeShade="BF"/>
    </w:rPr>
  </w:style>
  <w:style w:type="paragraph" w:styleId="IntenseQuote">
    <w:name w:val="Intense Quote"/>
    <w:basedOn w:val="Normal"/>
    <w:next w:val="Normal"/>
    <w:link w:val="IntenseQuoteChar"/>
    <w:uiPriority w:val="30"/>
    <w:qFormat/>
    <w:rsid w:val="004E5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CC5"/>
    <w:rPr>
      <w:i/>
      <w:iCs/>
      <w:color w:val="0F4761" w:themeColor="accent1" w:themeShade="BF"/>
    </w:rPr>
  </w:style>
  <w:style w:type="character" w:styleId="IntenseReference">
    <w:name w:val="Intense Reference"/>
    <w:basedOn w:val="DefaultParagraphFont"/>
    <w:uiPriority w:val="32"/>
    <w:qFormat/>
    <w:rsid w:val="004E5CC5"/>
    <w:rPr>
      <w:b/>
      <w:bCs/>
      <w:smallCaps/>
      <w:color w:val="0F4761" w:themeColor="accent1" w:themeShade="BF"/>
      <w:spacing w:val="5"/>
    </w:rPr>
  </w:style>
  <w:style w:type="character" w:styleId="Hyperlink">
    <w:name w:val="Hyperlink"/>
    <w:basedOn w:val="DefaultParagraphFont"/>
    <w:uiPriority w:val="99"/>
    <w:unhideWhenUsed/>
    <w:rsid w:val="007F292D"/>
    <w:rPr>
      <w:color w:val="467886" w:themeColor="hyperlink"/>
      <w:u w:val="single"/>
    </w:rPr>
  </w:style>
  <w:style w:type="character" w:styleId="UnresolvedMention">
    <w:name w:val="Unresolved Mention"/>
    <w:basedOn w:val="DefaultParagraphFont"/>
    <w:uiPriority w:val="99"/>
    <w:semiHidden/>
    <w:unhideWhenUsed/>
    <w:rsid w:val="007F2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521">
      <w:bodyDiv w:val="1"/>
      <w:marLeft w:val="0"/>
      <w:marRight w:val="0"/>
      <w:marTop w:val="0"/>
      <w:marBottom w:val="0"/>
      <w:divBdr>
        <w:top w:val="none" w:sz="0" w:space="0" w:color="auto"/>
        <w:left w:val="none" w:sz="0" w:space="0" w:color="auto"/>
        <w:bottom w:val="none" w:sz="0" w:space="0" w:color="auto"/>
        <w:right w:val="none" w:sz="0" w:space="0" w:color="auto"/>
      </w:divBdr>
    </w:div>
    <w:div w:id="129250797">
      <w:bodyDiv w:val="1"/>
      <w:marLeft w:val="0"/>
      <w:marRight w:val="0"/>
      <w:marTop w:val="0"/>
      <w:marBottom w:val="0"/>
      <w:divBdr>
        <w:top w:val="none" w:sz="0" w:space="0" w:color="auto"/>
        <w:left w:val="none" w:sz="0" w:space="0" w:color="auto"/>
        <w:bottom w:val="none" w:sz="0" w:space="0" w:color="auto"/>
        <w:right w:val="none" w:sz="0" w:space="0" w:color="auto"/>
      </w:divBdr>
    </w:div>
    <w:div w:id="293102223">
      <w:bodyDiv w:val="1"/>
      <w:marLeft w:val="0"/>
      <w:marRight w:val="0"/>
      <w:marTop w:val="0"/>
      <w:marBottom w:val="0"/>
      <w:divBdr>
        <w:top w:val="none" w:sz="0" w:space="0" w:color="auto"/>
        <w:left w:val="none" w:sz="0" w:space="0" w:color="auto"/>
        <w:bottom w:val="none" w:sz="0" w:space="0" w:color="auto"/>
        <w:right w:val="none" w:sz="0" w:space="0" w:color="auto"/>
      </w:divBdr>
    </w:div>
    <w:div w:id="303583855">
      <w:bodyDiv w:val="1"/>
      <w:marLeft w:val="0"/>
      <w:marRight w:val="0"/>
      <w:marTop w:val="0"/>
      <w:marBottom w:val="0"/>
      <w:divBdr>
        <w:top w:val="none" w:sz="0" w:space="0" w:color="auto"/>
        <w:left w:val="none" w:sz="0" w:space="0" w:color="auto"/>
        <w:bottom w:val="none" w:sz="0" w:space="0" w:color="auto"/>
        <w:right w:val="none" w:sz="0" w:space="0" w:color="auto"/>
      </w:divBdr>
    </w:div>
    <w:div w:id="352389803">
      <w:bodyDiv w:val="1"/>
      <w:marLeft w:val="0"/>
      <w:marRight w:val="0"/>
      <w:marTop w:val="0"/>
      <w:marBottom w:val="0"/>
      <w:divBdr>
        <w:top w:val="none" w:sz="0" w:space="0" w:color="auto"/>
        <w:left w:val="none" w:sz="0" w:space="0" w:color="auto"/>
        <w:bottom w:val="none" w:sz="0" w:space="0" w:color="auto"/>
        <w:right w:val="none" w:sz="0" w:space="0" w:color="auto"/>
      </w:divBdr>
    </w:div>
    <w:div w:id="412315058">
      <w:bodyDiv w:val="1"/>
      <w:marLeft w:val="0"/>
      <w:marRight w:val="0"/>
      <w:marTop w:val="0"/>
      <w:marBottom w:val="0"/>
      <w:divBdr>
        <w:top w:val="none" w:sz="0" w:space="0" w:color="auto"/>
        <w:left w:val="none" w:sz="0" w:space="0" w:color="auto"/>
        <w:bottom w:val="none" w:sz="0" w:space="0" w:color="auto"/>
        <w:right w:val="none" w:sz="0" w:space="0" w:color="auto"/>
      </w:divBdr>
    </w:div>
    <w:div w:id="882250970">
      <w:bodyDiv w:val="1"/>
      <w:marLeft w:val="0"/>
      <w:marRight w:val="0"/>
      <w:marTop w:val="0"/>
      <w:marBottom w:val="0"/>
      <w:divBdr>
        <w:top w:val="none" w:sz="0" w:space="0" w:color="auto"/>
        <w:left w:val="none" w:sz="0" w:space="0" w:color="auto"/>
        <w:bottom w:val="none" w:sz="0" w:space="0" w:color="auto"/>
        <w:right w:val="none" w:sz="0" w:space="0" w:color="auto"/>
      </w:divBdr>
    </w:div>
    <w:div w:id="894124586">
      <w:bodyDiv w:val="1"/>
      <w:marLeft w:val="0"/>
      <w:marRight w:val="0"/>
      <w:marTop w:val="0"/>
      <w:marBottom w:val="0"/>
      <w:divBdr>
        <w:top w:val="none" w:sz="0" w:space="0" w:color="auto"/>
        <w:left w:val="none" w:sz="0" w:space="0" w:color="auto"/>
        <w:bottom w:val="none" w:sz="0" w:space="0" w:color="auto"/>
        <w:right w:val="none" w:sz="0" w:space="0" w:color="auto"/>
      </w:divBdr>
    </w:div>
    <w:div w:id="963579922">
      <w:bodyDiv w:val="1"/>
      <w:marLeft w:val="0"/>
      <w:marRight w:val="0"/>
      <w:marTop w:val="0"/>
      <w:marBottom w:val="0"/>
      <w:divBdr>
        <w:top w:val="none" w:sz="0" w:space="0" w:color="auto"/>
        <w:left w:val="none" w:sz="0" w:space="0" w:color="auto"/>
        <w:bottom w:val="none" w:sz="0" w:space="0" w:color="auto"/>
        <w:right w:val="none" w:sz="0" w:space="0" w:color="auto"/>
      </w:divBdr>
    </w:div>
    <w:div w:id="1087266133">
      <w:bodyDiv w:val="1"/>
      <w:marLeft w:val="0"/>
      <w:marRight w:val="0"/>
      <w:marTop w:val="0"/>
      <w:marBottom w:val="0"/>
      <w:divBdr>
        <w:top w:val="none" w:sz="0" w:space="0" w:color="auto"/>
        <w:left w:val="none" w:sz="0" w:space="0" w:color="auto"/>
        <w:bottom w:val="none" w:sz="0" w:space="0" w:color="auto"/>
        <w:right w:val="none" w:sz="0" w:space="0" w:color="auto"/>
      </w:divBdr>
    </w:div>
    <w:div w:id="1332681367">
      <w:bodyDiv w:val="1"/>
      <w:marLeft w:val="0"/>
      <w:marRight w:val="0"/>
      <w:marTop w:val="0"/>
      <w:marBottom w:val="0"/>
      <w:divBdr>
        <w:top w:val="none" w:sz="0" w:space="0" w:color="auto"/>
        <w:left w:val="none" w:sz="0" w:space="0" w:color="auto"/>
        <w:bottom w:val="none" w:sz="0" w:space="0" w:color="auto"/>
        <w:right w:val="none" w:sz="0" w:space="0" w:color="auto"/>
      </w:divBdr>
    </w:div>
    <w:div w:id="1395271789">
      <w:bodyDiv w:val="1"/>
      <w:marLeft w:val="0"/>
      <w:marRight w:val="0"/>
      <w:marTop w:val="0"/>
      <w:marBottom w:val="0"/>
      <w:divBdr>
        <w:top w:val="none" w:sz="0" w:space="0" w:color="auto"/>
        <w:left w:val="none" w:sz="0" w:space="0" w:color="auto"/>
        <w:bottom w:val="none" w:sz="0" w:space="0" w:color="auto"/>
        <w:right w:val="none" w:sz="0" w:space="0" w:color="auto"/>
      </w:divBdr>
    </w:div>
    <w:div w:id="1402483905">
      <w:bodyDiv w:val="1"/>
      <w:marLeft w:val="0"/>
      <w:marRight w:val="0"/>
      <w:marTop w:val="0"/>
      <w:marBottom w:val="0"/>
      <w:divBdr>
        <w:top w:val="none" w:sz="0" w:space="0" w:color="auto"/>
        <w:left w:val="none" w:sz="0" w:space="0" w:color="auto"/>
        <w:bottom w:val="none" w:sz="0" w:space="0" w:color="auto"/>
        <w:right w:val="none" w:sz="0" w:space="0" w:color="auto"/>
      </w:divBdr>
    </w:div>
    <w:div w:id="1459228015">
      <w:bodyDiv w:val="1"/>
      <w:marLeft w:val="0"/>
      <w:marRight w:val="0"/>
      <w:marTop w:val="0"/>
      <w:marBottom w:val="0"/>
      <w:divBdr>
        <w:top w:val="none" w:sz="0" w:space="0" w:color="auto"/>
        <w:left w:val="none" w:sz="0" w:space="0" w:color="auto"/>
        <w:bottom w:val="none" w:sz="0" w:space="0" w:color="auto"/>
        <w:right w:val="none" w:sz="0" w:space="0" w:color="auto"/>
      </w:divBdr>
    </w:div>
    <w:div w:id="1500190441">
      <w:bodyDiv w:val="1"/>
      <w:marLeft w:val="0"/>
      <w:marRight w:val="0"/>
      <w:marTop w:val="0"/>
      <w:marBottom w:val="0"/>
      <w:divBdr>
        <w:top w:val="none" w:sz="0" w:space="0" w:color="auto"/>
        <w:left w:val="none" w:sz="0" w:space="0" w:color="auto"/>
        <w:bottom w:val="none" w:sz="0" w:space="0" w:color="auto"/>
        <w:right w:val="none" w:sz="0" w:space="0" w:color="auto"/>
      </w:divBdr>
    </w:div>
    <w:div w:id="1582836210">
      <w:bodyDiv w:val="1"/>
      <w:marLeft w:val="0"/>
      <w:marRight w:val="0"/>
      <w:marTop w:val="0"/>
      <w:marBottom w:val="0"/>
      <w:divBdr>
        <w:top w:val="none" w:sz="0" w:space="0" w:color="auto"/>
        <w:left w:val="none" w:sz="0" w:space="0" w:color="auto"/>
        <w:bottom w:val="none" w:sz="0" w:space="0" w:color="auto"/>
        <w:right w:val="none" w:sz="0" w:space="0" w:color="auto"/>
      </w:divBdr>
    </w:div>
    <w:div w:id="1622682857">
      <w:bodyDiv w:val="1"/>
      <w:marLeft w:val="0"/>
      <w:marRight w:val="0"/>
      <w:marTop w:val="0"/>
      <w:marBottom w:val="0"/>
      <w:divBdr>
        <w:top w:val="none" w:sz="0" w:space="0" w:color="auto"/>
        <w:left w:val="none" w:sz="0" w:space="0" w:color="auto"/>
        <w:bottom w:val="none" w:sz="0" w:space="0" w:color="auto"/>
        <w:right w:val="none" w:sz="0" w:space="0" w:color="auto"/>
      </w:divBdr>
    </w:div>
    <w:div w:id="187545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ry-files.com" TargetMode="External"/><Relationship Id="rId3" Type="http://schemas.openxmlformats.org/officeDocument/2006/relationships/settings" Target="settings.xml"/><Relationship Id="rId7" Type="http://schemas.openxmlformats.org/officeDocument/2006/relationships/hyperlink" Target="https://www.country-fil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d4d@kd4d.org" TargetMode="External"/><Relationship Id="rId5" Type="http://schemas.openxmlformats.org/officeDocument/2006/relationships/hyperlink" Target="http://mozilla.org/MPL/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2</cp:revision>
  <dcterms:created xsi:type="dcterms:W3CDTF">2025-07-18T21:30:00Z</dcterms:created>
  <dcterms:modified xsi:type="dcterms:W3CDTF">2025-07-18T21:30:00Z</dcterms:modified>
</cp:coreProperties>
</file>