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BBFF" w14:textId="77777777" w:rsidR="004B4A90" w:rsidRDefault="000F083E" w:rsidP="000F083E">
      <w:pPr>
        <w:spacing w:line="480" w:lineRule="auto"/>
        <w:jc w:val="center"/>
        <w:rPr>
          <w:b/>
        </w:rPr>
      </w:pPr>
      <w:r>
        <w:rPr>
          <w:b/>
        </w:rPr>
        <w:t>Materials and Methods</w:t>
      </w:r>
    </w:p>
    <w:p w14:paraId="4103E21B" w14:textId="459C387C" w:rsidR="000F083E" w:rsidRDefault="000F083E" w:rsidP="000F083E">
      <w:pPr>
        <w:spacing w:line="480" w:lineRule="auto"/>
        <w:rPr>
          <w:b/>
        </w:rPr>
      </w:pPr>
      <w:r>
        <w:rPr>
          <w:b/>
        </w:rPr>
        <w:t xml:space="preserve">DNA </w:t>
      </w:r>
      <w:r w:rsidR="00782D7D">
        <w:rPr>
          <w:b/>
        </w:rPr>
        <w:t>M</w:t>
      </w:r>
      <w:r>
        <w:rPr>
          <w:b/>
        </w:rPr>
        <w:t xml:space="preserve">icroarray </w:t>
      </w:r>
      <w:r w:rsidR="00782D7D">
        <w:rPr>
          <w:b/>
        </w:rPr>
        <w:t>D</w:t>
      </w:r>
      <w:r>
        <w:rPr>
          <w:b/>
        </w:rPr>
        <w:t>ata</w:t>
      </w:r>
    </w:p>
    <w:p w14:paraId="4D05EFB0" w14:textId="5D35E66F" w:rsidR="00E90B23" w:rsidRPr="009B027D" w:rsidRDefault="00E90B23" w:rsidP="000F083E">
      <w:pPr>
        <w:spacing w:line="480" w:lineRule="auto"/>
        <w:rPr>
          <w:b/>
        </w:rPr>
      </w:pPr>
      <w:r>
        <w:rPr>
          <w:b/>
        </w:rPr>
        <w:tab/>
      </w:r>
      <w:r>
        <w:t xml:space="preserve">We are grateful to </w:t>
      </w:r>
      <w:r w:rsidRPr="00E90B23">
        <w:rPr>
          <w:bCs/>
        </w:rPr>
        <w:t xml:space="preserve">Cybele Arsan, Wesley </w:t>
      </w:r>
      <w:proofErr w:type="spellStart"/>
      <w:r w:rsidRPr="00E90B23">
        <w:rPr>
          <w:bCs/>
        </w:rPr>
        <w:t>Citti</w:t>
      </w:r>
      <w:proofErr w:type="spellEnd"/>
      <w:r w:rsidRPr="00E90B23">
        <w:rPr>
          <w:bCs/>
        </w:rPr>
        <w:t>, Kevin </w:t>
      </w:r>
      <w:proofErr w:type="spellStart"/>
      <w:r w:rsidRPr="00E90B23">
        <w:rPr>
          <w:bCs/>
        </w:rPr>
        <w:t>Entzminger</w:t>
      </w:r>
      <w:proofErr w:type="spellEnd"/>
      <w:r w:rsidRPr="00E90B23">
        <w:rPr>
          <w:bCs/>
        </w:rPr>
        <w:t>, Andrew Herman, Monica Hong, Heather King, Lauren </w:t>
      </w:r>
      <w:proofErr w:type="spellStart"/>
      <w:r w:rsidRPr="00E90B23">
        <w:rPr>
          <w:bCs/>
        </w:rPr>
        <w:t>Kubeck</w:t>
      </w:r>
      <w:proofErr w:type="spellEnd"/>
      <w:r w:rsidRPr="00E90B23">
        <w:rPr>
          <w:bCs/>
        </w:rPr>
        <w:t>, Stephanie </w:t>
      </w:r>
      <w:proofErr w:type="spellStart"/>
      <w:r w:rsidRPr="00E90B23">
        <w:rPr>
          <w:bCs/>
        </w:rPr>
        <w:t>Kuelbs</w:t>
      </w:r>
      <w:proofErr w:type="spellEnd"/>
      <w:r w:rsidRPr="00E90B23">
        <w:rPr>
          <w:bCs/>
        </w:rPr>
        <w:t>, Elizabeth Liu, Matthew Mejia, Kevin McGee, Kenny Rodriguez, Olivia </w:t>
      </w:r>
      <w:proofErr w:type="spellStart"/>
      <w:r w:rsidRPr="00E90B23">
        <w:rPr>
          <w:bCs/>
        </w:rPr>
        <w:t>Sakhon</w:t>
      </w:r>
      <w:proofErr w:type="spellEnd"/>
      <w:r w:rsidRPr="00E90B23">
        <w:rPr>
          <w:bCs/>
        </w:rPr>
        <w:t>, Alondra Vega, and Kevin Wyllie</w:t>
      </w:r>
      <w:r w:rsidRPr="00E90B23">
        <w:t xml:space="preserve"> </w:t>
      </w:r>
      <w:r>
        <w:t xml:space="preserve">for their efforts collecting the DNA microarray expression data. Expression data was collected from the wild type strain and five transcription factor deletion </w:t>
      </w:r>
      <w:r w:rsidRPr="00E90B23">
        <w:t>strains (</w:t>
      </w:r>
      <w:r w:rsidRPr="00E90B23">
        <w:rPr>
          <w:bCs/>
          <w:i/>
          <w:iCs/>
        </w:rPr>
        <w:t>Δcin5, Δgln3, Δhmo1, Δzap1, Δhap4</w:t>
      </w:r>
      <w:r w:rsidRPr="00E90B23">
        <w:rPr>
          <w:bCs/>
        </w:rPr>
        <w:t>)</w:t>
      </w:r>
      <w:r>
        <w:rPr>
          <w:bCs/>
        </w:rPr>
        <w:t xml:space="preserve"> before cold shock (30</w:t>
      </w:r>
      <w:r>
        <w:rPr>
          <w:bCs/>
        </w:rPr>
        <w:sym w:font="Symbol" w:char="F0B0"/>
      </w:r>
      <w:r>
        <w:rPr>
          <w:bCs/>
        </w:rPr>
        <w:t>C) and after 15, 30, and 60 minutes of cold shock at 13</w:t>
      </w:r>
      <w:r>
        <w:rPr>
          <w:bCs/>
        </w:rPr>
        <w:sym w:font="Symbol" w:char="F0B0"/>
      </w:r>
      <w:r>
        <w:rPr>
          <w:bCs/>
        </w:rPr>
        <w:t xml:space="preserve">C. Each deletion strain represents a known stress gene. </w:t>
      </w:r>
      <w:r w:rsidR="00DD4A61">
        <w:rPr>
          <w:bCs/>
        </w:rPr>
        <w:t xml:space="preserve">CIN5 was previously found </w:t>
      </w:r>
      <w:r w:rsidR="002B2EB5">
        <w:rPr>
          <w:bCs/>
        </w:rPr>
        <w:t xml:space="preserve">to </w:t>
      </w:r>
      <w:r w:rsidR="00DD4A61">
        <w:rPr>
          <w:bCs/>
        </w:rPr>
        <w:t>interact with TUP1 and/or SSN6, a complex responsible for repressing genes activated in response to changing growth conditions and stress (Hanlon et al., 2011).</w:t>
      </w:r>
      <w:r w:rsidR="001F6A12">
        <w:rPr>
          <w:bCs/>
        </w:rPr>
        <w:t xml:space="preserve"> GLN3 controls the activation of genes in response to the replacement of glutamine by glutamate as a source of nitrogen (</w:t>
      </w:r>
      <w:proofErr w:type="spellStart"/>
      <w:r w:rsidR="001F6A12">
        <w:rPr>
          <w:bCs/>
        </w:rPr>
        <w:t>Minehart</w:t>
      </w:r>
      <w:proofErr w:type="spellEnd"/>
      <w:r w:rsidR="001F6A12">
        <w:rPr>
          <w:bCs/>
        </w:rPr>
        <w:t xml:space="preserve"> et al., 1991). </w:t>
      </w:r>
      <w:r w:rsidR="00DD4A61">
        <w:rPr>
          <w:bCs/>
        </w:rPr>
        <w:t>HMO1 is involved in stabilizing nucleosome-free chromatin, which can aid in cell survival under stress (</w:t>
      </w:r>
      <w:proofErr w:type="spellStart"/>
      <w:r w:rsidR="00DD4A61" w:rsidRPr="003853C3">
        <w:rPr>
          <w:color w:val="000000" w:themeColor="text1"/>
          <w:shd w:val="clear" w:color="auto" w:fill="FFFFFF"/>
        </w:rPr>
        <w:t>Murugesapillai</w:t>
      </w:r>
      <w:proofErr w:type="spellEnd"/>
      <w:r w:rsidR="00DD4A61" w:rsidRPr="009B027D">
        <w:rPr>
          <w:b/>
          <w:bCs/>
        </w:rPr>
        <w:t xml:space="preserve"> </w:t>
      </w:r>
      <w:r w:rsidR="00DD4A61" w:rsidRPr="00DD4A61">
        <w:rPr>
          <w:bCs/>
        </w:rPr>
        <w:t>et al., 2014)</w:t>
      </w:r>
      <w:r w:rsidR="00DD4A61">
        <w:rPr>
          <w:bCs/>
        </w:rPr>
        <w:t xml:space="preserve">. ZAP1 aids in the response to oxidative stress as a result of zinc deficiency in </w:t>
      </w:r>
      <w:r w:rsidR="00DD4A61">
        <w:rPr>
          <w:bCs/>
          <w:i/>
        </w:rPr>
        <w:t>Saccharomyces cerevisiae</w:t>
      </w:r>
      <w:r w:rsidR="00DD4A61">
        <w:rPr>
          <w:bCs/>
        </w:rPr>
        <w:t xml:space="preserve"> (Wu et al., 2007).</w:t>
      </w:r>
      <w:r w:rsidR="00DD4A61">
        <w:rPr>
          <w:b/>
          <w:bCs/>
        </w:rPr>
        <w:t xml:space="preserve"> </w:t>
      </w:r>
      <w:r w:rsidR="00EB00F6">
        <w:rPr>
          <w:bCs/>
        </w:rPr>
        <w:t>Finally, HAP4 functions in the balance between respiration and fermentation, and is suggested to share a common ancestor with YAP1, which regulates the oxidative stress response (</w:t>
      </w:r>
      <w:proofErr w:type="spellStart"/>
      <w:r w:rsidR="00EB00F6" w:rsidRPr="00EB00F6">
        <w:rPr>
          <w:color w:val="222222"/>
          <w:shd w:val="clear" w:color="auto" w:fill="FFFFFF"/>
        </w:rPr>
        <w:t>Petryk</w:t>
      </w:r>
      <w:proofErr w:type="spellEnd"/>
      <w:r w:rsidR="00EB00F6">
        <w:rPr>
          <w:color w:val="222222"/>
          <w:shd w:val="clear" w:color="auto" w:fill="FFFFFF"/>
        </w:rPr>
        <w:t xml:space="preserve"> et al., 2014)</w:t>
      </w:r>
      <w:r w:rsidR="002B2EB5">
        <w:rPr>
          <w:bCs/>
        </w:rPr>
        <w:t>.</w:t>
      </w:r>
    </w:p>
    <w:p w14:paraId="2F72ADCD" w14:textId="46269636" w:rsidR="006306D1" w:rsidRDefault="006306D1" w:rsidP="006306D1">
      <w:pPr>
        <w:spacing w:line="480" w:lineRule="auto"/>
        <w:rPr>
          <w:b/>
        </w:rPr>
      </w:pPr>
      <w:r>
        <w:rPr>
          <w:b/>
        </w:rPr>
        <w:t>Generation of</w:t>
      </w:r>
      <w:r>
        <w:rPr>
          <w:b/>
        </w:rPr>
        <w:t xml:space="preserve"> </w:t>
      </w:r>
      <w:r w:rsidR="00782D7D">
        <w:rPr>
          <w:b/>
        </w:rPr>
        <w:t>C</w:t>
      </w:r>
      <w:r>
        <w:rPr>
          <w:b/>
        </w:rPr>
        <w:t>andidate GRNs</w:t>
      </w:r>
      <w:r>
        <w:rPr>
          <w:b/>
        </w:rPr>
        <w:t xml:space="preserve"> that </w:t>
      </w:r>
      <w:r w:rsidR="00782D7D">
        <w:rPr>
          <w:b/>
        </w:rPr>
        <w:t>C</w:t>
      </w:r>
      <w:r>
        <w:rPr>
          <w:b/>
        </w:rPr>
        <w:t xml:space="preserve">ontrol the </w:t>
      </w:r>
      <w:r w:rsidR="00782D7D">
        <w:rPr>
          <w:b/>
        </w:rPr>
        <w:t>C</w:t>
      </w:r>
      <w:r>
        <w:rPr>
          <w:b/>
        </w:rPr>
        <w:t xml:space="preserve">old </w:t>
      </w:r>
      <w:r w:rsidR="00782D7D">
        <w:rPr>
          <w:b/>
        </w:rPr>
        <w:t>S</w:t>
      </w:r>
      <w:r>
        <w:rPr>
          <w:b/>
        </w:rPr>
        <w:t xml:space="preserve">hock </w:t>
      </w:r>
      <w:r w:rsidR="00782D7D">
        <w:rPr>
          <w:b/>
        </w:rPr>
        <w:t>R</w:t>
      </w:r>
      <w:r>
        <w:rPr>
          <w:b/>
        </w:rPr>
        <w:t>esponse</w:t>
      </w:r>
    </w:p>
    <w:p w14:paraId="5D826C22" w14:textId="5F479D6D" w:rsidR="006306D1" w:rsidRPr="006306D1" w:rsidRDefault="006306D1" w:rsidP="006306D1">
      <w:pPr>
        <w:spacing w:line="480" w:lineRule="auto"/>
        <w:ind w:firstLine="720"/>
      </w:pPr>
      <w:r>
        <w:t xml:space="preserve">The microarray data from the </w:t>
      </w:r>
      <w:proofErr w:type="spellStart"/>
      <w:r>
        <w:t>Dahlquist</w:t>
      </w:r>
      <w:proofErr w:type="spellEnd"/>
      <w:r>
        <w:t xml:space="preserve"> Lab was used to derive a family of related GRNs from the YEASTRACT (Yeast Search for Transcriptional Regulators and Consensus Tracking) database (</w:t>
      </w:r>
      <w:hyperlink r:id="rId7" w:history="1">
        <w:r w:rsidRPr="00840F9E">
          <w:rPr>
            <w:rStyle w:val="Hyperlink"/>
          </w:rPr>
          <w:t>http://www.yeastract.com</w:t>
        </w:r>
      </w:hyperlink>
      <w:r>
        <w:t xml:space="preserve">). YEASTRACT allows for the identification of potential transcription factors for genes in </w:t>
      </w:r>
      <w:r>
        <w:rPr>
          <w:i/>
        </w:rPr>
        <w:t>S. cerevisiae</w:t>
      </w:r>
      <w:r>
        <w:t xml:space="preserve"> (</w:t>
      </w:r>
      <w:r w:rsidRPr="006306D1">
        <w:rPr>
          <w:color w:val="222222"/>
          <w:shd w:val="clear" w:color="auto" w:fill="FFFFFF"/>
        </w:rPr>
        <w:t>Teixeira</w:t>
      </w:r>
      <w:r>
        <w:rPr>
          <w:color w:val="222222"/>
          <w:shd w:val="clear" w:color="auto" w:fill="FFFFFF"/>
        </w:rPr>
        <w:t xml:space="preserve"> et al., 2006). DNA microarray data for each of the six strains was analyzed to show which genes exhibit significant changes in expression during cold shoc</w:t>
      </w:r>
      <w:r w:rsidR="002B2EB5">
        <w:rPr>
          <w:color w:val="222222"/>
          <w:shd w:val="clear" w:color="auto" w:fill="FFFFFF"/>
        </w:rPr>
        <w:t>k</w:t>
      </w:r>
      <w:r>
        <w:rPr>
          <w:color w:val="222222"/>
          <w:shd w:val="clear" w:color="auto" w:fill="FFFFFF"/>
        </w:rPr>
        <w:t xml:space="preserve">. The criteria for significance was a corrected </w:t>
      </w:r>
      <w:proofErr w:type="spellStart"/>
      <w:r>
        <w:rPr>
          <w:color w:val="222222"/>
          <w:shd w:val="clear" w:color="auto" w:fill="FFFFFF"/>
        </w:rPr>
        <w:t>Benjamini</w:t>
      </w:r>
      <w:proofErr w:type="spellEnd"/>
      <w:r>
        <w:rPr>
          <w:color w:val="222222"/>
          <w:shd w:val="clear" w:color="auto" w:fill="FFFFFF"/>
        </w:rPr>
        <w:t xml:space="preserve"> &amp; </w:t>
      </w:r>
      <w:r>
        <w:rPr>
          <w:color w:val="222222"/>
          <w:shd w:val="clear" w:color="auto" w:fill="FFFFFF"/>
        </w:rPr>
        <w:lastRenderedPageBreak/>
        <w:t xml:space="preserve">Hochberg ANOVA </w:t>
      </w:r>
      <w:r>
        <w:rPr>
          <w:i/>
          <w:color w:val="222222"/>
          <w:shd w:val="clear" w:color="auto" w:fill="FFFFFF"/>
        </w:rPr>
        <w:t>p</w:t>
      </w:r>
      <w:r>
        <w:rPr>
          <w:color w:val="222222"/>
          <w:shd w:val="clear" w:color="auto" w:fill="FFFFFF"/>
        </w:rPr>
        <w:t xml:space="preserve"> value &lt; 0.05. The genes with significant expression changes were submitted to the YEASTRACT database, which returned a list of transcription factors that could regulate those targets. Transcription factors for which we had deletion strain microarray data were added to the list of the most significant regulators for each strain to generate six GRNs. These GRNs are denoted as db1-6. </w:t>
      </w:r>
      <w:r>
        <w:rPr>
          <w:color w:val="222222"/>
          <w:shd w:val="clear" w:color="auto" w:fill="FFFFFF"/>
        </w:rPr>
        <w:t>Transcription factors and edges were removed from each GRN in a stepwise fashion in order of least to most significant until the network was pared down to have fewer than 15 genes.</w:t>
      </w:r>
      <w:r w:rsidR="001B7832">
        <w:rPr>
          <w:color w:val="222222"/>
          <w:shd w:val="clear" w:color="auto" w:fill="FFFFFF"/>
        </w:rPr>
        <w:t xml:space="preserve"> </w:t>
      </w:r>
      <w:r w:rsidR="002B2EB5">
        <w:rPr>
          <w:color w:val="222222"/>
          <w:shd w:val="clear" w:color="auto" w:fill="FFFFFF"/>
        </w:rPr>
        <w:t>The present study</w:t>
      </w:r>
      <w:r>
        <w:rPr>
          <w:color w:val="222222"/>
          <w:shd w:val="clear" w:color="auto" w:fill="FFFFFF"/>
        </w:rPr>
        <w:t xml:space="preserve"> focuses on one candidate network (db5) with 15 genes and 28 edges (Figure 1). This network was input into the </w:t>
      </w:r>
      <w:proofErr w:type="spellStart"/>
      <w:r>
        <w:rPr>
          <w:color w:val="222222"/>
          <w:shd w:val="clear" w:color="auto" w:fill="FFFFFF"/>
        </w:rPr>
        <w:t>Dahlquist</w:t>
      </w:r>
      <w:proofErr w:type="spellEnd"/>
      <w:r>
        <w:rPr>
          <w:color w:val="222222"/>
          <w:shd w:val="clear" w:color="auto" w:fill="FFFFFF"/>
        </w:rPr>
        <w:t xml:space="preserve"> Lab’s </w:t>
      </w:r>
      <w:proofErr w:type="spellStart"/>
      <w:r>
        <w:rPr>
          <w:color w:val="222222"/>
          <w:shd w:val="clear" w:color="auto" w:fill="FFFFFF"/>
        </w:rPr>
        <w:t>GRNmap</w:t>
      </w:r>
      <w:proofErr w:type="spellEnd"/>
      <w:r>
        <w:rPr>
          <w:color w:val="222222"/>
          <w:shd w:val="clear" w:color="auto" w:fill="FFFFFF"/>
        </w:rPr>
        <w:t xml:space="preserve"> program to model the dynamics of expression for each gene in the network. </w:t>
      </w:r>
    </w:p>
    <w:p w14:paraId="46298C8D" w14:textId="5A96FFBA" w:rsidR="006306D1" w:rsidRDefault="006306D1" w:rsidP="006306D1">
      <w:pPr>
        <w:spacing w:line="276" w:lineRule="auto"/>
        <w:rPr>
          <w:b/>
        </w:rPr>
      </w:pPr>
      <w:r w:rsidRPr="006306D1">
        <w:rPr>
          <w:b/>
        </w:rPr>
        <w:drawing>
          <wp:inline distT="0" distB="0" distL="0" distR="0" wp14:anchorId="4907FD06" wp14:editId="67F1C50F">
            <wp:extent cx="5943600" cy="3336290"/>
            <wp:effectExtent l="0" t="0" r="0" b="3810"/>
            <wp:docPr id="4" name="Picture 3">
              <a:extLst xmlns:a="http://schemas.openxmlformats.org/drawingml/2006/main">
                <a:ext uri="{FF2B5EF4-FFF2-40B4-BE49-F238E27FC236}">
                  <a16:creationId xmlns:a16="http://schemas.microsoft.com/office/drawing/2014/main" id="{3ABE3464-375F-A849-B110-2283AA27BE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ABE3464-375F-A849-B110-2283AA27BEC6}"/>
                        </a:ext>
                      </a:extLst>
                    </pic:cNvPr>
                    <pic:cNvPicPr>
                      <a:picLocks noChangeAspect="1"/>
                    </pic:cNvPicPr>
                  </pic:nvPicPr>
                  <pic:blipFill>
                    <a:blip r:embed="rId8"/>
                    <a:stretch>
                      <a:fillRect/>
                    </a:stretch>
                  </pic:blipFill>
                  <pic:spPr>
                    <a:xfrm>
                      <a:off x="0" y="0"/>
                      <a:ext cx="5943600" cy="3336290"/>
                    </a:xfrm>
                    <a:prstGeom prst="rect">
                      <a:avLst/>
                    </a:prstGeom>
                  </pic:spPr>
                </pic:pic>
              </a:graphicData>
            </a:graphic>
          </wp:inline>
        </w:drawing>
      </w:r>
    </w:p>
    <w:p w14:paraId="6DDD627A" w14:textId="7FD8294A" w:rsidR="006306D1" w:rsidRPr="006306D1" w:rsidRDefault="006306D1" w:rsidP="006306D1">
      <w:pPr>
        <w:spacing w:line="276" w:lineRule="auto"/>
        <w:rPr>
          <w:sz w:val="20"/>
          <w:szCs w:val="20"/>
        </w:rPr>
      </w:pPr>
      <w:r w:rsidRPr="006306D1">
        <w:rPr>
          <w:sz w:val="20"/>
          <w:szCs w:val="20"/>
        </w:rPr>
        <w:t>Figure 1. Candidate GRN (db5) with 15 nodes and 28 edges. The transcription factors used in this network were derived from the YEASTRACT database.</w:t>
      </w:r>
    </w:p>
    <w:p w14:paraId="22B4EE4D" w14:textId="77777777" w:rsidR="006306D1" w:rsidRPr="006306D1" w:rsidRDefault="006306D1" w:rsidP="006306D1">
      <w:pPr>
        <w:spacing w:line="276" w:lineRule="auto"/>
      </w:pPr>
    </w:p>
    <w:p w14:paraId="77C91085" w14:textId="3865AE52" w:rsidR="000F083E" w:rsidRDefault="000F083E" w:rsidP="000F083E">
      <w:pPr>
        <w:spacing w:line="480" w:lineRule="auto"/>
        <w:rPr>
          <w:b/>
        </w:rPr>
      </w:pPr>
      <w:r>
        <w:rPr>
          <w:b/>
        </w:rPr>
        <w:t xml:space="preserve">Mathematical </w:t>
      </w:r>
      <w:r w:rsidR="00782D7D">
        <w:rPr>
          <w:b/>
        </w:rPr>
        <w:t>M</w:t>
      </w:r>
      <w:r>
        <w:rPr>
          <w:b/>
        </w:rPr>
        <w:t xml:space="preserve">odeling </w:t>
      </w:r>
      <w:r w:rsidR="00782D7D">
        <w:rPr>
          <w:b/>
        </w:rPr>
        <w:t xml:space="preserve">using </w:t>
      </w:r>
      <w:proofErr w:type="spellStart"/>
      <w:r>
        <w:rPr>
          <w:b/>
        </w:rPr>
        <w:t>GRNmap</w:t>
      </w:r>
      <w:proofErr w:type="spellEnd"/>
    </w:p>
    <w:p w14:paraId="778BB97F" w14:textId="248B689F" w:rsidR="00665442" w:rsidRDefault="00665442" w:rsidP="00665442">
      <w:pPr>
        <w:spacing w:line="480" w:lineRule="auto"/>
        <w:ind w:firstLine="720"/>
        <w:rPr>
          <w:bCs/>
          <w:lang w:val="de-DE"/>
        </w:rPr>
      </w:pPr>
      <w:r>
        <w:t xml:space="preserve">The model, called </w:t>
      </w:r>
      <w:proofErr w:type="spellStart"/>
      <w:r>
        <w:t>GRNmap</w:t>
      </w:r>
      <w:proofErr w:type="spellEnd"/>
      <w:r>
        <w:t xml:space="preserve"> (Gene Regulatory Network modeling and parameter estimation) was implemented in MATLAB (</w:t>
      </w:r>
      <w:proofErr w:type="spellStart"/>
      <w:r>
        <w:t>Dahlquist</w:t>
      </w:r>
      <w:proofErr w:type="spellEnd"/>
      <w:r>
        <w:t xml:space="preserve"> et al., 2015). The MATLAB code and executable are available under an open source license </w:t>
      </w:r>
      <w:r w:rsidR="00774686">
        <w:t>(</w:t>
      </w:r>
      <w:r w:rsidRPr="00665442">
        <w:rPr>
          <w:bCs/>
          <w:lang w:val="de-DE"/>
        </w:rPr>
        <w:t>https://github.com/kdahlquist/GRNmap/</w:t>
      </w:r>
      <w:r w:rsidR="00774686">
        <w:rPr>
          <w:bCs/>
          <w:lang w:val="de-DE"/>
        </w:rPr>
        <w:t>)</w:t>
      </w:r>
      <w:r>
        <w:rPr>
          <w:bCs/>
          <w:lang w:val="de-DE"/>
        </w:rPr>
        <w:t xml:space="preserve">. </w:t>
      </w:r>
    </w:p>
    <w:p w14:paraId="77FD2152" w14:textId="77777777" w:rsidR="00774686" w:rsidRDefault="002B2EB5" w:rsidP="00665442">
      <w:pPr>
        <w:spacing w:line="480" w:lineRule="auto"/>
        <w:ind w:firstLine="720"/>
      </w:pPr>
      <w:r>
        <w:lastRenderedPageBreak/>
        <w:t>Within the model, e</w:t>
      </w:r>
      <w:r w:rsidR="00665442">
        <w:t xml:space="preserve">ach gene in the network has a differential equation that models the change in expression over time as </w:t>
      </w:r>
      <w:r w:rsidR="00665442" w:rsidRPr="00665442">
        <w:rPr>
          <w:i/>
        </w:rPr>
        <w:t>production</w:t>
      </w:r>
      <w:r w:rsidR="00665442">
        <w:t xml:space="preserve">, or the transcription of mRNA according to the central model of molecular biology, minus </w:t>
      </w:r>
      <w:r w:rsidR="00665442" w:rsidRPr="00665442">
        <w:rPr>
          <w:i/>
        </w:rPr>
        <w:t>degradation</w:t>
      </w:r>
      <w:r w:rsidR="00665442">
        <w:t xml:space="preserve">. Degradation rates for each gene were taken from mRNA half-life data from </w:t>
      </w:r>
      <w:proofErr w:type="spellStart"/>
      <w:r w:rsidR="00665442">
        <w:t>Neymotin</w:t>
      </w:r>
      <w:proofErr w:type="spellEnd"/>
      <w:r w:rsidR="00665442">
        <w:t xml:space="preserve"> et al. (2014). The model’s differential equation for each gene uses a sigmoidal production function where </w:t>
      </w:r>
      <w:r w:rsidR="00665442">
        <w:rPr>
          <w:i/>
        </w:rPr>
        <w:t>P</w:t>
      </w:r>
      <w:r w:rsidR="00665442">
        <w:rPr>
          <w:i/>
          <w:vertAlign w:val="subscript"/>
        </w:rPr>
        <w:t>i</w:t>
      </w:r>
      <w:r w:rsidR="00665442">
        <w:rPr>
          <w:i/>
        </w:rPr>
        <w:t xml:space="preserve"> </w:t>
      </w:r>
      <w:r w:rsidR="00665442">
        <w:t xml:space="preserve">is the mRNA production rate for gene </w:t>
      </w:r>
      <w:proofErr w:type="spellStart"/>
      <w:r w:rsidR="00665442">
        <w:rPr>
          <w:i/>
        </w:rPr>
        <w:t>i</w:t>
      </w:r>
      <w:proofErr w:type="spellEnd"/>
      <w:r w:rsidR="00665442">
        <w:rPr>
          <w:i/>
        </w:rPr>
        <w:t>, d</w:t>
      </w:r>
      <w:r w:rsidR="00665442">
        <w:rPr>
          <w:i/>
          <w:vertAlign w:val="subscript"/>
        </w:rPr>
        <w:t xml:space="preserve">i </w:t>
      </w:r>
      <w:r w:rsidR="00665442">
        <w:t xml:space="preserve">is the mRNA </w:t>
      </w:r>
      <w:r w:rsidR="001F6A12">
        <w:t>degradation</w:t>
      </w:r>
      <w:r w:rsidR="00665442">
        <w:t xml:space="preserve"> rate for gene </w:t>
      </w:r>
      <w:proofErr w:type="spellStart"/>
      <w:r w:rsidR="00665442">
        <w:rPr>
          <w:i/>
        </w:rPr>
        <w:t>i</w:t>
      </w:r>
      <w:proofErr w:type="spellEnd"/>
      <w:r w:rsidR="00665442">
        <w:rPr>
          <w:i/>
        </w:rPr>
        <w:t xml:space="preserve">, w </w:t>
      </w:r>
      <w:r w:rsidR="00665442">
        <w:t xml:space="preserve">is the weight term, and </w:t>
      </w:r>
      <w:r w:rsidR="00665442">
        <w:rPr>
          <w:i/>
        </w:rPr>
        <w:t>b</w:t>
      </w:r>
      <w:r w:rsidR="00665442">
        <w:t xml:space="preserve"> is a threshold expression for each gene (Figure </w:t>
      </w:r>
      <w:r>
        <w:t>2</w:t>
      </w:r>
      <w:r w:rsidR="00665442">
        <w:t>) (</w:t>
      </w:r>
      <w:proofErr w:type="spellStart"/>
      <w:r w:rsidR="00665442">
        <w:t>Dahlquist</w:t>
      </w:r>
      <w:proofErr w:type="spellEnd"/>
      <w:r w:rsidR="00665442">
        <w:t xml:space="preserve"> et al., 2015). The weight term </w:t>
      </w:r>
      <w:r w:rsidR="00774686">
        <w:t>(</w:t>
      </w:r>
      <w:r w:rsidR="00774686" w:rsidRPr="00774686">
        <w:rPr>
          <w:i/>
        </w:rPr>
        <w:t>w</w:t>
      </w:r>
      <w:r w:rsidR="00774686">
        <w:t xml:space="preserve">) </w:t>
      </w:r>
    </w:p>
    <w:p w14:paraId="46582EA7" w14:textId="430A2A14" w:rsidR="00665442" w:rsidRDefault="00665442" w:rsidP="00665442">
      <w:pPr>
        <w:spacing w:line="480" w:lineRule="auto"/>
        <w:ind w:firstLine="720"/>
      </w:pPr>
      <w:r w:rsidRPr="00774686">
        <w:t>determines</w:t>
      </w:r>
      <w:r>
        <w:t xml:space="preserve"> the level of activation or repression of one gene on another. </w:t>
      </w:r>
      <w:r w:rsidR="009B027D">
        <w:t>Positive weights to the edges represent activation, and negative weights to edges represent repression. The magnitude of the weight</w:t>
      </w:r>
    </w:p>
    <w:p w14:paraId="40029DB3" w14:textId="77777777" w:rsidR="00665442" w:rsidRDefault="00281C9D" w:rsidP="00665442">
      <w:pPr>
        <w:spacing w:line="276" w:lineRule="auto"/>
        <w:ind w:firstLine="720"/>
        <w:jc w:val="center"/>
      </w:pPr>
      <w:r>
        <w:rPr>
          <w:noProof/>
        </w:rPr>
        <w:object w:dxaOrig="7500" w:dyaOrig="1880" w14:anchorId="1BCAB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90.7pt;height:73.35pt;mso-width-percent:0;mso-height-percent:0;mso-width-percent:0;mso-height-percent:0" o:ole="">
            <v:imagedata r:id="rId9" o:title=""/>
          </v:shape>
          <o:OLEObject Type="Embed" ProgID="Unknown" ShapeID="_x0000_i1026" DrawAspect="Content" ObjectID="_1615722493" r:id="rId10"/>
        </w:object>
      </w:r>
    </w:p>
    <w:p w14:paraId="3F68BE7C" w14:textId="73DB7C22" w:rsidR="00665442" w:rsidRPr="006306D1" w:rsidRDefault="00665442" w:rsidP="00665442">
      <w:pPr>
        <w:spacing w:line="276" w:lineRule="auto"/>
        <w:rPr>
          <w:sz w:val="20"/>
          <w:szCs w:val="20"/>
        </w:rPr>
      </w:pPr>
      <w:r w:rsidRPr="006306D1">
        <w:rPr>
          <w:sz w:val="20"/>
          <w:szCs w:val="20"/>
        </w:rPr>
        <w:t xml:space="preserve">Figure </w:t>
      </w:r>
      <w:r w:rsidR="006306D1">
        <w:rPr>
          <w:sz w:val="20"/>
          <w:szCs w:val="20"/>
        </w:rPr>
        <w:t>2</w:t>
      </w:r>
      <w:r w:rsidRPr="006306D1">
        <w:rPr>
          <w:sz w:val="20"/>
          <w:szCs w:val="20"/>
        </w:rPr>
        <w:t xml:space="preserve">. </w:t>
      </w:r>
      <w:proofErr w:type="spellStart"/>
      <w:r w:rsidRPr="006306D1">
        <w:rPr>
          <w:sz w:val="20"/>
          <w:szCs w:val="20"/>
        </w:rPr>
        <w:t>GRNmap</w:t>
      </w:r>
      <w:proofErr w:type="spellEnd"/>
      <w:r w:rsidRPr="006306D1">
        <w:rPr>
          <w:sz w:val="20"/>
          <w:szCs w:val="20"/>
        </w:rPr>
        <w:t xml:space="preserve"> differential equation. This equation models the change in expression over time as </w:t>
      </w:r>
      <w:r w:rsidRPr="006306D1">
        <w:rPr>
          <w:i/>
          <w:sz w:val="20"/>
          <w:szCs w:val="20"/>
        </w:rPr>
        <w:t xml:space="preserve">production </w:t>
      </w:r>
      <w:r w:rsidRPr="006306D1">
        <w:rPr>
          <w:sz w:val="20"/>
          <w:szCs w:val="20"/>
        </w:rPr>
        <w:t xml:space="preserve">– </w:t>
      </w:r>
      <w:r w:rsidRPr="006306D1">
        <w:rPr>
          <w:i/>
          <w:sz w:val="20"/>
          <w:szCs w:val="20"/>
        </w:rPr>
        <w:t>degradation</w:t>
      </w:r>
      <w:r w:rsidRPr="006306D1">
        <w:rPr>
          <w:sz w:val="20"/>
          <w:szCs w:val="20"/>
        </w:rPr>
        <w:t>.</w:t>
      </w:r>
    </w:p>
    <w:p w14:paraId="30606873" w14:textId="77777777" w:rsidR="00665442" w:rsidRDefault="00665442" w:rsidP="00665442">
      <w:pPr>
        <w:spacing w:line="276" w:lineRule="auto"/>
      </w:pPr>
    </w:p>
    <w:p w14:paraId="7D93CF9A" w14:textId="77777777" w:rsidR="00665442" w:rsidRDefault="009B027D" w:rsidP="009B027D">
      <w:pPr>
        <w:spacing w:line="480" w:lineRule="auto"/>
      </w:pPr>
      <w:r>
        <w:t>parameter represents the strength of the regulatory relationship. The production rate (</w:t>
      </w:r>
      <w:r>
        <w:rPr>
          <w:i/>
        </w:rPr>
        <w:t>P</w:t>
      </w:r>
      <w:r>
        <w:rPr>
          <w:i/>
          <w:vertAlign w:val="subscript"/>
        </w:rPr>
        <w:t>i</w:t>
      </w:r>
      <w:r>
        <w:t>), weight (</w:t>
      </w:r>
      <w:r>
        <w:rPr>
          <w:i/>
        </w:rPr>
        <w:t>w</w:t>
      </w:r>
      <w:r>
        <w:t>), and threshold (</w:t>
      </w:r>
      <w:r>
        <w:rPr>
          <w:i/>
        </w:rPr>
        <w:t>b</w:t>
      </w:r>
      <w:r>
        <w:t xml:space="preserve">) values were estimated from DNA microarray data using a penalized least squares approach. </w:t>
      </w:r>
    </w:p>
    <w:p w14:paraId="2A904041" w14:textId="77777777" w:rsidR="009B027D" w:rsidRDefault="00281C9D" w:rsidP="009B027D">
      <w:pPr>
        <w:spacing w:line="480" w:lineRule="auto"/>
        <w:jc w:val="center"/>
      </w:pPr>
      <w:r>
        <w:rPr>
          <w:noProof/>
        </w:rPr>
        <w:object w:dxaOrig="5520" w:dyaOrig="1240" w14:anchorId="7FF77605">
          <v:shape id="_x0000_i1025" type="#_x0000_t75" alt="" style="width:275.9pt;height:61.9pt;mso-width-percent:0;mso-height-percent:0;mso-width-percent:0;mso-height-percent:0" o:ole="">
            <v:imagedata r:id="rId11" o:title=""/>
          </v:shape>
          <o:OLEObject Type="Embed" ProgID="Unknown" ShapeID="_x0000_i1025" DrawAspect="Content" ObjectID="_1615722494" r:id="rId12"/>
        </w:object>
      </w:r>
    </w:p>
    <w:p w14:paraId="7AFDDA72" w14:textId="0A65CDE5" w:rsidR="00CA21AF" w:rsidRPr="002B2EB5" w:rsidRDefault="00CA21AF" w:rsidP="00CA21AF">
      <w:pPr>
        <w:spacing w:line="276" w:lineRule="auto"/>
        <w:rPr>
          <w:sz w:val="20"/>
          <w:szCs w:val="20"/>
        </w:rPr>
      </w:pPr>
      <w:r w:rsidRPr="002B2EB5">
        <w:rPr>
          <w:sz w:val="20"/>
          <w:szCs w:val="20"/>
        </w:rPr>
        <w:t xml:space="preserve">Figure </w:t>
      </w:r>
      <w:r w:rsidR="006306D1" w:rsidRPr="002B2EB5">
        <w:rPr>
          <w:sz w:val="20"/>
          <w:szCs w:val="20"/>
        </w:rPr>
        <w:t>3</w:t>
      </w:r>
      <w:r w:rsidRPr="002B2EB5">
        <w:rPr>
          <w:sz w:val="20"/>
          <w:szCs w:val="20"/>
        </w:rPr>
        <w:t xml:space="preserve">. </w:t>
      </w:r>
      <w:r w:rsidR="002B2EB5">
        <w:rPr>
          <w:sz w:val="20"/>
          <w:szCs w:val="20"/>
        </w:rPr>
        <w:t xml:space="preserve">Least Squares Error (LSE) equation; expresses the difference between the experimental and simulated values. </w:t>
      </w:r>
    </w:p>
    <w:p w14:paraId="054DFCE6" w14:textId="77777777" w:rsidR="00DD4A61" w:rsidRPr="00CA21AF" w:rsidRDefault="00DD4A61" w:rsidP="00CA21AF">
      <w:pPr>
        <w:spacing w:line="276" w:lineRule="auto"/>
      </w:pPr>
    </w:p>
    <w:p w14:paraId="77B249A3" w14:textId="5EDFDABF" w:rsidR="009B027D" w:rsidRDefault="009B027D" w:rsidP="009B027D">
      <w:pPr>
        <w:spacing w:line="480" w:lineRule="auto"/>
      </w:pPr>
      <w:r>
        <w:tab/>
        <w:t xml:space="preserve">In the above equation (Figure </w:t>
      </w:r>
      <w:r w:rsidR="002B2EB5">
        <w:t>3</w:t>
      </w:r>
      <w:r>
        <w:t xml:space="preserve">), </w:t>
      </w:r>
      <w:r>
        <w:rPr>
          <w:i/>
        </w:rPr>
        <w:t xml:space="preserve">E </w:t>
      </w:r>
      <w:r>
        <w:t>represents the Least Squares Error (LSE) and is the difference between the microarray data (experimental) values and simulated values derived from solving the differential equation with the estimated parameters</w:t>
      </w:r>
      <w:r w:rsidR="00CC77F3">
        <w:t xml:space="preserve"> (</w:t>
      </w:r>
      <w:proofErr w:type="spellStart"/>
      <w:r w:rsidR="00CC77F3">
        <w:t>Dahlquist</w:t>
      </w:r>
      <w:proofErr w:type="spellEnd"/>
      <w:r w:rsidR="00CC77F3">
        <w:t xml:space="preserve"> et al., 2015)</w:t>
      </w:r>
      <w:r>
        <w:t>.</w:t>
      </w:r>
      <w:r w:rsidR="00CC77F3">
        <w:t xml:space="preserve"> The LSE </w:t>
      </w:r>
      <w:r w:rsidR="00CC77F3">
        <w:lastRenderedPageBreak/>
        <w:t>can be compared to the minimum theoretical LSE (</w:t>
      </w:r>
      <w:proofErr w:type="spellStart"/>
      <w:r w:rsidR="00CC77F3">
        <w:t>minLSE</w:t>
      </w:r>
      <w:proofErr w:type="spellEnd"/>
      <w:r w:rsidR="00CC77F3">
        <w:t xml:space="preserve">) achievable given the noise in the experimental data. The </w:t>
      </w:r>
      <w:proofErr w:type="spellStart"/>
      <w:r w:rsidR="00CC77F3">
        <w:t>LSE:minLSE</w:t>
      </w:r>
      <w:proofErr w:type="spellEnd"/>
      <w:r w:rsidR="00CC77F3">
        <w:t xml:space="preserve"> ratio, </w:t>
      </w:r>
      <w:r w:rsidR="002B2EB5">
        <w:t xml:space="preserve">therefore, </w:t>
      </w:r>
      <w:r w:rsidR="00CC77F3">
        <w:t xml:space="preserve">is used to compare the goodness of fit of different network models. </w:t>
      </w:r>
    </w:p>
    <w:p w14:paraId="144B399C" w14:textId="76AB3C65" w:rsidR="006306D1" w:rsidRPr="002B2EB5" w:rsidRDefault="00CC77F3" w:rsidP="002B2EB5">
      <w:pPr>
        <w:autoSpaceDE w:val="0"/>
        <w:autoSpaceDN w:val="0"/>
        <w:adjustRightInd w:val="0"/>
        <w:spacing w:line="480" w:lineRule="auto"/>
        <w:rPr>
          <w:color w:val="008AC0"/>
        </w:rPr>
      </w:pPr>
      <w:r>
        <w:tab/>
      </w:r>
      <w:r w:rsidRPr="00CC77F3">
        <w:t xml:space="preserve">The gene regulatory networks (GRNs) generated by </w:t>
      </w:r>
      <w:proofErr w:type="spellStart"/>
      <w:r w:rsidRPr="00CC77F3">
        <w:t>GRNmap</w:t>
      </w:r>
      <w:proofErr w:type="spellEnd"/>
      <w:r w:rsidRPr="00CC77F3">
        <w:t xml:space="preserve"> were visualized using </w:t>
      </w:r>
      <w:proofErr w:type="spellStart"/>
      <w:r w:rsidRPr="00CC77F3">
        <w:t>GRNsight</w:t>
      </w:r>
      <w:proofErr w:type="spellEnd"/>
      <w:r w:rsidRPr="00CC77F3">
        <w:t xml:space="preserve">. </w:t>
      </w:r>
      <w:proofErr w:type="spellStart"/>
      <w:r w:rsidRPr="00CC77F3">
        <w:t>GRNsight</w:t>
      </w:r>
      <w:proofErr w:type="spellEnd"/>
      <w:r w:rsidRPr="00CC77F3">
        <w:t xml:space="preserve">, a web application created by the </w:t>
      </w:r>
      <w:proofErr w:type="spellStart"/>
      <w:r w:rsidRPr="00CC77F3">
        <w:t>Dahlquist</w:t>
      </w:r>
      <w:proofErr w:type="spellEnd"/>
      <w:r w:rsidRPr="00CC77F3">
        <w:t xml:space="preserve"> Lab, allows researchers to visualize smaller GRNs that </w:t>
      </w:r>
      <w:r w:rsidRPr="00CC77F3">
        <w:rPr>
          <w:color w:val="000000" w:themeColor="text1"/>
        </w:rPr>
        <w:t>contain 35 nodes or less (</w:t>
      </w:r>
      <w:proofErr w:type="spellStart"/>
      <w:r w:rsidRPr="00CC77F3">
        <w:rPr>
          <w:color w:val="000000" w:themeColor="text1"/>
        </w:rPr>
        <w:t>Dahlquist</w:t>
      </w:r>
      <w:proofErr w:type="spellEnd"/>
      <w:r w:rsidRPr="00CC77F3">
        <w:rPr>
          <w:color w:val="000000" w:themeColor="text1"/>
        </w:rPr>
        <w:t xml:space="preserve"> et al., 2016). The </w:t>
      </w:r>
      <w:proofErr w:type="spellStart"/>
      <w:r w:rsidRPr="00CC77F3">
        <w:rPr>
          <w:color w:val="000000" w:themeColor="text1"/>
        </w:rPr>
        <w:t>GRNsight</w:t>
      </w:r>
      <w:proofErr w:type="spellEnd"/>
      <w:r w:rsidRPr="00CC77F3">
        <w:rPr>
          <w:color w:val="000000" w:themeColor="text1"/>
        </w:rPr>
        <w:t xml:space="preserve"> application can be accessed at http://dondi.github.io/GRNsight/, and the code can be accessed at</w:t>
      </w:r>
      <w:r>
        <w:rPr>
          <w:color w:val="000000" w:themeColor="text1"/>
        </w:rPr>
        <w:t xml:space="preserve"> </w:t>
      </w:r>
      <w:r w:rsidRPr="00CC77F3">
        <w:rPr>
          <w:color w:val="000000" w:themeColor="text1"/>
        </w:rPr>
        <w:t>https://github.com/dondi/GRNsight</w:t>
      </w:r>
      <w:r>
        <w:rPr>
          <w:color w:val="000000" w:themeColor="text1"/>
        </w:rPr>
        <w:t xml:space="preserve"> (</w:t>
      </w:r>
      <w:proofErr w:type="spellStart"/>
      <w:r>
        <w:rPr>
          <w:color w:val="000000" w:themeColor="text1"/>
        </w:rPr>
        <w:t>Dahlquist</w:t>
      </w:r>
      <w:proofErr w:type="spellEnd"/>
      <w:r>
        <w:rPr>
          <w:color w:val="000000" w:themeColor="text1"/>
        </w:rPr>
        <w:t xml:space="preserve"> et al., 2016). Both the application and the code are free and open to the public. </w:t>
      </w:r>
    </w:p>
    <w:p w14:paraId="75E0CF81" w14:textId="21F6985B" w:rsidR="000F083E" w:rsidRDefault="000F083E" w:rsidP="006306D1">
      <w:pPr>
        <w:spacing w:line="480" w:lineRule="auto"/>
        <w:rPr>
          <w:b/>
        </w:rPr>
      </w:pPr>
      <w:r>
        <w:rPr>
          <w:b/>
        </w:rPr>
        <w:t xml:space="preserve">Systematic </w:t>
      </w:r>
      <w:r w:rsidR="00782D7D">
        <w:rPr>
          <w:b/>
        </w:rPr>
        <w:t>E</w:t>
      </w:r>
      <w:r>
        <w:rPr>
          <w:b/>
        </w:rPr>
        <w:t xml:space="preserve">dge </w:t>
      </w:r>
      <w:r w:rsidR="00782D7D">
        <w:rPr>
          <w:b/>
        </w:rPr>
        <w:t>D</w:t>
      </w:r>
      <w:r>
        <w:rPr>
          <w:b/>
        </w:rPr>
        <w:t xml:space="preserve">eletions and </w:t>
      </w:r>
      <w:r w:rsidR="00782D7D">
        <w:rPr>
          <w:b/>
        </w:rPr>
        <w:t>R</w:t>
      </w:r>
      <w:r>
        <w:rPr>
          <w:b/>
        </w:rPr>
        <w:t>e-</w:t>
      </w:r>
      <w:r w:rsidR="00782D7D">
        <w:rPr>
          <w:b/>
        </w:rPr>
        <w:t>E</w:t>
      </w:r>
      <w:r>
        <w:rPr>
          <w:b/>
        </w:rPr>
        <w:t>stimation</w:t>
      </w:r>
      <w:r w:rsidR="001F6A12">
        <w:rPr>
          <w:b/>
        </w:rPr>
        <w:t xml:space="preserve"> of </w:t>
      </w:r>
      <w:r w:rsidR="00782D7D">
        <w:rPr>
          <w:b/>
        </w:rPr>
        <w:t>P</w:t>
      </w:r>
      <w:r w:rsidR="001F6A12">
        <w:rPr>
          <w:b/>
        </w:rPr>
        <w:t>arameters</w:t>
      </w:r>
    </w:p>
    <w:p w14:paraId="3CE435E2" w14:textId="433DB827" w:rsidR="001B7832" w:rsidRPr="001B7832" w:rsidRDefault="001B7832" w:rsidP="006306D1">
      <w:pPr>
        <w:spacing w:line="480" w:lineRule="auto"/>
      </w:pPr>
      <w:r>
        <w:rPr>
          <w:b/>
        </w:rPr>
        <w:tab/>
      </w:r>
      <w:r>
        <w:t xml:space="preserve">In order to evaluate the importance of each edge within the intact, candidate network (Figure 1), edges were systematically deleted, and the parameters of the resulting edge-deletion networks were re-estimated using the </w:t>
      </w:r>
      <w:proofErr w:type="spellStart"/>
      <w:r>
        <w:t>GRNmap</w:t>
      </w:r>
      <w:proofErr w:type="spellEnd"/>
      <w:r>
        <w:t xml:space="preserve"> model. In total, 28 edge-deletion networks were generated, representing each of the 28 edges within the intact network. The complete set of networks (intact and 28 edge-deletion) that are the focus of this study can be found in the Appendix. In the networks where edges GCR2</w:t>
      </w:r>
      <w:r>
        <w:sym w:font="Wingdings" w:char="F0E0"/>
      </w:r>
      <w:r>
        <w:t>MSN2, ZAP1</w:t>
      </w:r>
      <w:r>
        <w:sym w:font="Wingdings" w:char="F0E0"/>
      </w:r>
      <w:r>
        <w:t>ACE2, and YHP1</w:t>
      </w:r>
      <w:r>
        <w:sym w:font="Wingdings" w:char="F0E0"/>
      </w:r>
      <w:r>
        <w:t xml:space="preserve">GLN3 were deleted, GCR2, ZAP1, and GLN3, respectively, lost their connections to the overall network. These transcription factors were deleted as well, as there were no longer edges connecting them to the network. </w:t>
      </w:r>
    </w:p>
    <w:p w14:paraId="4C857555" w14:textId="48EE5D62" w:rsidR="000F083E" w:rsidRDefault="000F083E" w:rsidP="000F083E">
      <w:pPr>
        <w:spacing w:line="480" w:lineRule="auto"/>
        <w:rPr>
          <w:b/>
        </w:rPr>
      </w:pPr>
      <w:r>
        <w:rPr>
          <w:b/>
        </w:rPr>
        <w:t xml:space="preserve">Analysis of </w:t>
      </w:r>
      <w:r w:rsidR="00782D7D">
        <w:rPr>
          <w:b/>
        </w:rPr>
        <w:t>E</w:t>
      </w:r>
      <w:r>
        <w:rPr>
          <w:b/>
        </w:rPr>
        <w:t xml:space="preserve">dge </w:t>
      </w:r>
      <w:r w:rsidR="00782D7D">
        <w:rPr>
          <w:b/>
        </w:rPr>
        <w:t>I</w:t>
      </w:r>
      <w:r>
        <w:rPr>
          <w:b/>
        </w:rPr>
        <w:t xml:space="preserve">mportance </w:t>
      </w:r>
    </w:p>
    <w:p w14:paraId="43EDF16E" w14:textId="30674B03" w:rsidR="002B2EB5" w:rsidRPr="002B2EB5" w:rsidRDefault="002B2EB5" w:rsidP="000F083E">
      <w:pPr>
        <w:spacing w:line="480" w:lineRule="auto"/>
      </w:pPr>
      <w:r>
        <w:rPr>
          <w:b/>
        </w:rPr>
        <w:tab/>
      </w:r>
      <w:r>
        <w:t xml:space="preserve">A host of measures were utilized in order to determine the importance of each edge in the network. The </w:t>
      </w:r>
      <w:proofErr w:type="spellStart"/>
      <w:r>
        <w:t>LSE:minLSE</w:t>
      </w:r>
      <w:proofErr w:type="spellEnd"/>
      <w:r>
        <w:t xml:space="preserve"> ratio was used to assess the goodness of fit of the overall network for each deletion, and thus determine if the edge that was deleted caused the network to improve or worsen when compared to the intact network. Similarly, the </w:t>
      </w:r>
      <w:proofErr w:type="spellStart"/>
      <w:r>
        <w:t>MSE:minMSE</w:t>
      </w:r>
      <w:proofErr w:type="spellEnd"/>
      <w:r>
        <w:t xml:space="preserve"> ratio was used to </w:t>
      </w:r>
      <w:r>
        <w:lastRenderedPageBreak/>
        <w:t xml:space="preserve">assess how well each individual gene was modeled in the networks. </w:t>
      </w:r>
      <w:proofErr w:type="spellStart"/>
      <w:proofErr w:type="gramStart"/>
      <w:r>
        <w:t>MSE:minMSE</w:t>
      </w:r>
      <w:proofErr w:type="spellEnd"/>
      <w:proofErr w:type="gramEnd"/>
      <w:r>
        <w:t xml:space="preserve"> data was compared for the wild type strain and the </w:t>
      </w:r>
      <w:r>
        <w:t xml:space="preserve">five transcription factor deletion </w:t>
      </w:r>
      <w:r w:rsidRPr="00E90B23">
        <w:t>strains (</w:t>
      </w:r>
      <w:r w:rsidRPr="00E90B23">
        <w:rPr>
          <w:bCs/>
          <w:i/>
          <w:iCs/>
        </w:rPr>
        <w:t>Δcin5, Δgln3, Δhmo1, Δzap1, Δhap4</w:t>
      </w:r>
      <w:r w:rsidRPr="00E90B23">
        <w:rPr>
          <w:bCs/>
        </w:rPr>
        <w:t>)</w:t>
      </w:r>
      <w:r>
        <w:rPr>
          <w:bCs/>
        </w:rPr>
        <w:t xml:space="preserve">. A representative sample of five edge deletion networks was chosen for further analysis. The </w:t>
      </w:r>
      <w:r>
        <w:rPr>
          <w:bCs/>
          <w:i/>
        </w:rPr>
        <w:t xml:space="preserve">P, b, </w:t>
      </w:r>
      <w:r>
        <w:rPr>
          <w:bCs/>
        </w:rPr>
        <w:t xml:space="preserve">and </w:t>
      </w:r>
      <w:r>
        <w:rPr>
          <w:bCs/>
          <w:i/>
        </w:rPr>
        <w:t>w</w:t>
      </w:r>
      <w:r>
        <w:rPr>
          <w:bCs/>
        </w:rPr>
        <w:t xml:space="preserve"> parameters and the optimized expression for each gene in the network were compared for this group of networks.</w:t>
      </w:r>
    </w:p>
    <w:p w14:paraId="36F32641" w14:textId="77777777" w:rsidR="000F083E" w:rsidRDefault="000F083E" w:rsidP="000F083E">
      <w:pPr>
        <w:rPr>
          <w:b/>
        </w:rPr>
      </w:pPr>
    </w:p>
    <w:p w14:paraId="290F666E" w14:textId="77777777" w:rsidR="00D24F57" w:rsidRDefault="00D24F57" w:rsidP="000F083E">
      <w:pPr>
        <w:rPr>
          <w:b/>
        </w:rPr>
      </w:pPr>
    </w:p>
    <w:p w14:paraId="4ED94321" w14:textId="77777777" w:rsidR="00D24F57" w:rsidRDefault="00D24F57" w:rsidP="000F083E">
      <w:pPr>
        <w:rPr>
          <w:b/>
        </w:rPr>
      </w:pPr>
    </w:p>
    <w:p w14:paraId="7FF13987" w14:textId="77777777" w:rsidR="00D24F57" w:rsidRDefault="00D24F57" w:rsidP="000F083E">
      <w:pPr>
        <w:rPr>
          <w:b/>
        </w:rPr>
      </w:pPr>
    </w:p>
    <w:p w14:paraId="6438E980" w14:textId="77777777" w:rsidR="00D24F57" w:rsidRDefault="00D24F57" w:rsidP="000F083E">
      <w:pPr>
        <w:rPr>
          <w:b/>
        </w:rPr>
      </w:pPr>
    </w:p>
    <w:p w14:paraId="7662BE45" w14:textId="77777777" w:rsidR="00D24F57" w:rsidRDefault="00D24F57" w:rsidP="000F083E">
      <w:pPr>
        <w:rPr>
          <w:b/>
        </w:rPr>
      </w:pPr>
    </w:p>
    <w:p w14:paraId="452A570D" w14:textId="77777777" w:rsidR="00D24F57" w:rsidRDefault="00D24F57" w:rsidP="000F083E">
      <w:pPr>
        <w:rPr>
          <w:b/>
        </w:rPr>
      </w:pPr>
    </w:p>
    <w:p w14:paraId="045A5C7A" w14:textId="77777777" w:rsidR="00D24F57" w:rsidRDefault="00D24F57" w:rsidP="000F083E">
      <w:pPr>
        <w:rPr>
          <w:b/>
        </w:rPr>
      </w:pPr>
    </w:p>
    <w:p w14:paraId="199A6421" w14:textId="77777777" w:rsidR="00D24F57" w:rsidRDefault="00D24F57" w:rsidP="000F083E">
      <w:pPr>
        <w:rPr>
          <w:b/>
        </w:rPr>
      </w:pPr>
    </w:p>
    <w:p w14:paraId="52FFF51E" w14:textId="77777777" w:rsidR="00D24F57" w:rsidRDefault="00D24F57" w:rsidP="000F083E">
      <w:pPr>
        <w:rPr>
          <w:b/>
        </w:rPr>
      </w:pPr>
    </w:p>
    <w:p w14:paraId="406B6367" w14:textId="77777777" w:rsidR="00D24F57" w:rsidRDefault="00D24F57" w:rsidP="000F083E">
      <w:pPr>
        <w:rPr>
          <w:b/>
        </w:rPr>
      </w:pPr>
    </w:p>
    <w:p w14:paraId="72D148A5" w14:textId="77777777" w:rsidR="00D24F57" w:rsidRDefault="00D24F57" w:rsidP="000F083E">
      <w:pPr>
        <w:rPr>
          <w:b/>
        </w:rPr>
      </w:pPr>
    </w:p>
    <w:p w14:paraId="61DCE72A" w14:textId="77777777" w:rsidR="00D24F57" w:rsidRDefault="00D24F57" w:rsidP="000F083E">
      <w:pPr>
        <w:rPr>
          <w:b/>
        </w:rPr>
      </w:pPr>
    </w:p>
    <w:p w14:paraId="729D0E98" w14:textId="77777777" w:rsidR="00D24F57" w:rsidRDefault="00D24F57" w:rsidP="000F083E">
      <w:pPr>
        <w:rPr>
          <w:b/>
        </w:rPr>
      </w:pPr>
    </w:p>
    <w:p w14:paraId="0E45E358" w14:textId="77777777" w:rsidR="00D24F57" w:rsidRDefault="00D24F57" w:rsidP="000F083E">
      <w:pPr>
        <w:rPr>
          <w:b/>
        </w:rPr>
      </w:pPr>
    </w:p>
    <w:p w14:paraId="2A2F5FD7" w14:textId="77777777" w:rsidR="00D24F57" w:rsidRDefault="00D24F57" w:rsidP="000F083E">
      <w:pPr>
        <w:rPr>
          <w:b/>
        </w:rPr>
      </w:pPr>
    </w:p>
    <w:p w14:paraId="767C8FC5" w14:textId="77777777" w:rsidR="00D24F57" w:rsidRDefault="00D24F57" w:rsidP="000F083E">
      <w:pPr>
        <w:rPr>
          <w:b/>
        </w:rPr>
      </w:pPr>
    </w:p>
    <w:p w14:paraId="23A48283" w14:textId="77777777" w:rsidR="00D24F57" w:rsidRDefault="00D24F57" w:rsidP="000F083E">
      <w:pPr>
        <w:rPr>
          <w:b/>
        </w:rPr>
      </w:pPr>
    </w:p>
    <w:p w14:paraId="792F9E7F" w14:textId="77777777" w:rsidR="00D24F57" w:rsidRDefault="00D24F57" w:rsidP="000F083E">
      <w:pPr>
        <w:rPr>
          <w:b/>
        </w:rPr>
      </w:pPr>
    </w:p>
    <w:p w14:paraId="32E07635" w14:textId="77777777" w:rsidR="00D24F57" w:rsidRDefault="00D24F57" w:rsidP="000F083E">
      <w:pPr>
        <w:rPr>
          <w:b/>
        </w:rPr>
      </w:pPr>
    </w:p>
    <w:p w14:paraId="6823A3B2" w14:textId="77777777" w:rsidR="00D24F57" w:rsidRDefault="00D24F57" w:rsidP="000F083E">
      <w:pPr>
        <w:rPr>
          <w:b/>
        </w:rPr>
      </w:pPr>
    </w:p>
    <w:p w14:paraId="3A4BD8B4" w14:textId="77777777" w:rsidR="00D24F57" w:rsidRDefault="00D24F57" w:rsidP="000F083E">
      <w:pPr>
        <w:rPr>
          <w:b/>
        </w:rPr>
      </w:pPr>
    </w:p>
    <w:p w14:paraId="0AC54098" w14:textId="77777777" w:rsidR="00D24F57" w:rsidRDefault="00D24F57" w:rsidP="000F083E">
      <w:pPr>
        <w:rPr>
          <w:b/>
        </w:rPr>
      </w:pPr>
    </w:p>
    <w:p w14:paraId="4C4BBA78" w14:textId="77777777" w:rsidR="00D24F57" w:rsidRDefault="00D24F57" w:rsidP="000F083E">
      <w:pPr>
        <w:rPr>
          <w:b/>
        </w:rPr>
      </w:pPr>
    </w:p>
    <w:p w14:paraId="103D70BA" w14:textId="44F441BF" w:rsidR="00D24F57" w:rsidRDefault="00D24F57" w:rsidP="000F083E">
      <w:pPr>
        <w:rPr>
          <w:b/>
        </w:rPr>
      </w:pPr>
    </w:p>
    <w:p w14:paraId="698B1912" w14:textId="184DBBD5" w:rsidR="00774686" w:rsidRDefault="00774686" w:rsidP="000F083E">
      <w:pPr>
        <w:rPr>
          <w:b/>
        </w:rPr>
      </w:pPr>
    </w:p>
    <w:p w14:paraId="792B8A41" w14:textId="1663E271" w:rsidR="00774686" w:rsidRDefault="00774686" w:rsidP="000F083E">
      <w:pPr>
        <w:rPr>
          <w:b/>
        </w:rPr>
      </w:pPr>
    </w:p>
    <w:p w14:paraId="10F2C239" w14:textId="4C11CEE3" w:rsidR="00774686" w:rsidRDefault="00774686" w:rsidP="000F083E">
      <w:pPr>
        <w:rPr>
          <w:b/>
        </w:rPr>
      </w:pPr>
    </w:p>
    <w:p w14:paraId="623AAD8F" w14:textId="002131A7" w:rsidR="00774686" w:rsidRDefault="00774686" w:rsidP="000F083E">
      <w:pPr>
        <w:rPr>
          <w:b/>
        </w:rPr>
      </w:pPr>
    </w:p>
    <w:p w14:paraId="147A79F6" w14:textId="39A57EE0" w:rsidR="00774686" w:rsidRDefault="00774686" w:rsidP="000F083E">
      <w:pPr>
        <w:rPr>
          <w:b/>
        </w:rPr>
      </w:pPr>
    </w:p>
    <w:p w14:paraId="1D013B8A" w14:textId="5355D2DB" w:rsidR="00774686" w:rsidRDefault="00774686" w:rsidP="000F083E">
      <w:pPr>
        <w:rPr>
          <w:b/>
        </w:rPr>
      </w:pPr>
    </w:p>
    <w:p w14:paraId="1E86FE77" w14:textId="3BDCEC14" w:rsidR="00774686" w:rsidRDefault="00774686" w:rsidP="000F083E">
      <w:pPr>
        <w:rPr>
          <w:b/>
        </w:rPr>
      </w:pPr>
    </w:p>
    <w:p w14:paraId="255994BB" w14:textId="77777777" w:rsidR="00774686" w:rsidRDefault="00774686" w:rsidP="000F083E">
      <w:pPr>
        <w:rPr>
          <w:b/>
        </w:rPr>
      </w:pPr>
      <w:bookmarkStart w:id="0" w:name="_GoBack"/>
      <w:bookmarkEnd w:id="0"/>
    </w:p>
    <w:p w14:paraId="201A4EF6" w14:textId="2238F035" w:rsidR="00D24F57" w:rsidRDefault="00D24F57" w:rsidP="000F083E">
      <w:pPr>
        <w:rPr>
          <w:b/>
        </w:rPr>
      </w:pPr>
    </w:p>
    <w:p w14:paraId="095139BD" w14:textId="28777E6A" w:rsidR="00D24F57" w:rsidRDefault="00D24F57" w:rsidP="000F083E">
      <w:pPr>
        <w:rPr>
          <w:b/>
        </w:rPr>
      </w:pPr>
    </w:p>
    <w:p w14:paraId="0B39752A" w14:textId="77777777" w:rsidR="001F6A12" w:rsidRDefault="001F6A12" w:rsidP="000F083E">
      <w:pPr>
        <w:rPr>
          <w:b/>
        </w:rPr>
      </w:pPr>
    </w:p>
    <w:p w14:paraId="74D8E886" w14:textId="77777777" w:rsidR="0084459F" w:rsidRDefault="0084459F" w:rsidP="000F083E">
      <w:pPr>
        <w:rPr>
          <w:b/>
        </w:rPr>
      </w:pPr>
    </w:p>
    <w:p w14:paraId="0C20B273" w14:textId="77777777" w:rsidR="00D24F57" w:rsidRDefault="00D24F57" w:rsidP="000F083E">
      <w:pPr>
        <w:rPr>
          <w:b/>
        </w:rPr>
      </w:pPr>
    </w:p>
    <w:p w14:paraId="5D6A8E63" w14:textId="77777777" w:rsidR="00D24F57" w:rsidRDefault="00D24F57" w:rsidP="00D24F57">
      <w:pPr>
        <w:spacing w:line="480" w:lineRule="auto"/>
        <w:jc w:val="center"/>
        <w:rPr>
          <w:b/>
        </w:rPr>
      </w:pPr>
      <w:r>
        <w:rPr>
          <w:b/>
        </w:rPr>
        <w:lastRenderedPageBreak/>
        <w:t>References</w:t>
      </w:r>
    </w:p>
    <w:p w14:paraId="5BE55709" w14:textId="77777777" w:rsidR="00D24F57" w:rsidRDefault="00D24F57" w:rsidP="00D24F57">
      <w:pPr>
        <w:spacing w:line="480" w:lineRule="auto"/>
        <w:rPr>
          <w:bCs/>
        </w:rPr>
      </w:pPr>
      <w:proofErr w:type="spellStart"/>
      <w:r w:rsidRPr="00D24F57">
        <w:rPr>
          <w:bCs/>
        </w:rPr>
        <w:t>Dahlquist</w:t>
      </w:r>
      <w:proofErr w:type="spellEnd"/>
      <w:r w:rsidRPr="00D24F57">
        <w:rPr>
          <w:bCs/>
        </w:rPr>
        <w:t xml:space="preserve">, K. D., Dionisio, J. D. N., Fitzpatrick, B. G., Anguiano, N. A., </w:t>
      </w:r>
      <w:proofErr w:type="spellStart"/>
      <w:r w:rsidRPr="00D24F57">
        <w:rPr>
          <w:bCs/>
        </w:rPr>
        <w:t>Varshneya</w:t>
      </w:r>
      <w:proofErr w:type="spellEnd"/>
      <w:r w:rsidRPr="00D24F57">
        <w:rPr>
          <w:bCs/>
        </w:rPr>
        <w:t xml:space="preserve">, A., </w:t>
      </w:r>
    </w:p>
    <w:p w14:paraId="0848E3C4" w14:textId="77777777" w:rsidR="00D24F57" w:rsidRPr="00D24F57" w:rsidRDefault="00D24F57" w:rsidP="00D24F57">
      <w:pPr>
        <w:spacing w:line="480" w:lineRule="auto"/>
        <w:ind w:left="720"/>
      </w:pPr>
      <w:r w:rsidRPr="00D24F57">
        <w:rPr>
          <w:bCs/>
        </w:rPr>
        <w:t xml:space="preserve">Southwick, B. J., &amp; </w:t>
      </w:r>
      <w:proofErr w:type="spellStart"/>
      <w:r w:rsidRPr="00D24F57">
        <w:rPr>
          <w:bCs/>
        </w:rPr>
        <w:t>Samdarshi</w:t>
      </w:r>
      <w:proofErr w:type="spellEnd"/>
      <w:r w:rsidRPr="00D24F57">
        <w:rPr>
          <w:bCs/>
        </w:rPr>
        <w:t xml:space="preserve">, M. (2016). </w:t>
      </w:r>
      <w:proofErr w:type="spellStart"/>
      <w:r w:rsidRPr="00D24F57">
        <w:rPr>
          <w:bCs/>
        </w:rPr>
        <w:t>GRNsight</w:t>
      </w:r>
      <w:proofErr w:type="spellEnd"/>
      <w:r w:rsidRPr="00D24F57">
        <w:rPr>
          <w:bCs/>
        </w:rPr>
        <w:t xml:space="preserve">: a web application and service for visualizing models of small-to medium-scale gene regulatory networks. </w:t>
      </w:r>
      <w:proofErr w:type="spellStart"/>
      <w:r w:rsidRPr="00D24F57">
        <w:rPr>
          <w:bCs/>
        </w:rPr>
        <w:t>PeerJ</w:t>
      </w:r>
      <w:proofErr w:type="spellEnd"/>
      <w:r w:rsidRPr="00D24F57">
        <w:rPr>
          <w:bCs/>
        </w:rPr>
        <w:t xml:space="preserve"> Computer Science, 2, e85. </w:t>
      </w:r>
      <w:proofErr w:type="spellStart"/>
      <w:r w:rsidRPr="00D24F57">
        <w:rPr>
          <w:bCs/>
        </w:rPr>
        <w:t>doi</w:t>
      </w:r>
      <w:proofErr w:type="spellEnd"/>
      <w:r w:rsidRPr="00D24F57">
        <w:rPr>
          <w:bCs/>
        </w:rPr>
        <w:t>: 10.7717/peerj-cs.85</w:t>
      </w:r>
    </w:p>
    <w:p w14:paraId="6F569477" w14:textId="77777777" w:rsidR="00D24F57" w:rsidRPr="003853C3" w:rsidRDefault="00D24F57" w:rsidP="00D24F57">
      <w:pPr>
        <w:spacing w:line="480" w:lineRule="auto"/>
        <w:rPr>
          <w:color w:val="000000" w:themeColor="text1"/>
          <w:shd w:val="clear" w:color="auto" w:fill="FFFFFF"/>
        </w:rPr>
      </w:pPr>
      <w:proofErr w:type="spellStart"/>
      <w:r w:rsidRPr="003853C3">
        <w:rPr>
          <w:color w:val="000000" w:themeColor="text1"/>
          <w:shd w:val="clear" w:color="auto" w:fill="FFFFFF"/>
        </w:rPr>
        <w:t>Dahlquist</w:t>
      </w:r>
      <w:proofErr w:type="spellEnd"/>
      <w:r w:rsidRPr="003853C3">
        <w:rPr>
          <w:color w:val="000000" w:themeColor="text1"/>
          <w:shd w:val="clear" w:color="auto" w:fill="FFFFFF"/>
        </w:rPr>
        <w:t xml:space="preserve">, K. D., Fitzpatrick, B. G., Camacho, E. T., </w:t>
      </w:r>
      <w:proofErr w:type="spellStart"/>
      <w:r w:rsidRPr="003853C3">
        <w:rPr>
          <w:color w:val="000000" w:themeColor="text1"/>
          <w:shd w:val="clear" w:color="auto" w:fill="FFFFFF"/>
        </w:rPr>
        <w:t>Entzminger</w:t>
      </w:r>
      <w:proofErr w:type="spellEnd"/>
      <w:r w:rsidRPr="003853C3">
        <w:rPr>
          <w:color w:val="000000" w:themeColor="text1"/>
          <w:shd w:val="clear" w:color="auto" w:fill="FFFFFF"/>
        </w:rPr>
        <w:t xml:space="preserve">, S. D., &amp; </w:t>
      </w:r>
      <w:proofErr w:type="spellStart"/>
      <w:r w:rsidRPr="003853C3">
        <w:rPr>
          <w:color w:val="000000" w:themeColor="text1"/>
          <w:shd w:val="clear" w:color="auto" w:fill="FFFFFF"/>
        </w:rPr>
        <w:t>Wanner</w:t>
      </w:r>
      <w:proofErr w:type="spellEnd"/>
      <w:r w:rsidRPr="003853C3">
        <w:rPr>
          <w:color w:val="000000" w:themeColor="text1"/>
          <w:shd w:val="clear" w:color="auto" w:fill="FFFFFF"/>
        </w:rPr>
        <w:t xml:space="preserve">, N. C. (2015). </w:t>
      </w:r>
    </w:p>
    <w:p w14:paraId="678A9742" w14:textId="77777777" w:rsidR="00D24F57" w:rsidRPr="003853C3" w:rsidRDefault="00D24F57" w:rsidP="00D24F57">
      <w:pPr>
        <w:spacing w:line="480" w:lineRule="auto"/>
        <w:ind w:left="720"/>
        <w:rPr>
          <w:color w:val="000000" w:themeColor="text1"/>
          <w:shd w:val="clear" w:color="auto" w:fill="FFFFFF"/>
        </w:rPr>
      </w:pPr>
      <w:r w:rsidRPr="003853C3">
        <w:rPr>
          <w:color w:val="000000" w:themeColor="text1"/>
          <w:shd w:val="clear" w:color="auto" w:fill="FFFFFF"/>
        </w:rPr>
        <w:t>Parameter Estimation for Gene Regulatory Networks from Microarray Data: Cold Shock Response in Saccharomyces cerevisiae. </w:t>
      </w:r>
      <w:r w:rsidRPr="003853C3">
        <w:rPr>
          <w:i/>
          <w:iCs/>
          <w:color w:val="000000" w:themeColor="text1"/>
          <w:shd w:val="clear" w:color="auto" w:fill="FFFFFF"/>
        </w:rPr>
        <w:t>Bulletin of Mathematical Biology,77</w:t>
      </w:r>
      <w:r w:rsidRPr="003853C3">
        <w:rPr>
          <w:color w:val="000000" w:themeColor="text1"/>
          <w:shd w:val="clear" w:color="auto" w:fill="FFFFFF"/>
        </w:rPr>
        <w:t>(8), 1457-1492. doi:10.1007/s11538-015-0092-6</w:t>
      </w:r>
    </w:p>
    <w:p w14:paraId="64EB4B3E" w14:textId="31B26C0E" w:rsidR="00DD4A61" w:rsidRDefault="00DD4A61" w:rsidP="00DD4A61">
      <w:pPr>
        <w:spacing w:line="480" w:lineRule="auto"/>
        <w:rPr>
          <w:color w:val="000000" w:themeColor="text1"/>
          <w:shd w:val="clear" w:color="auto" w:fill="FFFFFF"/>
        </w:rPr>
      </w:pPr>
      <w:r w:rsidRPr="003853C3">
        <w:rPr>
          <w:color w:val="000000" w:themeColor="text1"/>
          <w:shd w:val="clear" w:color="auto" w:fill="FFFFFF"/>
        </w:rPr>
        <w:t xml:space="preserve">Hanlon, S. E., Rizzo, J. M., </w:t>
      </w:r>
      <w:proofErr w:type="spellStart"/>
      <w:r w:rsidRPr="003853C3">
        <w:rPr>
          <w:color w:val="000000" w:themeColor="text1"/>
          <w:shd w:val="clear" w:color="auto" w:fill="FFFFFF"/>
        </w:rPr>
        <w:t>Tatomer</w:t>
      </w:r>
      <w:proofErr w:type="spellEnd"/>
      <w:r w:rsidRPr="003853C3">
        <w:rPr>
          <w:color w:val="000000" w:themeColor="text1"/>
          <w:shd w:val="clear" w:color="auto" w:fill="FFFFFF"/>
        </w:rPr>
        <w:t xml:space="preserve">, D. C., </w:t>
      </w:r>
      <w:proofErr w:type="spellStart"/>
      <w:r w:rsidRPr="003853C3">
        <w:rPr>
          <w:color w:val="000000" w:themeColor="text1"/>
          <w:shd w:val="clear" w:color="auto" w:fill="FFFFFF"/>
        </w:rPr>
        <w:t>Lieb</w:t>
      </w:r>
      <w:proofErr w:type="spellEnd"/>
      <w:r w:rsidRPr="003853C3">
        <w:rPr>
          <w:color w:val="000000" w:themeColor="text1"/>
          <w:shd w:val="clear" w:color="auto" w:fill="FFFFFF"/>
        </w:rPr>
        <w:t xml:space="preserve">, J. D., &amp; Buck, M. J. (2011). The Stress </w:t>
      </w:r>
    </w:p>
    <w:p w14:paraId="4AD9ACE5" w14:textId="0201CF5E" w:rsidR="00D24F57" w:rsidRPr="001F6A12" w:rsidRDefault="00DD4A61" w:rsidP="001F6A12">
      <w:pPr>
        <w:spacing w:line="480" w:lineRule="auto"/>
        <w:ind w:left="720"/>
        <w:rPr>
          <w:color w:val="000000" w:themeColor="text1"/>
          <w:shd w:val="clear" w:color="auto" w:fill="FFFFFF"/>
        </w:rPr>
      </w:pPr>
      <w:r w:rsidRPr="003853C3">
        <w:rPr>
          <w:color w:val="000000" w:themeColor="text1"/>
          <w:shd w:val="clear" w:color="auto" w:fill="FFFFFF"/>
        </w:rPr>
        <w:t>Response Factors Yap6, Cin5, Phd1, and Skn7 Direct Targeting of the Conserved Co-</w:t>
      </w:r>
      <w:r w:rsidRPr="001F6A12">
        <w:rPr>
          <w:color w:val="000000" w:themeColor="text1"/>
          <w:shd w:val="clear" w:color="auto" w:fill="FFFFFF"/>
        </w:rPr>
        <w:t>Repressor Tup1-Ssn6 in S. cerevisiae. </w:t>
      </w:r>
      <w:proofErr w:type="spellStart"/>
      <w:r w:rsidRPr="001F6A12">
        <w:rPr>
          <w:i/>
          <w:iCs/>
          <w:color w:val="000000" w:themeColor="text1"/>
          <w:shd w:val="clear" w:color="auto" w:fill="FFFFFF"/>
        </w:rPr>
        <w:t>PLoS</w:t>
      </w:r>
      <w:proofErr w:type="spellEnd"/>
      <w:r w:rsidRPr="001F6A12">
        <w:rPr>
          <w:i/>
          <w:iCs/>
          <w:color w:val="000000" w:themeColor="text1"/>
          <w:shd w:val="clear" w:color="auto" w:fill="FFFFFF"/>
        </w:rPr>
        <w:t xml:space="preserve"> ONE,6</w:t>
      </w:r>
      <w:r w:rsidRPr="001F6A12">
        <w:rPr>
          <w:color w:val="000000" w:themeColor="text1"/>
          <w:shd w:val="clear" w:color="auto" w:fill="FFFFFF"/>
        </w:rPr>
        <w:t>(4).</w:t>
      </w:r>
    </w:p>
    <w:p w14:paraId="77563688" w14:textId="4176FDBC" w:rsidR="001F6A12" w:rsidRDefault="001F6A12" w:rsidP="001F6A12">
      <w:pPr>
        <w:spacing w:line="480" w:lineRule="auto"/>
        <w:rPr>
          <w:color w:val="222222"/>
          <w:shd w:val="clear" w:color="auto" w:fill="FFFFFF"/>
        </w:rPr>
      </w:pPr>
      <w:proofErr w:type="spellStart"/>
      <w:r w:rsidRPr="001F6A12">
        <w:rPr>
          <w:color w:val="222222"/>
          <w:shd w:val="clear" w:color="auto" w:fill="FFFFFF"/>
        </w:rPr>
        <w:t>Minehart</w:t>
      </w:r>
      <w:proofErr w:type="spellEnd"/>
      <w:r w:rsidRPr="001F6A12">
        <w:rPr>
          <w:color w:val="222222"/>
          <w:shd w:val="clear" w:color="auto" w:fill="FFFFFF"/>
        </w:rPr>
        <w:t xml:space="preserve">, P. L., &amp; </w:t>
      </w:r>
      <w:proofErr w:type="spellStart"/>
      <w:r w:rsidRPr="001F6A12">
        <w:rPr>
          <w:color w:val="222222"/>
          <w:shd w:val="clear" w:color="auto" w:fill="FFFFFF"/>
        </w:rPr>
        <w:t>Magasanik</w:t>
      </w:r>
      <w:proofErr w:type="spellEnd"/>
      <w:r w:rsidRPr="001F6A12">
        <w:rPr>
          <w:color w:val="222222"/>
          <w:shd w:val="clear" w:color="auto" w:fill="FFFFFF"/>
        </w:rPr>
        <w:t xml:space="preserve">, B. O. R. I. S. (1991). Sequence and expression of GLN3, a </w:t>
      </w:r>
    </w:p>
    <w:p w14:paraId="1A7CF1C3" w14:textId="0CF0F8BB" w:rsidR="001F6A12" w:rsidRPr="001F6A12" w:rsidRDefault="001F6A12" w:rsidP="001F6A12">
      <w:pPr>
        <w:spacing w:line="480" w:lineRule="auto"/>
        <w:ind w:left="720"/>
      </w:pPr>
      <w:r w:rsidRPr="001F6A12">
        <w:rPr>
          <w:color w:val="222222"/>
          <w:shd w:val="clear" w:color="auto" w:fill="FFFFFF"/>
        </w:rPr>
        <w:t>positive nitrogen regulatory gene of Saccharomyces cerevisiae encoding a protein with a putative zinc finger DNA-binding domain.</w:t>
      </w:r>
      <w:r w:rsidRPr="001F6A12">
        <w:rPr>
          <w:rStyle w:val="apple-converted-space"/>
          <w:color w:val="222222"/>
          <w:shd w:val="clear" w:color="auto" w:fill="FFFFFF"/>
        </w:rPr>
        <w:t> </w:t>
      </w:r>
      <w:r w:rsidRPr="001F6A12">
        <w:rPr>
          <w:i/>
          <w:iCs/>
          <w:color w:val="222222"/>
        </w:rPr>
        <w:t>Molecular and Cellular Biology</w:t>
      </w:r>
      <w:r w:rsidRPr="001F6A12">
        <w:rPr>
          <w:color w:val="222222"/>
          <w:shd w:val="clear" w:color="auto" w:fill="FFFFFF"/>
        </w:rPr>
        <w:t>,</w:t>
      </w:r>
      <w:r w:rsidRPr="001F6A12">
        <w:rPr>
          <w:rStyle w:val="apple-converted-space"/>
          <w:color w:val="222222"/>
          <w:shd w:val="clear" w:color="auto" w:fill="FFFFFF"/>
        </w:rPr>
        <w:t> </w:t>
      </w:r>
      <w:r w:rsidRPr="001F6A12">
        <w:rPr>
          <w:i/>
          <w:iCs/>
          <w:color w:val="222222"/>
        </w:rPr>
        <w:t>11</w:t>
      </w:r>
      <w:r w:rsidRPr="001F6A12">
        <w:rPr>
          <w:color w:val="222222"/>
          <w:shd w:val="clear" w:color="auto" w:fill="FFFFFF"/>
        </w:rPr>
        <w:t>(12), 6216-6228.</w:t>
      </w:r>
    </w:p>
    <w:p w14:paraId="22628400" w14:textId="77777777" w:rsidR="00DD4A61" w:rsidRPr="003853C3" w:rsidRDefault="00DD4A61" w:rsidP="00DD4A61">
      <w:pPr>
        <w:spacing w:line="480" w:lineRule="auto"/>
        <w:rPr>
          <w:color w:val="000000" w:themeColor="text1"/>
          <w:shd w:val="clear" w:color="auto" w:fill="FFFFFF"/>
        </w:rPr>
      </w:pPr>
      <w:proofErr w:type="spellStart"/>
      <w:r w:rsidRPr="003853C3">
        <w:rPr>
          <w:color w:val="000000" w:themeColor="text1"/>
          <w:shd w:val="clear" w:color="auto" w:fill="FFFFFF"/>
        </w:rPr>
        <w:t>Murugesapillai</w:t>
      </w:r>
      <w:proofErr w:type="spellEnd"/>
      <w:r w:rsidRPr="003853C3">
        <w:rPr>
          <w:color w:val="000000" w:themeColor="text1"/>
          <w:shd w:val="clear" w:color="auto" w:fill="FFFFFF"/>
        </w:rPr>
        <w:t xml:space="preserve">, D., </w:t>
      </w:r>
      <w:proofErr w:type="spellStart"/>
      <w:r w:rsidRPr="003853C3">
        <w:rPr>
          <w:color w:val="000000" w:themeColor="text1"/>
          <w:shd w:val="clear" w:color="auto" w:fill="FFFFFF"/>
        </w:rPr>
        <w:t>Mccauley</w:t>
      </w:r>
      <w:proofErr w:type="spellEnd"/>
      <w:r w:rsidRPr="003853C3">
        <w:rPr>
          <w:color w:val="000000" w:themeColor="text1"/>
          <w:shd w:val="clear" w:color="auto" w:fill="FFFFFF"/>
        </w:rPr>
        <w:t xml:space="preserve">, M. J., </w:t>
      </w:r>
      <w:proofErr w:type="spellStart"/>
      <w:r w:rsidRPr="003853C3">
        <w:rPr>
          <w:color w:val="000000" w:themeColor="text1"/>
          <w:shd w:val="clear" w:color="auto" w:fill="FFFFFF"/>
        </w:rPr>
        <w:t>Huo</w:t>
      </w:r>
      <w:proofErr w:type="spellEnd"/>
      <w:r w:rsidRPr="003853C3">
        <w:rPr>
          <w:color w:val="000000" w:themeColor="text1"/>
          <w:shd w:val="clear" w:color="auto" w:fill="FFFFFF"/>
        </w:rPr>
        <w:t xml:space="preserve">, R., </w:t>
      </w:r>
      <w:proofErr w:type="spellStart"/>
      <w:r w:rsidRPr="003853C3">
        <w:rPr>
          <w:color w:val="000000" w:themeColor="text1"/>
          <w:shd w:val="clear" w:color="auto" w:fill="FFFFFF"/>
        </w:rPr>
        <w:t>Holte</w:t>
      </w:r>
      <w:proofErr w:type="spellEnd"/>
      <w:r w:rsidRPr="003853C3">
        <w:rPr>
          <w:color w:val="000000" w:themeColor="text1"/>
          <w:shd w:val="clear" w:color="auto" w:fill="FFFFFF"/>
        </w:rPr>
        <w:t xml:space="preserve">, M. H., </w:t>
      </w:r>
      <w:proofErr w:type="spellStart"/>
      <w:r w:rsidRPr="003853C3">
        <w:rPr>
          <w:color w:val="000000" w:themeColor="text1"/>
          <w:shd w:val="clear" w:color="auto" w:fill="FFFFFF"/>
        </w:rPr>
        <w:t>Stepanyants</w:t>
      </w:r>
      <w:proofErr w:type="spellEnd"/>
      <w:r w:rsidRPr="003853C3">
        <w:rPr>
          <w:color w:val="000000" w:themeColor="text1"/>
          <w:shd w:val="clear" w:color="auto" w:fill="FFFFFF"/>
        </w:rPr>
        <w:t xml:space="preserve">, A., Maher, L. J., . . . </w:t>
      </w:r>
    </w:p>
    <w:p w14:paraId="386EADC6" w14:textId="767B16C8" w:rsidR="00DD4A61" w:rsidRDefault="00DD4A61" w:rsidP="00EB00F6">
      <w:pPr>
        <w:spacing w:line="480" w:lineRule="auto"/>
        <w:ind w:left="720"/>
        <w:rPr>
          <w:color w:val="000000" w:themeColor="text1"/>
          <w:shd w:val="clear" w:color="auto" w:fill="FFFFFF"/>
        </w:rPr>
      </w:pPr>
      <w:r w:rsidRPr="003853C3">
        <w:rPr>
          <w:color w:val="000000" w:themeColor="text1"/>
          <w:shd w:val="clear" w:color="auto" w:fill="FFFFFF"/>
        </w:rPr>
        <w:t>Williams, M. C. (2014). DNA bridging and looping by HMO1 provides a mechanism for stabilizing nucleosome-free chromatin. </w:t>
      </w:r>
      <w:r w:rsidRPr="003853C3">
        <w:rPr>
          <w:i/>
          <w:iCs/>
          <w:color w:val="000000" w:themeColor="text1"/>
          <w:shd w:val="clear" w:color="auto" w:fill="FFFFFF"/>
        </w:rPr>
        <w:t>Nucleic Acids Research,42</w:t>
      </w:r>
      <w:r w:rsidRPr="003853C3">
        <w:rPr>
          <w:color w:val="000000" w:themeColor="text1"/>
          <w:shd w:val="clear" w:color="auto" w:fill="FFFFFF"/>
        </w:rPr>
        <w:t xml:space="preserve">(14), 8996-9004. </w:t>
      </w:r>
      <w:r w:rsidRPr="00DD4A61">
        <w:rPr>
          <w:color w:val="000000" w:themeColor="text1"/>
          <w:shd w:val="clear" w:color="auto" w:fill="FFFFFF"/>
        </w:rPr>
        <w:t>doi:10.1093/</w:t>
      </w:r>
      <w:proofErr w:type="spellStart"/>
      <w:r w:rsidRPr="00DD4A61">
        <w:rPr>
          <w:color w:val="000000" w:themeColor="text1"/>
          <w:shd w:val="clear" w:color="auto" w:fill="FFFFFF"/>
        </w:rPr>
        <w:t>nar</w:t>
      </w:r>
      <w:proofErr w:type="spellEnd"/>
      <w:r w:rsidRPr="00DD4A61">
        <w:rPr>
          <w:color w:val="000000" w:themeColor="text1"/>
          <w:shd w:val="clear" w:color="auto" w:fill="FFFFFF"/>
        </w:rPr>
        <w:t>/gku635</w:t>
      </w:r>
    </w:p>
    <w:p w14:paraId="4B43881E" w14:textId="77777777" w:rsidR="00EB00F6" w:rsidRDefault="00EB00F6" w:rsidP="00EB00F6">
      <w:pPr>
        <w:spacing w:line="480" w:lineRule="auto"/>
        <w:rPr>
          <w:color w:val="222222"/>
          <w:shd w:val="clear" w:color="auto" w:fill="FFFFFF"/>
        </w:rPr>
      </w:pPr>
      <w:proofErr w:type="spellStart"/>
      <w:r w:rsidRPr="00EB00F6">
        <w:rPr>
          <w:color w:val="222222"/>
          <w:shd w:val="clear" w:color="auto" w:fill="FFFFFF"/>
        </w:rPr>
        <w:t>Petryk</w:t>
      </w:r>
      <w:proofErr w:type="spellEnd"/>
      <w:r w:rsidRPr="00EB00F6">
        <w:rPr>
          <w:color w:val="222222"/>
          <w:shd w:val="clear" w:color="auto" w:fill="FFFFFF"/>
        </w:rPr>
        <w:t xml:space="preserve">, N., Zhou, Y. F., </w:t>
      </w:r>
      <w:proofErr w:type="spellStart"/>
      <w:r w:rsidRPr="00EB00F6">
        <w:rPr>
          <w:color w:val="222222"/>
          <w:shd w:val="clear" w:color="auto" w:fill="FFFFFF"/>
        </w:rPr>
        <w:t>Sybirna</w:t>
      </w:r>
      <w:proofErr w:type="spellEnd"/>
      <w:r w:rsidRPr="00EB00F6">
        <w:rPr>
          <w:color w:val="222222"/>
          <w:shd w:val="clear" w:color="auto" w:fill="FFFFFF"/>
        </w:rPr>
        <w:t xml:space="preserve">, K., </w:t>
      </w:r>
      <w:proofErr w:type="spellStart"/>
      <w:r w:rsidRPr="00EB00F6">
        <w:rPr>
          <w:color w:val="222222"/>
          <w:shd w:val="clear" w:color="auto" w:fill="FFFFFF"/>
        </w:rPr>
        <w:t>Mucchielli</w:t>
      </w:r>
      <w:proofErr w:type="spellEnd"/>
      <w:r w:rsidRPr="00EB00F6">
        <w:rPr>
          <w:color w:val="222222"/>
          <w:shd w:val="clear" w:color="auto" w:fill="FFFFFF"/>
        </w:rPr>
        <w:t xml:space="preserve">, M. H., </w:t>
      </w:r>
      <w:proofErr w:type="spellStart"/>
      <w:r w:rsidRPr="00EB00F6">
        <w:rPr>
          <w:color w:val="222222"/>
          <w:shd w:val="clear" w:color="auto" w:fill="FFFFFF"/>
        </w:rPr>
        <w:t>Guiard</w:t>
      </w:r>
      <w:proofErr w:type="spellEnd"/>
      <w:r w:rsidRPr="00EB00F6">
        <w:rPr>
          <w:color w:val="222222"/>
          <w:shd w:val="clear" w:color="auto" w:fill="FFFFFF"/>
        </w:rPr>
        <w:t xml:space="preserve">, B., Bao, W. G., ... &amp; </w:t>
      </w:r>
      <w:proofErr w:type="spellStart"/>
      <w:r w:rsidRPr="00EB00F6">
        <w:rPr>
          <w:color w:val="222222"/>
          <w:shd w:val="clear" w:color="auto" w:fill="FFFFFF"/>
        </w:rPr>
        <w:t>Reymond</w:t>
      </w:r>
      <w:proofErr w:type="spellEnd"/>
      <w:r w:rsidRPr="00EB00F6">
        <w:rPr>
          <w:color w:val="222222"/>
          <w:shd w:val="clear" w:color="auto" w:fill="FFFFFF"/>
        </w:rPr>
        <w:t xml:space="preserve">, </w:t>
      </w:r>
    </w:p>
    <w:p w14:paraId="3237DF1D" w14:textId="266351BD" w:rsidR="00EB00F6" w:rsidRPr="00EB00F6" w:rsidRDefault="00EB00F6" w:rsidP="00EB00F6">
      <w:pPr>
        <w:spacing w:line="480" w:lineRule="auto"/>
        <w:ind w:left="720"/>
      </w:pPr>
      <w:r w:rsidRPr="00EB00F6">
        <w:rPr>
          <w:color w:val="222222"/>
          <w:shd w:val="clear" w:color="auto" w:fill="FFFFFF"/>
        </w:rPr>
        <w:t>N. (2014). Functional study of the Hap4-like genes suggests that the key regulators of carbon metabolism HAP4 and oxidative stress response YAP1 in yeast diverged from a common ancestor.</w:t>
      </w:r>
      <w:r w:rsidRPr="00EB00F6">
        <w:rPr>
          <w:rStyle w:val="apple-converted-space"/>
          <w:color w:val="222222"/>
          <w:shd w:val="clear" w:color="auto" w:fill="FFFFFF"/>
        </w:rPr>
        <w:t> </w:t>
      </w:r>
      <w:proofErr w:type="spellStart"/>
      <w:r w:rsidRPr="00EB00F6">
        <w:rPr>
          <w:i/>
          <w:iCs/>
          <w:color w:val="222222"/>
        </w:rPr>
        <w:t>PloS</w:t>
      </w:r>
      <w:proofErr w:type="spellEnd"/>
      <w:r w:rsidRPr="00EB00F6">
        <w:rPr>
          <w:i/>
          <w:iCs/>
          <w:color w:val="222222"/>
        </w:rPr>
        <w:t xml:space="preserve"> one</w:t>
      </w:r>
      <w:r w:rsidRPr="00EB00F6">
        <w:rPr>
          <w:color w:val="222222"/>
          <w:shd w:val="clear" w:color="auto" w:fill="FFFFFF"/>
        </w:rPr>
        <w:t>,</w:t>
      </w:r>
      <w:r w:rsidRPr="00EB00F6">
        <w:rPr>
          <w:rStyle w:val="apple-converted-space"/>
          <w:color w:val="222222"/>
          <w:shd w:val="clear" w:color="auto" w:fill="FFFFFF"/>
        </w:rPr>
        <w:t> </w:t>
      </w:r>
      <w:r w:rsidRPr="00EB00F6">
        <w:rPr>
          <w:i/>
          <w:iCs/>
          <w:color w:val="222222"/>
        </w:rPr>
        <w:t>9</w:t>
      </w:r>
      <w:r w:rsidRPr="00EB00F6">
        <w:rPr>
          <w:color w:val="222222"/>
          <w:shd w:val="clear" w:color="auto" w:fill="FFFFFF"/>
        </w:rPr>
        <w:t>(12), e112263.</w:t>
      </w:r>
    </w:p>
    <w:p w14:paraId="0CA08345" w14:textId="77777777" w:rsidR="006306D1" w:rsidRDefault="006306D1" w:rsidP="006306D1">
      <w:pPr>
        <w:spacing w:line="480" w:lineRule="auto"/>
        <w:rPr>
          <w:color w:val="222222"/>
          <w:shd w:val="clear" w:color="auto" w:fill="FFFFFF"/>
        </w:rPr>
      </w:pPr>
      <w:r w:rsidRPr="006306D1">
        <w:rPr>
          <w:color w:val="222222"/>
          <w:shd w:val="clear" w:color="auto" w:fill="FFFFFF"/>
        </w:rPr>
        <w:lastRenderedPageBreak/>
        <w:t xml:space="preserve">Teixeira, M. C., Monteiro, P., Jain, P., </w:t>
      </w:r>
      <w:proofErr w:type="spellStart"/>
      <w:r w:rsidRPr="006306D1">
        <w:rPr>
          <w:color w:val="222222"/>
          <w:shd w:val="clear" w:color="auto" w:fill="FFFFFF"/>
        </w:rPr>
        <w:t>Tenreiro</w:t>
      </w:r>
      <w:proofErr w:type="spellEnd"/>
      <w:r w:rsidRPr="006306D1">
        <w:rPr>
          <w:color w:val="222222"/>
          <w:shd w:val="clear" w:color="auto" w:fill="FFFFFF"/>
        </w:rPr>
        <w:t>, S., Fernandes, A. R., Mira, N. P., ... &amp; Sa-</w:t>
      </w:r>
    </w:p>
    <w:p w14:paraId="6B25E7DF" w14:textId="7D63E6B6" w:rsidR="00EB00F6" w:rsidRPr="002B2EB5" w:rsidRDefault="006306D1" w:rsidP="002B2EB5">
      <w:pPr>
        <w:spacing w:line="480" w:lineRule="auto"/>
        <w:ind w:left="720"/>
      </w:pPr>
      <w:proofErr w:type="spellStart"/>
      <w:r w:rsidRPr="006306D1">
        <w:rPr>
          <w:color w:val="222222"/>
          <w:shd w:val="clear" w:color="auto" w:fill="FFFFFF"/>
        </w:rPr>
        <w:t>Correia</w:t>
      </w:r>
      <w:proofErr w:type="spellEnd"/>
      <w:r w:rsidRPr="006306D1">
        <w:rPr>
          <w:color w:val="222222"/>
          <w:shd w:val="clear" w:color="auto" w:fill="FFFFFF"/>
        </w:rPr>
        <w:t>, I. (2006). The YEASTRACT database: a tool for the analysis of transcription regulatory associations in Saccharomyces cerevisiae.</w:t>
      </w:r>
      <w:r w:rsidRPr="006306D1">
        <w:rPr>
          <w:rStyle w:val="apple-converted-space"/>
          <w:color w:val="222222"/>
          <w:shd w:val="clear" w:color="auto" w:fill="FFFFFF"/>
        </w:rPr>
        <w:t> </w:t>
      </w:r>
      <w:r w:rsidRPr="006306D1">
        <w:rPr>
          <w:i/>
          <w:iCs/>
          <w:color w:val="222222"/>
        </w:rPr>
        <w:t>Nucleic acids research</w:t>
      </w:r>
      <w:r w:rsidRPr="006306D1">
        <w:rPr>
          <w:color w:val="222222"/>
          <w:shd w:val="clear" w:color="auto" w:fill="FFFFFF"/>
        </w:rPr>
        <w:t>,</w:t>
      </w:r>
      <w:r w:rsidRPr="006306D1">
        <w:rPr>
          <w:rStyle w:val="apple-converted-space"/>
          <w:color w:val="222222"/>
          <w:shd w:val="clear" w:color="auto" w:fill="FFFFFF"/>
        </w:rPr>
        <w:t> </w:t>
      </w:r>
      <w:r w:rsidRPr="006306D1">
        <w:rPr>
          <w:i/>
          <w:iCs/>
          <w:color w:val="222222"/>
        </w:rPr>
        <w:t>34</w:t>
      </w:r>
      <w:r w:rsidRPr="006306D1">
        <w:rPr>
          <w:color w:val="222222"/>
          <w:shd w:val="clear" w:color="auto" w:fill="FFFFFF"/>
        </w:rPr>
        <w:t>(suppl_1), D446-D451.</w:t>
      </w:r>
    </w:p>
    <w:p w14:paraId="70F49137" w14:textId="77777777" w:rsidR="00DD4A61" w:rsidRDefault="00DD4A61" w:rsidP="00DD4A61">
      <w:pPr>
        <w:spacing w:line="480" w:lineRule="auto"/>
        <w:rPr>
          <w:color w:val="222222"/>
          <w:shd w:val="clear" w:color="auto" w:fill="FFFFFF"/>
        </w:rPr>
      </w:pPr>
      <w:r w:rsidRPr="00DD4A61">
        <w:rPr>
          <w:color w:val="222222"/>
          <w:shd w:val="clear" w:color="auto" w:fill="FFFFFF"/>
        </w:rPr>
        <w:t xml:space="preserve">Wu, C. Y., Bird, A. J., </w:t>
      </w:r>
      <w:proofErr w:type="spellStart"/>
      <w:r w:rsidRPr="00DD4A61">
        <w:rPr>
          <w:color w:val="222222"/>
          <w:shd w:val="clear" w:color="auto" w:fill="FFFFFF"/>
        </w:rPr>
        <w:t>Winge</w:t>
      </w:r>
      <w:proofErr w:type="spellEnd"/>
      <w:r w:rsidRPr="00DD4A61">
        <w:rPr>
          <w:color w:val="222222"/>
          <w:shd w:val="clear" w:color="auto" w:fill="FFFFFF"/>
        </w:rPr>
        <w:t xml:space="preserve">, D. R., &amp; Eide, D. J. (2007). Regulation of the yeast TSA1 </w:t>
      </w:r>
    </w:p>
    <w:p w14:paraId="34F6CF96" w14:textId="7B86799E" w:rsidR="00DD4A61" w:rsidRPr="00DD4A61" w:rsidRDefault="00DD4A61" w:rsidP="00DD4A61">
      <w:pPr>
        <w:spacing w:line="480" w:lineRule="auto"/>
        <w:ind w:left="720"/>
      </w:pPr>
      <w:r w:rsidRPr="00DD4A61">
        <w:rPr>
          <w:color w:val="222222"/>
          <w:shd w:val="clear" w:color="auto" w:fill="FFFFFF"/>
        </w:rPr>
        <w:t>peroxiredoxin by ZAP1 is an adaptive response to the oxidative stress of zinc deficiency.</w:t>
      </w:r>
      <w:r w:rsidRPr="00DD4A61">
        <w:rPr>
          <w:rStyle w:val="apple-converted-space"/>
          <w:color w:val="222222"/>
          <w:shd w:val="clear" w:color="auto" w:fill="FFFFFF"/>
        </w:rPr>
        <w:t> </w:t>
      </w:r>
      <w:r w:rsidRPr="00DD4A61">
        <w:rPr>
          <w:i/>
          <w:iCs/>
          <w:color w:val="222222"/>
        </w:rPr>
        <w:t>Journal of Biological Chemistry</w:t>
      </w:r>
      <w:r w:rsidRPr="00DD4A61">
        <w:rPr>
          <w:color w:val="222222"/>
          <w:shd w:val="clear" w:color="auto" w:fill="FFFFFF"/>
        </w:rPr>
        <w:t>,</w:t>
      </w:r>
      <w:r w:rsidRPr="00DD4A61">
        <w:rPr>
          <w:rStyle w:val="apple-converted-space"/>
          <w:color w:val="222222"/>
          <w:shd w:val="clear" w:color="auto" w:fill="FFFFFF"/>
        </w:rPr>
        <w:t> </w:t>
      </w:r>
      <w:r w:rsidRPr="00DD4A61">
        <w:rPr>
          <w:i/>
          <w:iCs/>
          <w:color w:val="222222"/>
        </w:rPr>
        <w:t>282</w:t>
      </w:r>
      <w:r w:rsidRPr="00DD4A61">
        <w:rPr>
          <w:color w:val="222222"/>
          <w:shd w:val="clear" w:color="auto" w:fill="FFFFFF"/>
        </w:rPr>
        <w:t>(4), 2184-2195.</w:t>
      </w:r>
    </w:p>
    <w:p w14:paraId="00A70474" w14:textId="77777777" w:rsidR="00DD4A61" w:rsidRPr="00D24F57" w:rsidRDefault="00DD4A61" w:rsidP="00DD4A61">
      <w:pPr>
        <w:spacing w:line="480" w:lineRule="auto"/>
      </w:pPr>
    </w:p>
    <w:sectPr w:rsidR="00DD4A61" w:rsidRPr="00D24F57" w:rsidSect="00421537">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4F1A1" w14:textId="77777777" w:rsidR="00281C9D" w:rsidRDefault="00281C9D" w:rsidP="000F083E">
      <w:r>
        <w:separator/>
      </w:r>
    </w:p>
  </w:endnote>
  <w:endnote w:type="continuationSeparator" w:id="0">
    <w:p w14:paraId="2CF07B86" w14:textId="77777777" w:rsidR="00281C9D" w:rsidRDefault="00281C9D" w:rsidP="000F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AD34" w14:textId="77777777" w:rsidR="00281C9D" w:rsidRDefault="00281C9D" w:rsidP="000F083E">
      <w:r>
        <w:separator/>
      </w:r>
    </w:p>
  </w:footnote>
  <w:footnote w:type="continuationSeparator" w:id="0">
    <w:p w14:paraId="6FE86F76" w14:textId="77777777" w:rsidR="00281C9D" w:rsidRDefault="00281C9D" w:rsidP="000F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2573745"/>
      <w:docPartObj>
        <w:docPartGallery w:val="Page Numbers (Top of Page)"/>
        <w:docPartUnique/>
      </w:docPartObj>
    </w:sdtPr>
    <w:sdtEndPr>
      <w:rPr>
        <w:rStyle w:val="PageNumber"/>
      </w:rPr>
    </w:sdtEndPr>
    <w:sdtContent>
      <w:p w14:paraId="366A2286" w14:textId="77777777" w:rsidR="000F083E" w:rsidRDefault="000F083E" w:rsidP="00840F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B3677" w14:textId="77777777" w:rsidR="000F083E" w:rsidRDefault="000F083E" w:rsidP="000F08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052533794"/>
      <w:docPartObj>
        <w:docPartGallery w:val="Page Numbers (Top of Page)"/>
        <w:docPartUnique/>
      </w:docPartObj>
    </w:sdtPr>
    <w:sdtEndPr>
      <w:rPr>
        <w:rStyle w:val="PageNumber"/>
      </w:rPr>
    </w:sdtEndPr>
    <w:sdtContent>
      <w:p w14:paraId="315BFEA7" w14:textId="77777777" w:rsidR="000F083E" w:rsidRPr="000F083E" w:rsidRDefault="000F083E" w:rsidP="00840F9E">
        <w:pPr>
          <w:pStyle w:val="Header"/>
          <w:framePr w:wrap="none" w:vAnchor="text" w:hAnchor="margin" w:xAlign="right" w:y="1"/>
          <w:rPr>
            <w:rStyle w:val="PageNumber"/>
            <w:rFonts w:ascii="Times New Roman" w:hAnsi="Times New Roman" w:cs="Times New Roman"/>
          </w:rPr>
        </w:pPr>
        <w:r w:rsidRPr="000F083E">
          <w:rPr>
            <w:rStyle w:val="PageNumber"/>
            <w:rFonts w:ascii="Times New Roman" w:hAnsi="Times New Roman" w:cs="Times New Roman"/>
          </w:rPr>
          <w:t xml:space="preserve">Kelly </w:t>
        </w:r>
        <w:r w:rsidRPr="000F083E">
          <w:rPr>
            <w:rStyle w:val="PageNumber"/>
            <w:rFonts w:ascii="Times New Roman" w:hAnsi="Times New Roman" w:cs="Times New Roman"/>
          </w:rPr>
          <w:fldChar w:fldCharType="begin"/>
        </w:r>
        <w:r w:rsidRPr="000F083E">
          <w:rPr>
            <w:rStyle w:val="PageNumber"/>
            <w:rFonts w:ascii="Times New Roman" w:hAnsi="Times New Roman" w:cs="Times New Roman"/>
          </w:rPr>
          <w:instrText xml:space="preserve"> PAGE </w:instrText>
        </w:r>
        <w:r w:rsidRPr="000F083E">
          <w:rPr>
            <w:rStyle w:val="PageNumber"/>
            <w:rFonts w:ascii="Times New Roman" w:hAnsi="Times New Roman" w:cs="Times New Roman"/>
          </w:rPr>
          <w:fldChar w:fldCharType="separate"/>
        </w:r>
        <w:r w:rsidRPr="000F083E">
          <w:rPr>
            <w:rStyle w:val="PageNumber"/>
            <w:rFonts w:ascii="Times New Roman" w:hAnsi="Times New Roman" w:cs="Times New Roman"/>
            <w:noProof/>
          </w:rPr>
          <w:t>1</w:t>
        </w:r>
        <w:r w:rsidRPr="000F083E">
          <w:rPr>
            <w:rStyle w:val="PageNumber"/>
            <w:rFonts w:ascii="Times New Roman" w:hAnsi="Times New Roman" w:cs="Times New Roman"/>
          </w:rPr>
          <w:fldChar w:fldCharType="end"/>
        </w:r>
      </w:p>
    </w:sdtContent>
  </w:sdt>
  <w:p w14:paraId="31450D55" w14:textId="77777777" w:rsidR="000F083E" w:rsidRDefault="000F083E" w:rsidP="000F083E">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715CD"/>
    <w:multiLevelType w:val="hybridMultilevel"/>
    <w:tmpl w:val="1AE42252"/>
    <w:lvl w:ilvl="0" w:tplc="080E717C">
      <w:start w:val="1"/>
      <w:numFmt w:val="bullet"/>
      <w:lvlText w:val="•"/>
      <w:lvlJc w:val="left"/>
      <w:pPr>
        <w:tabs>
          <w:tab w:val="num" w:pos="720"/>
        </w:tabs>
        <w:ind w:left="720" w:hanging="360"/>
      </w:pPr>
      <w:rPr>
        <w:rFonts w:ascii="Arial" w:hAnsi="Arial" w:hint="default"/>
      </w:rPr>
    </w:lvl>
    <w:lvl w:ilvl="1" w:tplc="133AED60" w:tentative="1">
      <w:start w:val="1"/>
      <w:numFmt w:val="bullet"/>
      <w:lvlText w:val="•"/>
      <w:lvlJc w:val="left"/>
      <w:pPr>
        <w:tabs>
          <w:tab w:val="num" w:pos="1440"/>
        </w:tabs>
        <w:ind w:left="1440" w:hanging="360"/>
      </w:pPr>
      <w:rPr>
        <w:rFonts w:ascii="Arial" w:hAnsi="Arial" w:hint="default"/>
      </w:rPr>
    </w:lvl>
    <w:lvl w:ilvl="2" w:tplc="033EB708" w:tentative="1">
      <w:start w:val="1"/>
      <w:numFmt w:val="bullet"/>
      <w:lvlText w:val="•"/>
      <w:lvlJc w:val="left"/>
      <w:pPr>
        <w:tabs>
          <w:tab w:val="num" w:pos="2160"/>
        </w:tabs>
        <w:ind w:left="2160" w:hanging="360"/>
      </w:pPr>
      <w:rPr>
        <w:rFonts w:ascii="Arial" w:hAnsi="Arial" w:hint="default"/>
      </w:rPr>
    </w:lvl>
    <w:lvl w:ilvl="3" w:tplc="2F0AE93E" w:tentative="1">
      <w:start w:val="1"/>
      <w:numFmt w:val="bullet"/>
      <w:lvlText w:val="•"/>
      <w:lvlJc w:val="left"/>
      <w:pPr>
        <w:tabs>
          <w:tab w:val="num" w:pos="2880"/>
        </w:tabs>
        <w:ind w:left="2880" w:hanging="360"/>
      </w:pPr>
      <w:rPr>
        <w:rFonts w:ascii="Arial" w:hAnsi="Arial" w:hint="default"/>
      </w:rPr>
    </w:lvl>
    <w:lvl w:ilvl="4" w:tplc="796C7FA2" w:tentative="1">
      <w:start w:val="1"/>
      <w:numFmt w:val="bullet"/>
      <w:lvlText w:val="•"/>
      <w:lvlJc w:val="left"/>
      <w:pPr>
        <w:tabs>
          <w:tab w:val="num" w:pos="3600"/>
        </w:tabs>
        <w:ind w:left="3600" w:hanging="360"/>
      </w:pPr>
      <w:rPr>
        <w:rFonts w:ascii="Arial" w:hAnsi="Arial" w:hint="default"/>
      </w:rPr>
    </w:lvl>
    <w:lvl w:ilvl="5" w:tplc="12E65474" w:tentative="1">
      <w:start w:val="1"/>
      <w:numFmt w:val="bullet"/>
      <w:lvlText w:val="•"/>
      <w:lvlJc w:val="left"/>
      <w:pPr>
        <w:tabs>
          <w:tab w:val="num" w:pos="4320"/>
        </w:tabs>
        <w:ind w:left="4320" w:hanging="360"/>
      </w:pPr>
      <w:rPr>
        <w:rFonts w:ascii="Arial" w:hAnsi="Arial" w:hint="default"/>
      </w:rPr>
    </w:lvl>
    <w:lvl w:ilvl="6" w:tplc="7DBC36DE" w:tentative="1">
      <w:start w:val="1"/>
      <w:numFmt w:val="bullet"/>
      <w:lvlText w:val="•"/>
      <w:lvlJc w:val="left"/>
      <w:pPr>
        <w:tabs>
          <w:tab w:val="num" w:pos="5040"/>
        </w:tabs>
        <w:ind w:left="5040" w:hanging="360"/>
      </w:pPr>
      <w:rPr>
        <w:rFonts w:ascii="Arial" w:hAnsi="Arial" w:hint="default"/>
      </w:rPr>
    </w:lvl>
    <w:lvl w:ilvl="7" w:tplc="6F08EC5C" w:tentative="1">
      <w:start w:val="1"/>
      <w:numFmt w:val="bullet"/>
      <w:lvlText w:val="•"/>
      <w:lvlJc w:val="left"/>
      <w:pPr>
        <w:tabs>
          <w:tab w:val="num" w:pos="5760"/>
        </w:tabs>
        <w:ind w:left="5760" w:hanging="360"/>
      </w:pPr>
      <w:rPr>
        <w:rFonts w:ascii="Arial" w:hAnsi="Arial" w:hint="default"/>
      </w:rPr>
    </w:lvl>
    <w:lvl w:ilvl="8" w:tplc="08D88B0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1A"/>
    <w:rsid w:val="0006364D"/>
    <w:rsid w:val="000C0254"/>
    <w:rsid w:val="000F083E"/>
    <w:rsid w:val="001B7832"/>
    <w:rsid w:val="001F6A12"/>
    <w:rsid w:val="00281C9D"/>
    <w:rsid w:val="002B2EB5"/>
    <w:rsid w:val="00421537"/>
    <w:rsid w:val="006306D1"/>
    <w:rsid w:val="00665442"/>
    <w:rsid w:val="00774686"/>
    <w:rsid w:val="00782D7D"/>
    <w:rsid w:val="0084459F"/>
    <w:rsid w:val="0085042C"/>
    <w:rsid w:val="0091367B"/>
    <w:rsid w:val="00933930"/>
    <w:rsid w:val="009B027D"/>
    <w:rsid w:val="00B32DFD"/>
    <w:rsid w:val="00B7191A"/>
    <w:rsid w:val="00CA21AF"/>
    <w:rsid w:val="00CC77F3"/>
    <w:rsid w:val="00D24F57"/>
    <w:rsid w:val="00DD4A61"/>
    <w:rsid w:val="00E1698B"/>
    <w:rsid w:val="00E90B23"/>
    <w:rsid w:val="00E94995"/>
    <w:rsid w:val="00EB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60D9"/>
  <w15:chartTrackingRefBased/>
  <w15:docId w15:val="{D539545E-5A1F-2B40-9887-EDBB5A06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A1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83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F083E"/>
  </w:style>
  <w:style w:type="paragraph" w:styleId="Footer">
    <w:name w:val="footer"/>
    <w:basedOn w:val="Normal"/>
    <w:link w:val="FooterChar"/>
    <w:uiPriority w:val="99"/>
    <w:unhideWhenUsed/>
    <w:rsid w:val="000F083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F083E"/>
  </w:style>
  <w:style w:type="character" w:styleId="PageNumber">
    <w:name w:val="page number"/>
    <w:basedOn w:val="DefaultParagraphFont"/>
    <w:uiPriority w:val="99"/>
    <w:semiHidden/>
    <w:unhideWhenUsed/>
    <w:rsid w:val="000F083E"/>
  </w:style>
  <w:style w:type="character" w:styleId="Hyperlink">
    <w:name w:val="Hyperlink"/>
    <w:basedOn w:val="DefaultParagraphFont"/>
    <w:uiPriority w:val="99"/>
    <w:unhideWhenUsed/>
    <w:rsid w:val="00665442"/>
    <w:rPr>
      <w:color w:val="0563C1" w:themeColor="hyperlink"/>
      <w:u w:val="single"/>
    </w:rPr>
  </w:style>
  <w:style w:type="character" w:styleId="UnresolvedMention">
    <w:name w:val="Unresolved Mention"/>
    <w:basedOn w:val="DefaultParagraphFont"/>
    <w:uiPriority w:val="99"/>
    <w:semiHidden/>
    <w:unhideWhenUsed/>
    <w:rsid w:val="00665442"/>
    <w:rPr>
      <w:color w:val="605E5C"/>
      <w:shd w:val="clear" w:color="auto" w:fill="E1DFDD"/>
    </w:rPr>
  </w:style>
  <w:style w:type="paragraph" w:styleId="BalloonText">
    <w:name w:val="Balloon Text"/>
    <w:basedOn w:val="Normal"/>
    <w:link w:val="BalloonTextChar"/>
    <w:uiPriority w:val="99"/>
    <w:semiHidden/>
    <w:unhideWhenUsed/>
    <w:rsid w:val="00665442"/>
    <w:rPr>
      <w:rFonts w:eastAsiaTheme="minorHAnsi"/>
      <w:sz w:val="18"/>
      <w:szCs w:val="18"/>
    </w:rPr>
  </w:style>
  <w:style w:type="character" w:customStyle="1" w:styleId="BalloonTextChar">
    <w:name w:val="Balloon Text Char"/>
    <w:basedOn w:val="DefaultParagraphFont"/>
    <w:link w:val="BalloonText"/>
    <w:uiPriority w:val="99"/>
    <w:semiHidden/>
    <w:rsid w:val="00665442"/>
    <w:rPr>
      <w:rFonts w:ascii="Times New Roman" w:hAnsi="Times New Roman" w:cs="Times New Roman"/>
      <w:sz w:val="18"/>
      <w:szCs w:val="18"/>
    </w:rPr>
  </w:style>
  <w:style w:type="character" w:customStyle="1" w:styleId="apple-converted-space">
    <w:name w:val="apple-converted-space"/>
    <w:basedOn w:val="DefaultParagraphFont"/>
    <w:rsid w:val="00DD4A61"/>
  </w:style>
  <w:style w:type="character" w:styleId="CommentReference">
    <w:name w:val="annotation reference"/>
    <w:basedOn w:val="DefaultParagraphFont"/>
    <w:uiPriority w:val="99"/>
    <w:semiHidden/>
    <w:unhideWhenUsed/>
    <w:rsid w:val="000C0254"/>
    <w:rPr>
      <w:sz w:val="16"/>
      <w:szCs w:val="16"/>
    </w:rPr>
  </w:style>
  <w:style w:type="paragraph" w:styleId="CommentText">
    <w:name w:val="annotation text"/>
    <w:basedOn w:val="Normal"/>
    <w:link w:val="CommentTextChar"/>
    <w:uiPriority w:val="99"/>
    <w:semiHidden/>
    <w:unhideWhenUsed/>
    <w:rsid w:val="000C0254"/>
    <w:rPr>
      <w:sz w:val="20"/>
      <w:szCs w:val="20"/>
    </w:rPr>
  </w:style>
  <w:style w:type="character" w:customStyle="1" w:styleId="CommentTextChar">
    <w:name w:val="Comment Text Char"/>
    <w:basedOn w:val="DefaultParagraphFont"/>
    <w:link w:val="CommentText"/>
    <w:uiPriority w:val="99"/>
    <w:semiHidden/>
    <w:rsid w:val="000C02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254"/>
    <w:rPr>
      <w:b/>
      <w:bCs/>
    </w:rPr>
  </w:style>
  <w:style w:type="character" w:customStyle="1" w:styleId="CommentSubjectChar">
    <w:name w:val="Comment Subject Char"/>
    <w:basedOn w:val="CommentTextChar"/>
    <w:link w:val="CommentSubject"/>
    <w:uiPriority w:val="99"/>
    <w:semiHidden/>
    <w:rsid w:val="000C02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5966">
      <w:bodyDiv w:val="1"/>
      <w:marLeft w:val="0"/>
      <w:marRight w:val="0"/>
      <w:marTop w:val="0"/>
      <w:marBottom w:val="0"/>
      <w:divBdr>
        <w:top w:val="none" w:sz="0" w:space="0" w:color="auto"/>
        <w:left w:val="none" w:sz="0" w:space="0" w:color="auto"/>
        <w:bottom w:val="none" w:sz="0" w:space="0" w:color="auto"/>
        <w:right w:val="none" w:sz="0" w:space="0" w:color="auto"/>
      </w:divBdr>
    </w:div>
    <w:div w:id="952438288">
      <w:bodyDiv w:val="1"/>
      <w:marLeft w:val="0"/>
      <w:marRight w:val="0"/>
      <w:marTop w:val="0"/>
      <w:marBottom w:val="0"/>
      <w:divBdr>
        <w:top w:val="none" w:sz="0" w:space="0" w:color="auto"/>
        <w:left w:val="none" w:sz="0" w:space="0" w:color="auto"/>
        <w:bottom w:val="none" w:sz="0" w:space="0" w:color="auto"/>
        <w:right w:val="none" w:sz="0" w:space="0" w:color="auto"/>
      </w:divBdr>
    </w:div>
    <w:div w:id="1314023319">
      <w:bodyDiv w:val="1"/>
      <w:marLeft w:val="0"/>
      <w:marRight w:val="0"/>
      <w:marTop w:val="0"/>
      <w:marBottom w:val="0"/>
      <w:divBdr>
        <w:top w:val="none" w:sz="0" w:space="0" w:color="auto"/>
        <w:left w:val="none" w:sz="0" w:space="0" w:color="auto"/>
        <w:bottom w:val="none" w:sz="0" w:space="0" w:color="auto"/>
        <w:right w:val="none" w:sz="0" w:space="0" w:color="auto"/>
      </w:divBdr>
      <w:divsChild>
        <w:div w:id="2012642715">
          <w:marLeft w:val="446"/>
          <w:marRight w:val="0"/>
          <w:marTop w:val="0"/>
          <w:marBottom w:val="0"/>
          <w:divBdr>
            <w:top w:val="none" w:sz="0" w:space="0" w:color="auto"/>
            <w:left w:val="none" w:sz="0" w:space="0" w:color="auto"/>
            <w:bottom w:val="none" w:sz="0" w:space="0" w:color="auto"/>
            <w:right w:val="none" w:sz="0" w:space="0" w:color="auto"/>
          </w:divBdr>
        </w:div>
      </w:divsChild>
    </w:div>
    <w:div w:id="1561553754">
      <w:bodyDiv w:val="1"/>
      <w:marLeft w:val="0"/>
      <w:marRight w:val="0"/>
      <w:marTop w:val="0"/>
      <w:marBottom w:val="0"/>
      <w:divBdr>
        <w:top w:val="none" w:sz="0" w:space="0" w:color="auto"/>
        <w:left w:val="none" w:sz="0" w:space="0" w:color="auto"/>
        <w:bottom w:val="none" w:sz="0" w:space="0" w:color="auto"/>
        <w:right w:val="none" w:sz="0" w:space="0" w:color="auto"/>
      </w:divBdr>
    </w:div>
    <w:div w:id="20364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eastract.com"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Lauren</dc:creator>
  <cp:keywords/>
  <dc:description/>
  <cp:lastModifiedBy>Kelly, Lauren</cp:lastModifiedBy>
  <cp:revision>19</cp:revision>
  <cp:lastPrinted>2019-04-01T23:02:00Z</cp:lastPrinted>
  <dcterms:created xsi:type="dcterms:W3CDTF">2019-03-26T20:00:00Z</dcterms:created>
  <dcterms:modified xsi:type="dcterms:W3CDTF">2019-04-02T22:01:00Z</dcterms:modified>
</cp:coreProperties>
</file>