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Application: Baseball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 Case Name: 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 functions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Use Case Description: 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user logs into the admin page and then has access to several features the alter the database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Database must be filled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Trigger: 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 clicks on the “Admin login” button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logs in to admin page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shown admin page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any of the admin functions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 3 until the user clicks “Main Menu”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to menu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Alternate Flow: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“Admin login”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does not sign in correctly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an error message and prompt the user for username and password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 and 3 until the user successfully logs in or quits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Use Case Name: 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 display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Use Case Description: 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user sees a table of all of the program’s data and is able to manipulate that table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Database must be filled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Trigger: 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clicks on the “View Data” button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shown data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selects or deselects any filters or sorts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is updated to reflect changes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Repeat steps 2 and 3 until the user clicks “Main Menu”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to menu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 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Use Case Name: 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Trips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Use Case Description: 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user takes different types of trips to the stadiums of their choosing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Database must be filled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Trigger: 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clicks on the “custom trip” button or the “preset trips” button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“preset trips”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selects either DFS, BFS, MST, or Dijkstra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shown the results of their trip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Repeat steps 2 and 3 until the user selects another option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Alternate Flow 1: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“custom trip”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the stadiums they wish to visit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“Start Custom Trip”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shown the results of their trip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 through 4 until the user selects another option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Alternate Flow 2: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“custom trip”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the starting stadium for a complete trip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“Start Complete Trip”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shown the results of their trip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 through 4 until the user selects another option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