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titleHead"/>
        <w:spacing w:before="200" w:after="120"/>
        <w:rPr/>
      </w:pPr>
      <w:r>
        <w:rPr/>
        <w:t>Impacts of Taxes on Firm Entry Rates along State Borders</w:t>
      </w:r>
    </w:p>
    <w:p>
      <w:pPr>
        <w:pStyle w:val="TextBody"/>
        <w:spacing w:before="0" w:after="0"/>
        <w:rPr/>
      </w:pPr>
      <w:r>
        <w:rPr/>
        <w:t>Kevin D. Duncan</w:t>
      </w:r>
    </w:p>
    <w:p>
      <w:pPr>
        <w:pStyle w:val="TextBody"/>
        <w:rPr/>
      </w:pPr>
      <w:r>
        <w:rPr/>
      </w:r>
    </w:p>
    <w:p>
      <w:pPr>
        <w:pStyle w:val="TextBodynoindent"/>
        <w:rPr>
          <w:b/>
        </w:rPr>
      </w:pPr>
      <w:r>
        <w:rPr>
          <w:b/>
        </w:rPr>
        <w:t>Abstract</w:t>
      </w:r>
    </w:p>
    <w:p>
      <w:pPr>
        <w:pStyle w:val="TextBodyindent"/>
        <w:rPr/>
      </w:pPr>
      <w:r>
        <w:rPr/>
        <w:t xml:space="preserve">This paper uses a regression discontinuity approach to estimate the impacts of taxes on firm entry rates between neighboring states. We utilize matched county pairs as an approximate bandwidth around the discontinuity in state policies imposed at their border. This estimation strategy controls for unobserved location specific determinants of firm entry, as well as policy responses to shocks shared across borders. We estimate this impact using a sample of 107 state-border pairs between 1999 and 2009. We add to the literature by using the large array of top marginal tax rates, including property, income, sales, corporate, capital gains, workers compensation, and unemployment insurance tax rates. This controls for joint changes in tax rates that governments may implement to accomplish policy goals. Our results indicate that property, sales, and income taxes have the largest negative effect on firm start up rates. While </w:t>
      </w:r>
    </w:p>
    <w:p>
      <w:pPr>
        <w:pStyle w:val="Heading3"/>
        <w:rPr/>
      </w:pPr>
      <w:r>
        <w:rPr/>
        <w:t xml:space="preserve">1 </w:t>
      </w:r>
      <w:bookmarkStart w:id="0" w:name="x1-10001"/>
      <w:bookmarkEnd w:id="0"/>
      <w:r>
        <w:rPr/>
        <w:t>Introduction</w:t>
      </w:r>
    </w:p>
    <w:p>
      <w:pPr>
        <w:pStyle w:val="TextBodynoindent"/>
        <w:rPr/>
      </w:pPr>
      <w:r>
        <w:rPr/>
        <w:t xml:space="preserve">PLACEHOLDER, TO BE WRITTEN </w:t>
      </w:r>
    </w:p>
    <w:p>
      <w:pPr>
        <w:pStyle w:val="TextBodyindent"/>
        <w:rPr/>
      </w:pPr>
      <w:r>
        <w:rPr/>
        <w:t xml:space="preserve">This paper tests whether or not taxes impact firm entry rates. This topic has been constantly examined by economists over the years. One of the major unanswered questions is accounting for joint changes in tax policy when estimating these impacts. Traditionally researchers have only estimated a few taxes at once, while the levers of policy actions extend across a large array of tax rates. Comparably we include property, income, corporate, capital gains, sales, workers compensation, and unemployment insurance top marginal tax rates. </w:t>
      </w:r>
    </w:p>
    <w:p>
      <w:pPr>
        <w:pStyle w:val="TextBodyindent"/>
        <w:rPr/>
      </w:pPr>
      <w:r>
        <w:rPr/>
        <w:t xml:space="preserve">The paper proceeds in the following manner. First, we review literature relating to estimating the determinants of firm entry. We then provide a model to show how utilizing discontinuities along state borders allow researchers to control for location specific determinants of firm entry. Next, we explain our empirical design, which uses matched county pairs on either side of state borders to identify the effects on taxes on firm start up rates. We then provide estimates of these impacts. We conclude by showing which borders have the largest firm start up discrepancy, and talk about applications of our work. </w:t>
      </w:r>
    </w:p>
    <w:p>
      <w:pPr>
        <w:pStyle w:val="Heading3"/>
        <w:rPr/>
      </w:pPr>
      <w:r>
        <w:rPr/>
        <w:t xml:space="preserve">2 </w:t>
      </w:r>
      <w:bookmarkStart w:id="1" w:name="x1-20002"/>
      <w:bookmarkEnd w:id="1"/>
      <w:r>
        <w:rPr/>
        <w:t>Literature Review</w:t>
      </w:r>
    </w:p>
    <w:p>
      <w:pPr>
        <w:pStyle w:val="TextBodynoindent"/>
        <w:rPr/>
      </w:pPr>
      <w:r>
        <w:rPr/>
        <w:t xml:space="preserve">Study the location </w:t>
      </w:r>
      <w:r>
        <w:rPr/>
        <w:t>choice of firms rich history in economics. Tiebout (1956) argued that individuals sorted into locations based on their preferences for prices and public amenities. He posited that, because households can “vote with their feet,” counties have incentives to adjust their provision of services in order to attract residents.</w:t>
      </w:r>
      <w:r>
        <w:fldChar w:fldCharType="begin"/>
      </w:r>
      <w:r>
        <w:instrText> HYPERLINK "file:///home/kdduncan/papers/firm_entry/paper/master2.html" \l "fn1x0"</w:instrText>
      </w:r>
      <w:r>
        <w:fldChar w:fldCharType="separate"/>
      </w:r>
      <w:r>
        <w:rPr>
          <w:rStyle w:val="InternetLink"/>
        </w:rPr>
        <w:t>1</w:t>
      </w:r>
      <w:r>
        <w:fldChar w:fldCharType="end"/>
      </w:r>
      <w:r>
        <w:rPr/>
        <w:t xml:space="preserve"> </w:t>
      </w:r>
    </w:p>
    <w:p>
      <w:pPr>
        <w:pStyle w:val="TextBodyindent"/>
        <w:rPr/>
      </w:pPr>
      <w:r>
        <w:rPr/>
        <w:t xml:space="preserve">Guided by Tiebout’s model, the early firm entry literature focused on sorting over all available possible markets. McFadden (1974) provided a general framework for using the conditional Logit function to estimate firm entry choices over all available possible markets. Early papers such as Carlton (1979, 1983) and Schmenner (1975, 1982) failed to find incidence of taxes on firm entry rates, instead finding that higher taxes could attract more firms. </w:t>
      </w:r>
      <w:r>
        <w:rPr/>
        <w:t xml:space="preserve">As newer </w:t>
      </w:r>
      <w:r>
        <w:rPr/>
        <w:t xml:space="preserve">methods and data allowed for cleaner identification, authors started to more definitively show that taxes had an impact on business activity, including Wasylenko &amp; McGuire (1985), Bartick (1985), Papke (1991), and Hines (1996). </w:t>
      </w:r>
      <w:r>
        <w:rPr/>
        <w:t>The literature is not entirely one sided, and researchers continue to show conflicting direction and magnitude of these impacts.</w:t>
      </w:r>
      <w:r>
        <w:rPr/>
        <w:t xml:space="preserve"> Gabe and Bell (2004) </w:t>
      </w:r>
      <w:r>
        <w:rPr/>
        <w:t>used a pan-county sorting model in Maine to</w:t>
      </w:r>
      <w:r>
        <w:rPr/>
        <w:t xml:space="preserve"> show </w:t>
      </w:r>
      <w:r>
        <w:rPr/>
        <w:t>that increasing</w:t>
      </w:r>
      <w:r>
        <w:rPr/>
        <w:t xml:space="preserve"> taxes and government spending on education causes no distortion on firm entry rates.</w:t>
      </w:r>
    </w:p>
    <w:p>
      <w:pPr>
        <w:pStyle w:val="TextBodyindent"/>
        <w:rPr/>
      </w:pPr>
      <w:r>
        <w:rPr/>
        <w:t xml:space="preserve">A review of </w:t>
      </w:r>
      <w:r>
        <w:rPr/>
        <w:t>large sorting model</w:t>
      </w:r>
      <w:r>
        <w:rPr/>
        <w:t xml:space="preserve"> estimates was done by Arauzo-Carod et al (2010). In their review they show that agglomeration and market size tend to have a significant positive effect, while wages and taxes act in the opposite direction. Further, the findings on the effect of property values as is implied in the traditional Tiebout models is even weaker. </w:t>
      </w:r>
      <w:r>
        <w:rPr/>
        <w:t>Another review of empirical Tiebout models was done by</w:t>
      </w:r>
      <w:r>
        <w:rPr/>
        <w:t xml:space="preserve"> Dowding, John, and Biggs (1994). </w:t>
      </w:r>
      <w:r>
        <w:rPr/>
        <w:t>which closely mirrors Arauzo-Carod et al's review.</w:t>
      </w:r>
    </w:p>
    <w:p>
      <w:pPr>
        <w:pStyle w:val="TextBodyindent"/>
        <w:rPr/>
      </w:pPr>
      <w:r>
        <w:rPr/>
        <w:t>Increasingly researchers have utilized border-difference technique to establish local estimates of the impacts of taxes on firm entry rates. This method controls for endogeneity of government policy in response to local economic outcomes. For example, high economic activity states may raise their taxes knowing that local agglomeration factors will continue to attract an asymmetrically high amount of new firm start ups, while low economic activity states may lower taxes to attract new businesses.</w:t>
      </w:r>
      <w:r>
        <w:fldChar w:fldCharType="begin"/>
      </w:r>
      <w:r>
        <w:instrText> HYPERLINK "file:///home/kdduncan/papers/firm_entry/paper/master3.html" \l "fn2x0"</w:instrText>
      </w:r>
      <w:r>
        <w:fldChar w:fldCharType="separate"/>
      </w:r>
      <w:r>
        <w:rPr>
          <w:rStyle w:val="InternetLink"/>
        </w:rPr>
        <w:t>2</w:t>
      </w:r>
      <w:r>
        <w:fldChar w:fldCharType="end"/>
      </w:r>
      <w:bookmarkStart w:id="2" w:name="x1-2002f2"/>
      <w:bookmarkEnd w:id="2"/>
      <w:r>
        <w:rPr/>
        <w:t xml:space="preserve"> This response would upwards-bias the estimate of the impacts of taxes </w:t>
      </w:r>
      <w:r>
        <w:rPr/>
        <w:t>in ordinary least squares results</w:t>
      </w:r>
      <w:r>
        <w:rPr/>
        <w:t xml:space="preserve">. Using the differences in firm entry rates along state borders controls for local agglomeration factors, and treat differences in policy variables as exogenous. </w:t>
      </w:r>
    </w:p>
    <w:p>
      <w:pPr>
        <w:pStyle w:val="TextBodyindent"/>
        <w:rPr/>
      </w:pPr>
      <w:r>
        <w:rPr/>
        <w:t>Th</w:t>
      </w:r>
      <w:r>
        <w:rPr/>
        <w:t>e</w:t>
      </w:r>
      <w:r>
        <w:rPr/>
        <w:t xml:space="preserve"> technique relies on the assumption that new firms pick entry locations within a local choice set, </w:t>
      </w:r>
      <w:r>
        <w:rPr/>
        <w:t>rather than over all available counties</w:t>
      </w:r>
      <w:r>
        <w:rPr/>
        <w:t xml:space="preserve">. Recent studies on agglomeration economies seem to support this view. Rosenthal and Strange (2003, 2005), and Arzaghi and Henderson (2008)) show that entrepreneurs weight potential locations within a mile of their current location significantly higher than distances further away. Use of border discontinuity designs started with Holmes’ (1998) analysis of right to work laws on manufacturing employment growth. In Holmes’ paper, he uses right to work status as a proxy for an unobserved cost of being on either side of a state border imposed by ”pro” and ”anti” business policies. He then tested whether or not right to work status affected manufacturing employment growth. His estimates found that counties that have right to work status attract more manufacturing firms than states without right to work status. </w:t>
      </w:r>
    </w:p>
    <w:p>
      <w:pPr>
        <w:pStyle w:val="TextBodyindent"/>
        <w:rPr/>
      </w:pPr>
      <w:r>
        <w:rPr/>
        <w:t xml:space="preserve">Since Holms’s study, this technique has been adopted by researchers looking to identify effects of additional state policies, including minimum wages (Dube et al, 2008; Rohlin, 2011), welfare (McKinnish, 2005; 2007), and school quality (Dhar and Ross, 2012). Recent papers looking at the impacts of taxes on firm start up rates, including Rathelot and Sillard (2008), Duranton et al (2011), and Rohlin, Rosenthal, and Ross (2014). </w:t>
      </w:r>
    </w:p>
    <w:p>
      <w:pPr>
        <w:pStyle w:val="TextBodyindent"/>
        <w:rPr/>
      </w:pPr>
      <w:r>
        <w:rPr/>
        <w:t xml:space="preserve">Rohlin (2011) looked at the impact of minimum wages on firm start up rates using aggregated data. By utilizing the Dun and Bradstreet Marketplace data files Rohlin constructed bands around state borders, and then derived estimates on the impact of minimum wage changes on firm start up rates. He showed that increasing the minimum wage decreased new establishment activity in industries that relied heavily on minimum wage workers, but that changes in the minimum wage did not decrease employment in existing establishments. </w:t>
      </w:r>
    </w:p>
    <w:p>
      <w:pPr>
        <w:pStyle w:val="TextBodyindent"/>
        <w:rPr/>
      </w:pPr>
      <w:r>
        <w:rPr/>
        <w:t xml:space="preserve">Chirinko and Wilson (2008) use a border discontinuity technique to estimate the impact of state investment tax credits on firm start up rates. Rathelot and Sillard (2008) use the border discontinuity technique in a Probit model to show that increasing the total tax rate differential increases the probability of a firm picking a side between 1-5%. Duranton, et al (2011) difference firm entry rates in neighboring areas to estimate the impact of taxes on employment. While their traditional OLS estimates (without the spatial difference) show a positive relationship between taxes and firm entry rates, after applying the spatial difference, taxes negatively impact firm start up rates. </w:t>
      </w:r>
    </w:p>
    <w:p>
      <w:pPr>
        <w:pStyle w:val="TextBodyindent"/>
        <w:rPr/>
      </w:pPr>
      <w:r>
        <w:rPr/>
        <w:t xml:space="preserve">A recent paper by Rohlin, Ross, and Rosenthal (2014) mirrors our paper very closely. They estimate a linear probability model of firm entry using a border difference estimator. They use GIS coded data to get a closer bandwidth to the border than our method, and show that increasing the personal income tax differential actually increases the likelihood of firms entering on one side of the border. However, they show that increasing the corporate and sales tax differential can drastically reduce the relative firm entry probability. </w:t>
      </w:r>
    </w:p>
    <w:p>
      <w:pPr>
        <w:pStyle w:val="TextBodyindent"/>
        <w:rPr/>
      </w:pPr>
      <w:r>
        <w:rPr/>
        <w:t xml:space="preserve">Rohlin et al utilize a measure of state-level government expenditures per capita, and utilize Tax Foundation data on top marginal sales, corporate, and personal income tax rates from 2000 to 2003. They estimate a linear probability model of the chance that a firm enters onto one side of the border. They then use reciprocal agreements on where individuals pay income taxes based on location of work rather than location of residence to try to control for proper allocation of tax burdens on each side of the state, and to provide additional strength in identification. Finally, they then use zip code level data to estimate average entry along each side of the border. Both with and without the reciprocal agreements in place, they show that there is a negative impact of increasing the tax differential between states on the probability of firm entry. </w:t>
      </w:r>
    </w:p>
    <w:p>
      <w:pPr>
        <w:pStyle w:val="TextBodyindent"/>
        <w:rPr/>
      </w:pPr>
      <w:r>
        <w:rPr/>
        <w:t xml:space="preserve">Our paper differs by having a considerably larger number of tax policy variables, thus better controlling for other tax policies that may be impact business activity. Moreover, we also include a longer time series than Rohlin et al, providing additional variation in state level tax policies over our window. We differ </w:t>
      </w:r>
      <w:r>
        <w:rPr/>
        <w:t>using coarser</w:t>
      </w:r>
      <w:r>
        <w:rPr/>
        <w:t xml:space="preserve"> county level data, rather than the finer zip code level data that Rohlin et al use, </w:t>
      </w:r>
      <w:r>
        <w:rPr/>
        <w:t>which admittedly</w:t>
      </w:r>
      <w:r>
        <w:rPr/>
        <w:t xml:space="preserve"> provides a much finer bandwidth to identify the </w:t>
      </w:r>
      <w:r>
        <w:rPr/>
        <w:t>relevant effects.</w:t>
      </w:r>
    </w:p>
    <w:p>
      <w:pPr>
        <w:pStyle w:val="TextBodyindent"/>
        <w:rPr/>
      </w:pPr>
      <w:r>
        <w:rPr/>
        <w:t xml:space="preserve">A major issue with the existing literature is the failure to settle on the best variables to use for identifying the effects of taxes on firm start up rates. Carlton (1983) used top marginal tax rates for corporate and income tax, but weighted them together, as well as property tax rates. Schmenner (1987) uses state and local property tax revenues per dollar of personal income. Helms (1985) used a budget constraint to estimate the impacts of rising tax revenue on explanatory variables. All three versions have modern equivalents and the literature has not settled on a single best practice to recover the proper marginal effects. </w:t>
      </w:r>
    </w:p>
    <w:p>
      <w:pPr>
        <w:pStyle w:val="TextBodyindent"/>
        <w:rPr/>
      </w:pPr>
      <w:r>
        <w:rPr/>
        <w:t xml:space="preserve">Theory indicates that marginal tax rates are what matter to individuals </w:t>
      </w:r>
      <w:r>
        <w:rPr/>
        <w:t>and firms</w:t>
      </w:r>
      <w:r>
        <w:rPr/>
        <w:t xml:space="preserve">, and measures of average tax burden change due to both fluctuations in wages or profits, as well as to changes in tax rates. Using average tax rates may add endogeneity into models. Also, politicians may alter multiple taxes at once in order to accomplish policy goals, such that excluding taxes may imply omitted variable bias. Therefore, we argue that using top marginal tax rates is the preferred method of estimating marginal effects of taxes. </w:t>
      </w:r>
    </w:p>
    <w:p>
      <w:pPr>
        <w:pStyle w:val="TextBodyindent"/>
        <w:rPr/>
      </w:pPr>
      <w:r>
        <w:rPr/>
        <w:t xml:space="preserve">From the literature, we see that on average taxes negatively impact firm start up rates, especially as researchers have gone from studying sorting over all available entry choices, to local choices along policy discontinuities. However, how taxes are calculated and used in studies differs wildly among authors. Various studies have used measures of average tax revenue, added together top marginal tax rates, or included a single available tax rate. As a result, we employ more recent spatial difference techniques to get a clear estimate, while employing a larger array of top marginal tax rates than other authors. </w:t>
      </w:r>
    </w:p>
    <w:p>
      <w:pPr>
        <w:pStyle w:val="Heading3"/>
        <w:rPr/>
      </w:pPr>
      <w:r>
        <w:rPr/>
        <w:t xml:space="preserve">3 </w:t>
      </w:r>
      <w:bookmarkStart w:id="3" w:name="x1-30003"/>
      <w:bookmarkEnd w:id="3"/>
      <w:r>
        <w:rPr/>
        <w:t>Theory</w:t>
      </w:r>
    </w:p>
    <w:p>
      <w:pPr>
        <w:pStyle w:val="TextBodynoindent"/>
        <w:rPr/>
      </w:pPr>
      <w:r>
        <w:rPr/>
        <w:t xml:space="preserve">As entrepreneurs and firms look to start up a business in a new location they first choose a market to enter. This choice is due to primary considerations such as labor market characteristics, or location preferences of the owner. They then pick among possible locations within that market. Our model looks at choice of firm entry across state borders, such that individuals have mobility across the border. As a result, firms treat location specific determinants of profit as the same on both sides of the border. This process leaves policy </w:t>
      </w:r>
      <w:r>
        <w:rPr/>
        <w:t xml:space="preserve">differences as the only </w:t>
      </w:r>
      <w:r>
        <w:rPr/>
        <w:t xml:space="preserve">remaining difference in expected profits. We formalize the conditions for this process below. </w:t>
      </w:r>
    </w:p>
    <w:p>
      <w:pPr>
        <w:pStyle w:val="TextBodyindent"/>
        <w:rPr/>
      </w:pPr>
      <w:r>
        <w:rPr/>
        <w:t xml:space="preserve">Assume there exists a spatial equilibrium where wages and capital costs adjust to equalize profits across space, conditional on local tax and location specific variables affecting firm level productivity. If markets are competitive, firms will earn zero economic profits in the long run, but in the short run, demand or policy shocks can result in short run profits (or losses). We expect that if a state raises its taxes relative to its neighbors, , higher relative production costs and lower relative profits will exist for counties in that state. Firms looking to locate in that market will, all else equal, choose the lower cost side of the border. The higher relative taxes rates will deter firms from entering. Over time, entry on the lower tax side of the border will bid up prices until after-tax prices, and profits, equalize on either side of the state border. Prices can be proxied by the tax rates directly. Firms make decisions based on information from the previous year, as governments might concurrently change policy along with market entry and there may exist costs to establishing a business. </w:t>
      </w:r>
    </w:p>
    <w:p>
      <w:pPr>
        <w:pStyle w:val="TextBodynoindent"/>
        <w:spacing w:before="0" w:after="0"/>
        <w:rPr/>
      </w:pPr>
      <w:r>
        <w:rPr>
          <w:b/>
        </w:rPr>
        <w:t>Assumption 1.</w:t>
      </w:r>
      <w:r>
        <w:rPr/>
        <w:t xml:space="preserve"> </w:t>
      </w:r>
      <w:r>
        <w:rPr>
          <w:i/>
        </w:rPr>
        <w:t>Assume that a firms’ profit can be expressed as a linear function, for a given</w:t>
      </w:r>
      <w:r>
        <w:rPr/>
        <w:t xml:space="preserve"> </w:t>
      </w:r>
      <w:r>
        <w:rPr>
          <w:i/>
        </w:rPr>
        <w:t xml:space="preserve">location, state, and time pair denoted </w:t>
      </w:r>
      <w:r>
        <w:rPr/>
        <w:t>(</w:t>
      </w:r>
      <w:r>
        <w:rPr>
          <w:i/>
        </w:rPr>
        <w:t>i,j,t</w:t>
      </w:r>
      <w:r>
        <w:rPr/>
        <w:t>)</w:t>
      </w:r>
      <w:r>
        <w:rPr>
          <w:i/>
        </w:rPr>
        <w:t>,</w:t>
      </w:r>
      <w:r>
        <w:rPr/>
        <w:t xml:space="preserve"> </w:t>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4166"/>
        <w:gridCol w:w="422"/>
      </w:tblGrid>
      <w:tr>
        <w:trPr>
          <w:cantSplit w:val="false"/>
        </w:trPr>
        <w:tc>
          <w:tcPr>
            <w:tcW w:w="4166" w:type="dxa"/>
            <w:tcBorders>
              <w:top w:val="nil"/>
              <w:left w:val="nil"/>
              <w:bottom w:val="nil"/>
              <w:insideH w:val="nil"/>
              <w:right w:val="nil"/>
              <w:insideV w:val="nil"/>
            </w:tcBorders>
            <w:shd w:fill="auto" w:val="clear"/>
            <w:vAlign w:val="center"/>
          </w:tcPr>
          <w:p>
            <w:pPr>
              <w:pStyle w:val="TableContents"/>
              <w:spacing w:before="0" w:after="0"/>
              <w:jc w:val="center"/>
              <w:rPr/>
            </w:pPr>
            <w:bookmarkStart w:id="4" w:name="x1-3002r1"/>
            <w:bookmarkEnd w:id="4"/>
            <w:r>
              <w:rPr/>
              <w:drawing>
                <wp:inline distT="0" distB="0" distL="0" distR="0">
                  <wp:extent cx="2581275" cy="1524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link="rId2"/>
                          <a:stretch>
                            <a:fillRect/>
                          </a:stretch>
                        </pic:blipFill>
                        <pic:spPr bwMode="auto">
                          <a:xfrm>
                            <a:off x="0" y="0"/>
                            <a:ext cx="2581275" cy="152400"/>
                          </a:xfrm>
                          <a:prstGeom prst="rect">
                            <a:avLst/>
                          </a:prstGeom>
                          <a:noFill/>
                          <a:ln w="9525">
                            <a:noFill/>
                            <a:miter lim="800000"/>
                            <a:headEnd/>
                            <a:tailEnd/>
                          </a:ln>
                        </pic:spPr>
                      </pic:pic>
                    </a:graphicData>
                  </a:graphic>
                </wp:inline>
              </w:drawing>
            </w:r>
          </w:p>
        </w:tc>
        <w:tc>
          <w:tcPr>
            <w:tcW w:w="422" w:type="dxa"/>
            <w:tcBorders>
              <w:top w:val="nil"/>
              <w:left w:val="nil"/>
              <w:bottom w:val="nil"/>
              <w:insideH w:val="nil"/>
              <w:right w:val="nil"/>
              <w:insideV w:val="nil"/>
            </w:tcBorders>
            <w:shd w:fill="auto" w:val="clear"/>
            <w:vAlign w:val="center"/>
          </w:tcPr>
          <w:p>
            <w:pPr>
              <w:pStyle w:val="TableContents"/>
              <w:spacing w:before="0" w:after="283"/>
              <w:rPr/>
            </w:pPr>
            <w:r>
              <w:rPr/>
              <w:t>(1)</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1196"/>
        <w:gridCol w:w="422"/>
      </w:tblGrid>
      <w:tr>
        <w:trPr>
          <w:cantSplit w:val="false"/>
        </w:trPr>
        <w:tc>
          <w:tcPr>
            <w:tcW w:w="1196" w:type="dxa"/>
            <w:tcBorders>
              <w:top w:val="nil"/>
              <w:left w:val="nil"/>
              <w:bottom w:val="nil"/>
              <w:insideH w:val="nil"/>
              <w:right w:val="nil"/>
              <w:insideV w:val="nil"/>
            </w:tcBorders>
            <w:shd w:fill="auto" w:val="clear"/>
            <w:vAlign w:val="center"/>
          </w:tcPr>
          <w:p>
            <w:pPr>
              <w:pStyle w:val="TableContents"/>
              <w:spacing w:before="0" w:after="0"/>
              <w:jc w:val="center"/>
              <w:rPr/>
            </w:pPr>
            <w:r>
              <w:rPr/>
              <w:drawing>
                <wp:inline distT="0" distB="0" distL="0" distR="0">
                  <wp:extent cx="695325" cy="1714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link="rId3"/>
                          <a:stretch>
                            <a:fillRect/>
                          </a:stretch>
                        </pic:blipFill>
                        <pic:spPr bwMode="auto">
                          <a:xfrm>
                            <a:off x="0" y="0"/>
                            <a:ext cx="695325" cy="171450"/>
                          </a:xfrm>
                          <a:prstGeom prst="rect">
                            <a:avLst/>
                          </a:prstGeom>
                          <a:noFill/>
                          <a:ln w="9525">
                            <a:noFill/>
                            <a:miter lim="800000"/>
                            <a:headEnd/>
                            <a:tailEnd/>
                          </a:ln>
                        </pic:spPr>
                      </pic:pic>
                    </a:graphicData>
                  </a:graphic>
                </wp:inline>
              </w:drawing>
            </w:r>
          </w:p>
        </w:tc>
        <w:tc>
          <w:tcPr>
            <w:tcW w:w="422" w:type="dxa"/>
            <w:tcBorders>
              <w:top w:val="nil"/>
              <w:left w:val="nil"/>
              <w:bottom w:val="nil"/>
              <w:insideH w:val="nil"/>
              <w:right w:val="nil"/>
              <w:insideV w:val="nil"/>
            </w:tcBorders>
            <w:shd w:fill="auto" w:val="clear"/>
            <w:vAlign w:val="center"/>
          </w:tcPr>
          <w:p>
            <w:pPr>
              <w:pStyle w:val="TableContents"/>
              <w:spacing w:before="0" w:after="283"/>
              <w:rPr/>
            </w:pPr>
            <w:r>
              <w:rPr/>
              <w:t>(2)</w:t>
            </w:r>
          </w:p>
        </w:tc>
      </w:tr>
    </w:tbl>
    <w:p>
      <w:pPr>
        <w:pStyle w:val="TextBodynopar"/>
        <w:rPr/>
      </w:pPr>
      <w:r>
        <w:rPr>
          <w:i/>
        </w:rPr>
        <w:t>Z</w:t>
      </w:r>
      <w:r>
        <w:rPr>
          <w:i/>
          <w:position w:val="-7"/>
          <w:sz w:val="19"/>
        </w:rPr>
        <w:t>t</w:t>
      </w:r>
      <w:r>
        <w:rPr>
          <w:position w:val="-7"/>
          <w:sz w:val="19"/>
        </w:rPr>
        <w:t>-1</w:t>
      </w:r>
      <w:r>
        <w:rPr/>
        <w:t xml:space="preserve"> </w:t>
      </w:r>
      <w:r>
        <w:rPr>
          <w:i/>
        </w:rPr>
        <w:t xml:space="preserve">is a </w:t>
      </w:r>
      <w:r>
        <w:rPr/>
        <w:t>1 ×</w:t>
      </w:r>
      <w:r>
        <w:rPr>
          <w:i/>
        </w:rPr>
        <w:t>K</w:t>
      </w:r>
      <w:r>
        <w:rPr>
          <w:position w:val="-7"/>
          <w:sz w:val="19"/>
        </w:rPr>
        <w:t>1</w:t>
      </w:r>
      <w:r>
        <w:rPr/>
        <w:t xml:space="preserve"> </w:t>
      </w:r>
      <w:r>
        <w:rPr>
          <w:i/>
        </w:rPr>
        <w:t xml:space="preserve">row vector of </w:t>
      </w:r>
      <w:r>
        <w:rPr>
          <w:i/>
        </w:rPr>
        <w:t xml:space="preserve">fixed </w:t>
      </w:r>
      <w:r>
        <w:rPr>
          <w:i/>
        </w:rPr>
        <w:t>location specific terms, and X</w:t>
      </w:r>
      <w:r>
        <w:rPr>
          <w:i/>
          <w:position w:val="-7"/>
          <w:sz w:val="19"/>
        </w:rPr>
        <w:t>t</w:t>
      </w:r>
      <w:r>
        <w:rPr>
          <w:position w:val="-7"/>
          <w:sz w:val="19"/>
        </w:rPr>
        <w:t>-1</w:t>
      </w:r>
      <w:r>
        <w:rPr/>
        <w:t xml:space="preserve"> </w:t>
      </w:r>
      <w:r>
        <w:rPr>
          <w:i/>
        </w:rPr>
        <w:t xml:space="preserve">is a </w:t>
      </w:r>
      <w:r>
        <w:rPr/>
        <w:t>1 ×</w:t>
      </w:r>
      <w:r>
        <w:rPr>
          <w:i/>
        </w:rPr>
        <w:t>K</w:t>
      </w:r>
      <w:r>
        <w:rPr>
          <w:position w:val="-7"/>
          <w:sz w:val="19"/>
        </w:rPr>
        <w:t>2</w:t>
      </w:r>
      <w:r>
        <w:rPr/>
        <w:t xml:space="preserve"> </w:t>
      </w:r>
      <w:r>
        <w:rPr>
          <w:i/>
        </w:rPr>
        <w:t xml:space="preserve">row vector of </w:t>
      </w:r>
      <w:r>
        <w:rPr>
          <w:i/>
        </w:rPr>
        <w:t xml:space="preserve">fixed </w:t>
      </w:r>
      <w:r>
        <w:rPr>
          <w:i/>
        </w:rPr>
        <w:t>state</w:t>
      </w:r>
      <w:r>
        <w:rPr/>
        <w:t xml:space="preserve"> </w:t>
      </w:r>
      <w:r>
        <w:rPr>
          <w:i/>
        </w:rPr>
        <w:t xml:space="preserve">specific terms, and γ,β are location and state specific </w:t>
      </w:r>
      <w:r>
        <w:rPr>
          <w:i/>
        </w:rPr>
        <w:t>coefficients</w:t>
      </w:r>
      <w:r>
        <w:rPr>
          <w:i/>
        </w:rPr>
        <w:t>.</w:t>
      </w:r>
      <w:r>
        <w:rPr/>
        <w:t xml:space="preserve"> </w:t>
      </w:r>
    </w:p>
    <w:p>
      <w:pPr>
        <w:pStyle w:val="TextBodyindent"/>
        <w:rPr/>
      </w:pPr>
      <w:r>
        <w:rPr/>
        <w:t xml:space="preserve">Location specific variables include local agglomeration measures, labor market characteristics such as educational attainment, and other local factors that may affect firm productivity. State-level variables include taxes, regulatory policies, and government expenditures. Both sets of variables may evolve over time. Therefore this assumption simply states that the policy variables enter directly into the profit function, and that it is shared across all firm types. </w:t>
      </w:r>
    </w:p>
    <w:p>
      <w:pPr>
        <w:pStyle w:val="TextBodyindent"/>
        <w:spacing w:before="0" w:after="0"/>
        <w:rPr/>
      </w:pPr>
      <w:r>
        <w:rPr/>
        <w:t>Now let us focus on a market that is defined by the interval [-1</w:t>
      </w:r>
      <w:r>
        <w:rPr>
          <w:i/>
        </w:rPr>
        <w:t xml:space="preserve">, </w:t>
      </w:r>
      <w:r>
        <w:rPr/>
        <w:t xml:space="preserve">1], such that for firms at location </w:t>
      </w:r>
      <w:r>
        <w:rPr>
          <w:i/>
        </w:rPr>
        <w:t xml:space="preserve">i </w:t>
      </w:r>
      <w:r>
        <w:rPr/>
        <w:t>∈ [-1</w:t>
      </w:r>
      <w:r>
        <w:rPr>
          <w:i/>
        </w:rPr>
        <w:t xml:space="preserve">, </w:t>
      </w:r>
      <w:r>
        <w:rPr/>
        <w:t xml:space="preserve">0) are in state A, and firms at location </w:t>
      </w:r>
      <w:r>
        <w:rPr>
          <w:i/>
        </w:rPr>
        <w:t xml:space="preserve">i </w:t>
      </w:r>
      <w:r>
        <w:rPr/>
        <w:t>∈ [0</w:t>
      </w:r>
      <w:r>
        <w:rPr>
          <w:i/>
        </w:rPr>
        <w:t xml:space="preserve">, </w:t>
      </w:r>
      <w:r>
        <w:rPr/>
        <w:t xml:space="preserve">1] are in state B. If a firm has two choices, </w:t>
      </w:r>
      <w:r>
        <w:rPr>
          <w:i/>
        </w:rPr>
        <w:t xml:space="preserve">y </w:t>
      </w:r>
      <w:r>
        <w:rPr/>
        <w:t>∈ [-1</w:t>
      </w:r>
      <w:r>
        <w:rPr>
          <w:i/>
        </w:rPr>
        <w:t xml:space="preserve">, </w:t>
      </w:r>
      <w:r>
        <w:rPr/>
        <w:t xml:space="preserve">0) and </w:t>
      </w:r>
      <w:r>
        <w:rPr>
          <w:i/>
        </w:rPr>
        <w:t>ŷ</w:t>
      </w:r>
      <w:r>
        <w:rPr/>
        <w:t xml:space="preserve"> ∈ [0</w:t>
      </w:r>
      <w:r>
        <w:rPr>
          <w:i/>
        </w:rPr>
        <w:t xml:space="preserve">, </w:t>
      </w:r>
      <w:r>
        <w:rPr/>
        <w:t xml:space="preserve">1], the firm chooses </w:t>
      </w:r>
      <w:r>
        <w:rPr>
          <w:i/>
        </w:rPr>
        <w:t xml:space="preserve">y </w:t>
      </w:r>
      <w:r>
        <w:rPr/>
        <w:t xml:space="preserve">over </w:t>
      </w:r>
      <w:r>
        <w:rPr>
          <w:i/>
        </w:rPr>
        <w:t>ŷ</w:t>
      </w:r>
      <w:r>
        <w:rPr/>
        <w:t xml:space="preserve"> if </w:t>
      </w:r>
      <w:r>
        <w:rPr/>
        <w:t>and only if</w:t>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276"/>
        <w:gridCol w:w="422"/>
      </w:tblGrid>
      <w:tr>
        <w:trPr>
          <w:cantSplit w:val="false"/>
        </w:trPr>
        <w:tc>
          <w:tcPr>
            <w:tcW w:w="2276" w:type="dxa"/>
            <w:tcBorders>
              <w:top w:val="nil"/>
              <w:left w:val="nil"/>
              <w:bottom w:val="nil"/>
              <w:insideH w:val="nil"/>
              <w:right w:val="nil"/>
              <w:insideV w:val="nil"/>
            </w:tcBorders>
            <w:shd w:fill="auto" w:val="clear"/>
            <w:vAlign w:val="center"/>
          </w:tcPr>
          <w:p>
            <w:pPr>
              <w:pStyle w:val="TableContents"/>
              <w:spacing w:before="0" w:after="0"/>
              <w:jc w:val="center"/>
              <w:rPr/>
            </w:pPr>
            <w:bookmarkStart w:id="5" w:name="x1-3004r3"/>
            <w:bookmarkEnd w:id="5"/>
            <w:r>
              <w:rPr/>
              <w:drawing>
                <wp:inline distT="0" distB="0" distL="0" distR="0">
                  <wp:extent cx="1381125" cy="17145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link="rId4"/>
                          <a:stretch>
                            <a:fillRect/>
                          </a:stretch>
                        </pic:blipFill>
                        <pic:spPr bwMode="auto">
                          <a:xfrm>
                            <a:off x="0" y="0"/>
                            <a:ext cx="1381125" cy="171450"/>
                          </a:xfrm>
                          <a:prstGeom prst="rect">
                            <a:avLst/>
                          </a:prstGeom>
                          <a:noFill/>
                          <a:ln w="9525">
                            <a:noFill/>
                            <a:miter lim="800000"/>
                            <a:headEnd/>
                            <a:tailEnd/>
                          </a:ln>
                        </pic:spPr>
                      </pic:pic>
                    </a:graphicData>
                  </a:graphic>
                </wp:inline>
              </w:drawing>
            </w:r>
          </w:p>
        </w:tc>
        <w:tc>
          <w:tcPr>
            <w:tcW w:w="422" w:type="dxa"/>
            <w:tcBorders>
              <w:top w:val="nil"/>
              <w:left w:val="nil"/>
              <w:bottom w:val="nil"/>
              <w:insideH w:val="nil"/>
              <w:right w:val="nil"/>
              <w:insideV w:val="nil"/>
            </w:tcBorders>
            <w:shd w:fill="auto" w:val="clear"/>
            <w:vAlign w:val="center"/>
          </w:tcPr>
          <w:p>
            <w:pPr>
              <w:pStyle w:val="TableContents"/>
              <w:spacing w:before="0" w:after="283"/>
              <w:rPr/>
            </w:pPr>
            <w:r>
              <w:rPr/>
              <w:t>(3)</w:t>
            </w:r>
          </w:p>
        </w:tc>
      </w:tr>
    </w:tbl>
    <w:p>
      <w:pPr>
        <w:pStyle w:val="TextBodynoindent"/>
        <w:rPr/>
      </w:pPr>
      <w:r>
        <w:rPr>
          <w:b/>
        </w:rPr>
        <w:t>Assumption 2.</w:t>
      </w:r>
      <w:r>
        <w:rPr/>
        <w:t xml:space="preserve"> </w:t>
      </w:r>
      <w:r>
        <w:rPr>
          <w:i/>
        </w:rPr>
        <w:t>β</w:t>
      </w:r>
      <w:r>
        <w:rPr>
          <w:i/>
          <w:position w:val="-7"/>
          <w:sz w:val="19"/>
        </w:rPr>
        <w:t>j</w:t>
      </w:r>
      <w:r>
        <w:rPr>
          <w:i/>
        </w:rPr>
        <w:t>,γ</w:t>
      </w:r>
      <w:r>
        <w:rPr>
          <w:i/>
          <w:position w:val="-7"/>
          <w:sz w:val="19"/>
        </w:rPr>
        <w:t>i</w:t>
      </w:r>
      <w:r>
        <w:rPr/>
        <w:t xml:space="preserve"> </w:t>
      </w:r>
      <w:r>
        <w:rPr>
          <w:i/>
        </w:rPr>
        <w:t>and Z</w:t>
      </w:r>
      <w:r>
        <w:rPr>
          <w:i/>
          <w:position w:val="-7"/>
          <w:sz w:val="19"/>
        </w:rPr>
        <w:t>t</w:t>
      </w:r>
      <w:r>
        <w:rPr>
          <w:position w:val="-7"/>
          <w:sz w:val="19"/>
        </w:rPr>
        <w:t>-1</w:t>
      </w:r>
      <w:r>
        <w:rPr/>
        <w:t xml:space="preserve"> </w:t>
      </w:r>
      <w:r>
        <w:rPr>
          <w:i/>
        </w:rPr>
        <w:t xml:space="preserve">are continuous locally for at least some distance ϵ &gt; </w:t>
      </w:r>
      <w:r>
        <w:rPr/>
        <w:t xml:space="preserve">0 </w:t>
      </w:r>
      <w:r>
        <w:rPr>
          <w:i/>
        </w:rPr>
        <w:t>around all border points between two states.</w:t>
      </w:r>
      <w:r>
        <w:rPr/>
        <w:t xml:space="preserve"> </w:t>
      </w:r>
    </w:p>
    <w:p>
      <w:pPr>
        <w:pStyle w:val="TextBodyindent"/>
        <w:rPr/>
      </w:pPr>
      <w:r>
        <w:rPr/>
        <w:t xml:space="preserve">This states that as location </w:t>
      </w:r>
      <w:r>
        <w:rPr>
          <w:i/>
        </w:rPr>
        <w:t xml:space="preserve">y </w:t>
      </w:r>
      <w:r>
        <w:rPr/>
        <w:t xml:space="preserve">and location </w:t>
      </w:r>
      <w:r>
        <w:rPr>
          <w:i/>
        </w:rPr>
        <w:t>ŷ</w:t>
      </w:r>
      <w:r>
        <w:rPr/>
        <w:t xml:space="preserve"> get asymptotically close to the border, the difference between unobserved location specific fixed effects and observed location specific variables converge to zero. This is a technical illustration of labor and capital mobility in close geographic areas. As the distance between the two locations increases this may no longer be the case, as illustrated in Holmes (1998). </w:t>
      </w:r>
    </w:p>
    <w:p>
      <w:pPr>
        <w:pStyle w:val="TextBodyindent"/>
        <w:spacing w:before="0" w:after="0"/>
        <w:rPr/>
      </w:pPr>
      <w:r>
        <w:rPr/>
        <w:t>Therefore, conditional on firms choosing locations (</w:t>
      </w:r>
      <w:r>
        <w:rPr>
          <w:i/>
        </w:rPr>
        <w:t>y,ŷ</w:t>
      </w:r>
      <w:r>
        <w:rPr/>
        <w:t xml:space="preserve">) arbitrarily close to the border, the profit function becomes, </w:t>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5456"/>
        <w:gridCol w:w="422"/>
      </w:tblGrid>
      <w:tr>
        <w:trPr>
          <w:cantSplit w:val="false"/>
        </w:trPr>
        <w:tc>
          <w:tcPr>
            <w:tcW w:w="5456" w:type="dxa"/>
            <w:tcBorders>
              <w:top w:val="nil"/>
              <w:left w:val="nil"/>
              <w:bottom w:val="nil"/>
              <w:insideH w:val="nil"/>
              <w:right w:val="nil"/>
              <w:insideV w:val="nil"/>
            </w:tcBorders>
            <w:shd w:fill="auto" w:val="clear"/>
            <w:vAlign w:val="center"/>
          </w:tcPr>
          <w:p>
            <w:pPr>
              <w:pStyle w:val="TableContents"/>
              <w:spacing w:before="0" w:after="0"/>
              <w:jc w:val="center"/>
              <w:rPr/>
            </w:pPr>
            <w:bookmarkStart w:id="6" w:name="x1-3006r4"/>
            <w:bookmarkEnd w:id="6"/>
            <w:r>
              <w:rPr/>
              <w:drawing>
                <wp:inline distT="0" distB="0" distL="0" distR="0">
                  <wp:extent cx="3400425" cy="18097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link="rId5"/>
                          <a:stretch>
                            <a:fillRect/>
                          </a:stretch>
                        </pic:blipFill>
                        <pic:spPr bwMode="auto">
                          <a:xfrm>
                            <a:off x="0" y="0"/>
                            <a:ext cx="3400425" cy="180975"/>
                          </a:xfrm>
                          <a:prstGeom prst="rect">
                            <a:avLst/>
                          </a:prstGeom>
                          <a:noFill/>
                          <a:ln w="9525">
                            <a:noFill/>
                            <a:miter lim="800000"/>
                            <a:headEnd/>
                            <a:tailEnd/>
                          </a:ln>
                        </pic:spPr>
                      </pic:pic>
                    </a:graphicData>
                  </a:graphic>
                </wp:inline>
              </w:drawing>
            </w:r>
          </w:p>
        </w:tc>
        <w:tc>
          <w:tcPr>
            <w:tcW w:w="422" w:type="dxa"/>
            <w:tcBorders>
              <w:top w:val="nil"/>
              <w:left w:val="nil"/>
              <w:bottom w:val="nil"/>
              <w:insideH w:val="nil"/>
              <w:right w:val="nil"/>
              <w:insideV w:val="nil"/>
            </w:tcBorders>
            <w:shd w:fill="auto" w:val="clear"/>
            <w:vAlign w:val="center"/>
          </w:tcPr>
          <w:p>
            <w:pPr>
              <w:pStyle w:val="TableContents"/>
              <w:spacing w:before="0" w:after="283"/>
              <w:rPr/>
            </w:pPr>
            <w:r>
              <w:rPr/>
              <w:t>(4)</w:t>
            </w:r>
          </w:p>
        </w:tc>
      </w:tr>
    </w:tbl>
    <w:p>
      <w:pPr>
        <w:pStyle w:val="TextBodyindent"/>
        <w:rPr/>
      </w:pPr>
      <w:r>
        <w:rPr/>
        <w:t xml:space="preserve">As we move away from the border location characteristics might dominate the policy effect, especially when we expect policy effects to be small. This theory favors the use of regression discontinuity techniques for estimating policy treatment effects, especially when location specific drivers of firm entry might be unknown or unobserved. </w:t>
      </w:r>
      <w:r>
        <w:rPr/>
        <w:t>Holms (1998) show that firm level productivity also features similar discontinuities at the border, such that looking at firm location choice over areas outside of the border.</w:t>
      </w:r>
    </w:p>
    <w:p>
      <w:pPr>
        <w:pStyle w:val="Heading3"/>
        <w:rPr/>
      </w:pPr>
      <w:r>
        <w:rPr/>
        <w:t xml:space="preserve">4 </w:t>
      </w:r>
      <w:bookmarkStart w:id="7" w:name="x1-40004"/>
      <w:bookmarkEnd w:id="7"/>
      <w:r>
        <w:rPr/>
        <w:t>Variables and Data</w:t>
      </w:r>
    </w:p>
    <w:p>
      <w:pPr>
        <w:pStyle w:val="Heading4"/>
        <w:rPr/>
      </w:pPr>
      <w:r>
        <w:rPr/>
        <w:t xml:space="preserve">4.1 </w:t>
      </w:r>
      <w:bookmarkStart w:id="8" w:name="x1-50004.1"/>
      <w:bookmarkEnd w:id="8"/>
      <w:r>
        <w:rPr/>
        <w:t>Matching Process</w:t>
      </w:r>
    </w:p>
    <w:p>
      <w:pPr>
        <w:pStyle w:val="TextBodynoindent"/>
        <w:rPr/>
      </w:pPr>
      <w:r>
        <w:rPr/>
        <w:t xml:space="preserve">Our theory section showed that as the location choice of firm entrants approaches a state border the difference in location-specific attributes on either side of the border approaches zero. Thus, an advantage of the border design is that these location-specific factors are differenced away in a specification that considers the difference in expected profits on either side of the border. We estimate </w:t>
      </w:r>
      <w:r>
        <w:rPr/>
        <w:t xml:space="preserve">this model taking the difference in firm start up rates between two adjacent counties. This approximates a regression discontinuity using county borders as our </w:t>
      </w:r>
      <w:r>
        <w:rPr/>
        <w:t>bandwidth</w:t>
      </w:r>
      <w:r>
        <w:rPr/>
        <w:t>s</w:t>
      </w:r>
      <w:r>
        <w:rPr/>
        <w:t xml:space="preserve">. The average county in our data set is 1,260 square miles, or about 35 miles per side if it is approximately square. This distance is slightly longer than more refined approaches such as Rohlin, Rosenthal, and Ross (2014). </w:t>
      </w:r>
    </w:p>
    <w:p>
      <w:pPr>
        <w:pStyle w:val="TextBodyindent"/>
        <w:rPr/>
      </w:pPr>
      <w:r>
        <w:rPr/>
        <w:t>Our matching procedure is as follows. We first obtained the Census’ County Adjacency File</w:t>
      </w:r>
      <w:r>
        <w:fldChar w:fldCharType="begin"/>
      </w:r>
      <w:r>
        <w:instrText> HYPERLINK "file:///home/kdduncan/papers/firm_entry/paper/master4.html" \l "fn3x0"</w:instrText>
      </w:r>
      <w:r>
        <w:fldChar w:fldCharType="separate"/>
      </w:r>
      <w:r>
        <w:rPr>
          <w:rStyle w:val="InternetLink"/>
        </w:rPr>
        <w:t>3</w:t>
      </w:r>
      <w:r>
        <w:fldChar w:fldCharType="end"/>
      </w:r>
      <w:bookmarkStart w:id="9" w:name="x1-5001f3"/>
      <w:bookmarkEnd w:id="9"/>
      <w:r>
        <w:rPr/>
        <w:t xml:space="preserve"> to construct county-pairs by generating all pairs of counties that have adjacent counties in a neighboring state. This process is outlined in Table </w:t>
      </w:r>
      <w:hyperlink w:anchor="x1-220011">
        <w:r>
          <w:rPr>
            <w:rStyle w:val="InternetLink"/>
          </w:rPr>
          <w:t>1</w:t>
        </w:r>
      </w:hyperlink>
      <w:r>
        <w:rPr/>
        <w:t xml:space="preserve">. We use the file to track match each county with every adjacent county in a different state. The assignment of subject and neighbor status is derived from their ordering in the County Adjacency File. From this matching we track state FIPS codes to create a list of matched state pairs. This matching generates 1,213 matched county-pairs with 107 state-pairs in each year. Throughout we will index each state-pair by </w:t>
      </w:r>
      <w:r>
        <w:rPr>
          <w:i/>
        </w:rPr>
        <w:t xml:space="preserve">g </w:t>
      </w:r>
      <w:r>
        <w:rPr/>
        <w:t>= 1</w:t>
      </w:r>
      <w:r>
        <w:rPr>
          <w:i/>
        </w:rPr>
        <w:t xml:space="preserve">,..., </w:t>
      </w:r>
      <w:r>
        <w:rPr/>
        <w:t xml:space="preserve">107, and the set of matched county pairs for each state-pair by </w:t>
      </w:r>
      <w:r>
        <w:rPr>
          <w:i/>
        </w:rPr>
        <w:t xml:space="preserve">i </w:t>
      </w:r>
      <w:r>
        <w:rPr/>
        <w:t>= 1</w:t>
      </w:r>
      <w:r>
        <w:rPr>
          <w:i/>
        </w:rPr>
        <w:t>,...,N</w:t>
      </w:r>
      <w:r>
        <w:rPr>
          <w:i/>
          <w:position w:val="-7"/>
          <w:sz w:val="19"/>
        </w:rPr>
        <w:t>g</w:t>
      </w:r>
      <w:r>
        <w:rPr/>
        <w:t xml:space="preserve">, where </w:t>
      </w:r>
      <w:r>
        <w:rPr>
          <w:i/>
        </w:rPr>
        <w:t>N</w:t>
      </w:r>
      <w:r>
        <w:rPr>
          <w:i/>
          <w:position w:val="-7"/>
          <w:sz w:val="19"/>
        </w:rPr>
        <w:t>g</w:t>
      </w:r>
      <w:r>
        <w:rPr/>
        <w:t xml:space="preserve"> is the number of pairs for each border. </w:t>
      </w:r>
    </w:p>
    <w:p>
      <w:pPr>
        <w:pStyle w:val="Heading4"/>
        <w:rPr/>
      </w:pPr>
      <w:r>
        <w:rPr/>
        <w:t xml:space="preserve">4.2 </w:t>
      </w:r>
      <w:bookmarkStart w:id="10" w:name="x1-60004.2"/>
      <w:bookmarkEnd w:id="10"/>
      <w:r>
        <w:rPr/>
        <w:t>Firm Entry Data</w:t>
      </w:r>
    </w:p>
    <w:p>
      <w:pPr>
        <w:pStyle w:val="TextBodynoindent"/>
        <w:spacing w:before="0" w:after="0"/>
        <w:rPr/>
      </w:pPr>
      <w:r>
        <w:rPr/>
        <w:t>Our primary variable of interest is county-level firm start up rates for all firms in a year. These data were procured from the Census Bureau’s Business Dynamic Statistics program.</w:t>
      </w:r>
      <w:r>
        <w:fldChar w:fldCharType="begin"/>
      </w:r>
      <w:r>
        <w:instrText> HYPERLINK "file:///home/kdduncan/papers/firm_entry/paper/master6.html" \l "fn5x0"</w:instrText>
      </w:r>
      <w:r>
        <w:fldChar w:fldCharType="separate"/>
      </w:r>
      <w:r>
        <w:rPr>
          <w:rStyle w:val="InternetLink"/>
        </w:rPr>
        <w:t>5</w:t>
      </w:r>
      <w:r>
        <w:fldChar w:fldCharType="end"/>
      </w:r>
      <w:bookmarkStart w:id="11" w:name="x1-6001f5"/>
      <w:bookmarkEnd w:id="11"/>
      <w:r>
        <w:rPr/>
        <w:t xml:space="preserve"> The data include the number of firm births, deaths, expansions, and contractions for each year from 1999 to 201</w:t>
      </w:r>
      <w:r>
        <w:rPr/>
        <w:t>1</w:t>
      </w:r>
      <w:r>
        <w:rPr/>
        <w:t xml:space="preserve">. Data are reported in total number of firm births, and for broad NAICS coded industries. Our main variable of interest, </w:t>
      </w:r>
      <w:r>
        <w:rPr>
          <w:i/>
        </w:rPr>
        <w:t>births</w:t>
      </w:r>
      <w:r>
        <w:rPr/>
        <w:t>_</w:t>
      </w:r>
      <w:r>
        <w:rPr>
          <w:i/>
        </w:rPr>
        <w:t>ratio</w:t>
      </w:r>
      <w:r>
        <w:rPr/>
        <w:t>, is calculated for each matched county-pair for each state pairs (</w:t>
      </w:r>
      <w:r>
        <w:rPr>
          <w:i/>
        </w:rPr>
        <w:t>A,B</w:t>
      </w:r>
      <w:r>
        <w:rPr/>
        <w:t xml:space="preserve">) in time </w:t>
      </w:r>
      <w:r>
        <w:rPr>
          <w:i/>
        </w:rPr>
        <w:t xml:space="preserve">t </w:t>
      </w:r>
      <w:r>
        <w:rPr/>
        <w:t xml:space="preserve">as, </w:t>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4586"/>
        <w:gridCol w:w="422"/>
      </w:tblGrid>
      <w:tr>
        <w:trPr>
          <w:cantSplit w:val="false"/>
        </w:trPr>
        <w:tc>
          <w:tcPr>
            <w:tcW w:w="4586" w:type="dxa"/>
            <w:tcBorders>
              <w:top w:val="nil"/>
              <w:left w:val="nil"/>
              <w:bottom w:val="nil"/>
              <w:insideH w:val="nil"/>
              <w:right w:val="nil"/>
              <w:insideV w:val="nil"/>
            </w:tcBorders>
            <w:shd w:fill="auto" w:val="clear"/>
            <w:vAlign w:val="center"/>
          </w:tcPr>
          <w:p>
            <w:pPr>
              <w:pStyle w:val="TableContents"/>
              <w:spacing w:before="0" w:after="0"/>
              <w:jc w:val="center"/>
              <w:rPr/>
            </w:pPr>
            <w:bookmarkStart w:id="12" w:name="x1-6002r5"/>
            <w:bookmarkEnd w:id="12"/>
            <w:r>
              <w:rPr/>
              <w:drawing>
                <wp:inline distT="0" distB="0" distL="0" distR="0">
                  <wp:extent cx="2847975" cy="18097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link="rId6"/>
                          <a:stretch>
                            <a:fillRect/>
                          </a:stretch>
                        </pic:blipFill>
                        <pic:spPr bwMode="auto">
                          <a:xfrm>
                            <a:off x="0" y="0"/>
                            <a:ext cx="2847975" cy="180975"/>
                          </a:xfrm>
                          <a:prstGeom prst="rect">
                            <a:avLst/>
                          </a:prstGeom>
                          <a:noFill/>
                          <a:ln w="9525">
                            <a:noFill/>
                            <a:miter lim="800000"/>
                            <a:headEnd/>
                            <a:tailEnd/>
                          </a:ln>
                        </pic:spPr>
                      </pic:pic>
                    </a:graphicData>
                  </a:graphic>
                </wp:inline>
              </w:drawing>
            </w:r>
          </w:p>
        </w:tc>
        <w:tc>
          <w:tcPr>
            <w:tcW w:w="422" w:type="dxa"/>
            <w:tcBorders>
              <w:top w:val="nil"/>
              <w:left w:val="nil"/>
              <w:bottom w:val="nil"/>
              <w:insideH w:val="nil"/>
              <w:right w:val="nil"/>
              <w:insideV w:val="nil"/>
            </w:tcBorders>
            <w:shd w:fill="auto" w:val="clear"/>
            <w:vAlign w:val="center"/>
          </w:tcPr>
          <w:p>
            <w:pPr>
              <w:pStyle w:val="TableContents"/>
              <w:spacing w:before="0" w:after="283"/>
              <w:rPr/>
            </w:pPr>
            <w:r>
              <w:rPr/>
              <w:t>(5)</w:t>
            </w:r>
          </w:p>
        </w:tc>
      </w:tr>
    </w:tbl>
    <w:p>
      <w:pPr>
        <w:pStyle w:val="TextBodyindent"/>
        <w:rPr/>
      </w:pPr>
      <w:r>
        <w:rPr/>
        <w:t xml:space="preserve">where </w:t>
      </w:r>
      <w:r>
        <w:rPr>
          <w:i/>
        </w:rPr>
        <w:t>n</w:t>
      </w:r>
      <w:r>
        <w:rPr>
          <w:i/>
          <w:position w:val="-7"/>
          <w:sz w:val="19"/>
        </w:rPr>
        <w:t>sub,A,t</w:t>
      </w:r>
      <w:r>
        <w:rPr/>
        <w:t xml:space="preserve"> is the number of new firm entrants in the state A’s current subject county at time t and </w:t>
      </w:r>
      <w:r>
        <w:rPr>
          <w:i/>
        </w:rPr>
        <w:t>N</w:t>
      </w:r>
      <w:r>
        <w:rPr>
          <w:i/>
          <w:position w:val="-7"/>
          <w:sz w:val="19"/>
        </w:rPr>
        <w:t>nbr,A,t</w:t>
      </w:r>
      <w:r>
        <w:rPr/>
        <w:t xml:space="preserve"> is the corresponding number of firm births in the state B’s neighboring county. </w:t>
      </w:r>
    </w:p>
    <w:p>
      <w:pPr>
        <w:pStyle w:val="Heading4"/>
        <w:rPr/>
      </w:pPr>
      <w:r>
        <w:rPr/>
        <w:t xml:space="preserve">4.3 </w:t>
      </w:r>
      <w:bookmarkStart w:id="13" w:name="x1-70004.3"/>
      <w:bookmarkEnd w:id="13"/>
      <w:r>
        <w:rPr/>
        <w:t>Tax Data</w:t>
      </w:r>
    </w:p>
    <w:p>
      <w:pPr>
        <w:pStyle w:val="TextBodynoindent"/>
        <w:spacing w:before="0" w:after="0"/>
        <w:rPr/>
      </w:pPr>
      <w:r>
        <w:rPr/>
        <w:t>We include the top state marginal tax rates of seven taxes from 19</w:t>
      </w:r>
      <w:r>
        <w:rPr/>
        <w:t>98</w:t>
      </w:r>
      <w:r>
        <w:rPr/>
        <w:t xml:space="preserve"> to 20</w:t>
      </w:r>
      <w:r>
        <w:rPr/>
        <w:t>08</w:t>
      </w:r>
      <w:r>
        <w:rPr/>
        <w:t xml:space="preserve"> in our analysis.</w:t>
      </w:r>
      <w:r>
        <w:fldChar w:fldCharType="begin"/>
      </w:r>
      <w:r>
        <w:instrText> HYPERLINK "file:///home/kdduncan/papers/firm_entry/paper/master7.html" \l "fn6x0"</w:instrText>
      </w:r>
      <w:r>
        <w:fldChar w:fldCharType="separate"/>
      </w:r>
      <w:r>
        <w:rPr>
          <w:rStyle w:val="InternetLink"/>
        </w:rPr>
        <w:t>6</w:t>
      </w:r>
      <w:r>
        <w:fldChar w:fldCharType="end"/>
      </w:r>
      <w:bookmarkStart w:id="14" w:name="x1-7001f6"/>
      <w:bookmarkEnd w:id="14"/>
      <w:r>
        <w:rPr/>
        <w:t xml:space="preserve"> We use a one period lagged difference in the top marginal values </w:t>
      </w:r>
      <w:r>
        <w:rPr/>
        <w:t xml:space="preserve">due to </w:t>
      </w:r>
      <w:r>
        <w:rPr/>
        <w:t xml:space="preserve">time costs to opening, procuring permits, zoning, and building infrastructure. For each tax rate </w:t>
      </w:r>
      <w:r>
        <w:rPr>
          <w:i/>
        </w:rPr>
        <w:t xml:space="preserve">τ </w:t>
      </w:r>
      <w:r>
        <w:rPr/>
        <w:t xml:space="preserve">and state pair </w:t>
      </w:r>
      <w:r>
        <w:rPr>
          <w:i/>
        </w:rPr>
        <w:t xml:space="preserve">g </w:t>
      </w:r>
      <w:r>
        <w:rPr/>
        <w:t>= (</w:t>
      </w:r>
      <w:r>
        <w:rPr>
          <w:i/>
        </w:rPr>
        <w:t>A,B</w:t>
      </w:r>
      <w:r>
        <w:rPr/>
        <w:t xml:space="preserve">), at time </w:t>
      </w:r>
      <w:r>
        <w:rPr>
          <w:i/>
        </w:rPr>
        <w:t xml:space="preserve">t </w:t>
      </w:r>
      <w:r>
        <w:rPr/>
        <w:t xml:space="preserve">the tax ratio was calculated </w:t>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471"/>
        <w:gridCol w:w="422"/>
      </w:tblGrid>
      <w:tr>
        <w:trPr>
          <w:cantSplit w:val="false"/>
        </w:trPr>
        <w:tc>
          <w:tcPr>
            <w:tcW w:w="2471" w:type="dxa"/>
            <w:tcBorders>
              <w:top w:val="nil"/>
              <w:left w:val="nil"/>
              <w:bottom w:val="nil"/>
              <w:insideH w:val="nil"/>
              <w:right w:val="nil"/>
              <w:insideV w:val="nil"/>
            </w:tcBorders>
            <w:shd w:fill="auto" w:val="clear"/>
            <w:vAlign w:val="center"/>
          </w:tcPr>
          <w:p>
            <w:pPr>
              <w:pStyle w:val="TableContents"/>
              <w:spacing w:before="0" w:after="0"/>
              <w:jc w:val="center"/>
              <w:rPr/>
            </w:pPr>
            <w:bookmarkStart w:id="15" w:name="x1-7002r6"/>
            <w:bookmarkEnd w:id="15"/>
            <w:r>
              <w:rPr/>
              <w:drawing>
                <wp:inline distT="0" distB="0" distL="0" distR="0">
                  <wp:extent cx="1504950" cy="16192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link="rId7"/>
                          <a:stretch>
                            <a:fillRect/>
                          </a:stretch>
                        </pic:blipFill>
                        <pic:spPr bwMode="auto">
                          <a:xfrm>
                            <a:off x="0" y="0"/>
                            <a:ext cx="1504950" cy="161925"/>
                          </a:xfrm>
                          <a:prstGeom prst="rect">
                            <a:avLst/>
                          </a:prstGeom>
                          <a:noFill/>
                          <a:ln w="9525">
                            <a:noFill/>
                            <a:miter lim="800000"/>
                            <a:headEnd/>
                            <a:tailEnd/>
                          </a:ln>
                        </pic:spPr>
                      </pic:pic>
                    </a:graphicData>
                  </a:graphic>
                </wp:inline>
              </w:drawing>
            </w:r>
          </w:p>
        </w:tc>
        <w:tc>
          <w:tcPr>
            <w:tcW w:w="422" w:type="dxa"/>
            <w:tcBorders>
              <w:top w:val="nil"/>
              <w:left w:val="nil"/>
              <w:bottom w:val="nil"/>
              <w:insideH w:val="nil"/>
              <w:right w:val="nil"/>
              <w:insideV w:val="nil"/>
            </w:tcBorders>
            <w:shd w:fill="auto" w:val="clear"/>
            <w:vAlign w:val="center"/>
          </w:tcPr>
          <w:p>
            <w:pPr>
              <w:pStyle w:val="TableContents"/>
              <w:spacing w:before="0" w:after="283"/>
              <w:rPr/>
            </w:pPr>
            <w:r>
              <w:rPr/>
              <w:t>(6)</w:t>
            </w:r>
          </w:p>
        </w:tc>
      </w:tr>
    </w:tbl>
    <w:p>
      <w:pPr>
        <w:pStyle w:val="TextBodyindent"/>
        <w:rPr/>
      </w:pPr>
      <w:r>
        <w:rPr/>
        <w:t xml:space="preserve">State marginal income tax and long term capital gains tax rates were obtained from The National Bureau of Economic Research. For income tax rates we use the highest marginal tax rates available, as this is the rate most applied to small business and S corporations. When not available, we calculate the highest implied tax rate. </w:t>
      </w:r>
      <w:r>
        <w:fldChar w:fldCharType="begin"/>
      </w:r>
      <w:r>
        <w:instrText> HYPERLINK "file:///home/kdduncan/papers/firm_entry/paper/master8.html" \l "fn7x0"</w:instrText>
      </w:r>
      <w:r>
        <w:fldChar w:fldCharType="separate"/>
      </w:r>
      <w:r>
        <w:rPr>
          <w:rStyle w:val="InternetLink"/>
        </w:rPr>
        <w:t>7</w:t>
      </w:r>
      <w:r>
        <w:fldChar w:fldCharType="end"/>
      </w:r>
      <w:r>
        <w:rPr/>
        <w:t xml:space="preserve"> </w:t>
      </w:r>
    </w:p>
    <w:p>
      <w:pPr>
        <w:pStyle w:val="TextBodyindent"/>
        <w:rPr/>
      </w:pPr>
      <w:r>
        <w:rPr/>
        <w:t xml:space="preserve">Corporate and sales tax rates were compiled from </w:t>
      </w:r>
      <w:r>
        <w:rPr>
          <w:i/>
        </w:rPr>
        <w:t>The Council of State Governments Book</w:t>
      </w:r>
      <w:r>
        <w:rPr/>
        <w:t xml:space="preserve"> </w:t>
      </w:r>
      <w:r>
        <w:rPr>
          <w:i/>
        </w:rPr>
        <w:t>of States</w:t>
      </w:r>
      <w:r>
        <w:fldChar w:fldCharType="begin"/>
      </w:r>
      <w:r>
        <w:instrText> HYPERLINK "file:///home/kdduncan/papers/firm_entry/paper/master9.html" \l "fn8x0"</w:instrText>
      </w:r>
      <w:r>
        <w:fldChar w:fldCharType="separate"/>
      </w:r>
      <w:r>
        <w:rPr>
          <w:rStyle w:val="InternetLink"/>
        </w:rPr>
        <w:t>8</w:t>
      </w:r>
      <w:r>
        <w:fldChar w:fldCharType="end"/>
      </w:r>
      <w:bookmarkStart w:id="16" w:name="x1-7004f8"/>
      <w:bookmarkEnd w:id="16"/>
      <w:r>
        <w:rPr/>
        <w:t xml:space="preserve"> . We use the highest marginal state tax rates on business corporations. Where rates differ between banks and non-banks, we use the non-bank rate, and we restrict sales tax rates to those levied on general merchandise, rather than food, clothing, or medicine. </w:t>
      </w:r>
    </w:p>
    <w:p>
      <w:pPr>
        <w:pStyle w:val="TextBodyindent"/>
        <w:rPr/>
      </w:pPr>
      <w:r>
        <w:rPr/>
        <w:t>Property taxes are calculated from household level data provided by the Minnesota Population Center’s Integrated Public Use Micro-data Series (IPUMS).</w:t>
      </w:r>
      <w:r>
        <w:fldChar w:fldCharType="begin"/>
      </w:r>
      <w:r>
        <w:instrText> HYPERLINK "file:///home/kdduncan/papers/firm_entry/paper/master10.html" \l "fn9x0"</w:instrText>
      </w:r>
      <w:r>
        <w:fldChar w:fldCharType="separate"/>
      </w:r>
      <w:r>
        <w:rPr>
          <w:rStyle w:val="InternetLink"/>
        </w:rPr>
        <w:t>9</w:t>
      </w:r>
      <w:r>
        <w:fldChar w:fldCharType="end"/>
      </w:r>
      <w:bookmarkStart w:id="17" w:name="x1-7005f9"/>
      <w:bookmarkEnd w:id="17"/>
      <w:r>
        <w:rPr/>
        <w:t xml:space="preserve"> Workers compensation are calculated from Thomason et al (2001) between 1977 and 1995, with data afterwards provided by the Oregon Department of Consumer and Business Services. </w:t>
      </w:r>
    </w:p>
    <w:p>
      <w:pPr>
        <w:pStyle w:val="TextBodyindent"/>
        <w:spacing w:before="0" w:after="0"/>
        <w:rPr/>
      </w:pPr>
      <w:r>
        <w:rPr/>
        <w:t xml:space="preserve">Finally, the top marginal unemployment insurance tax rates are provided by the US Department of Labor. To calculate these rates, they multiply the top marginal tax rate, </w:t>
      </w:r>
      <w:r>
        <w:rPr>
          <w:i/>
        </w:rPr>
        <w:t>τ</w:t>
      </w:r>
      <w:r>
        <w:rPr>
          <w:i/>
          <w:position w:val="-7"/>
          <w:sz w:val="19"/>
        </w:rPr>
        <w:t>g,t</w:t>
      </w:r>
      <w:r>
        <w:rPr>
          <w:i/>
          <w:position w:val="8"/>
          <w:sz w:val="19"/>
        </w:rPr>
        <w:t>max</w:t>
      </w:r>
      <w:r>
        <w:rPr/>
        <w:t xml:space="preserve">, by the maximum wage level to which the rate is applied, </w:t>
      </w:r>
      <w:r>
        <w:rPr>
          <w:i/>
        </w:rPr>
        <w:t>W</w:t>
      </w:r>
      <w:r>
        <w:rPr>
          <w:i/>
          <w:position w:val="-7"/>
          <w:sz w:val="19"/>
        </w:rPr>
        <w:t>it</w:t>
      </w:r>
      <w:r>
        <w:rPr>
          <w:i/>
          <w:position w:val="8"/>
          <w:sz w:val="19"/>
        </w:rPr>
        <w:t>max</w:t>
      </w:r>
      <w:r>
        <w:rPr/>
        <w:t xml:space="preserve">. They normalize this figure by the average wage in a state in a current year, </w:t>
      </w:r>
      <w:r>
        <w:rPr>
          <w:i/>
        </w:rPr>
        <w:t>W</w:t>
      </w:r>
      <w:r>
        <w:rPr>
          <w:i/>
          <w:position w:val="-7"/>
          <w:sz w:val="19"/>
        </w:rPr>
        <w:t>it</w:t>
      </w:r>
      <w:r>
        <w:rPr/>
        <w:t xml:space="preserve">. Then the unemployment insurance tax is calculated for each state as: </w:t>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1961"/>
        <w:gridCol w:w="422"/>
      </w:tblGrid>
      <w:tr>
        <w:trPr>
          <w:cantSplit w:val="false"/>
        </w:trPr>
        <w:tc>
          <w:tcPr>
            <w:tcW w:w="1961" w:type="dxa"/>
            <w:tcBorders>
              <w:top w:val="nil"/>
              <w:left w:val="nil"/>
              <w:bottom w:val="nil"/>
              <w:insideH w:val="nil"/>
              <w:right w:val="nil"/>
              <w:insideV w:val="nil"/>
            </w:tcBorders>
            <w:shd w:fill="auto" w:val="clear"/>
            <w:vAlign w:val="center"/>
          </w:tcPr>
          <w:p>
            <w:pPr>
              <w:pStyle w:val="TableContents"/>
              <w:spacing w:before="0" w:after="0"/>
              <w:jc w:val="center"/>
              <w:rPr/>
            </w:pPr>
            <w:bookmarkStart w:id="18" w:name="x1-7006r7"/>
            <w:bookmarkEnd w:id="18"/>
            <w:r>
              <w:rPr/>
              <w:drawing>
                <wp:inline distT="0" distB="0" distL="0" distR="0">
                  <wp:extent cx="1181100" cy="39052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link="rId8"/>
                          <a:stretch>
                            <a:fillRect/>
                          </a:stretch>
                        </pic:blipFill>
                        <pic:spPr bwMode="auto">
                          <a:xfrm>
                            <a:off x="0" y="0"/>
                            <a:ext cx="1181100" cy="390525"/>
                          </a:xfrm>
                          <a:prstGeom prst="rect">
                            <a:avLst/>
                          </a:prstGeom>
                          <a:noFill/>
                          <a:ln w="9525">
                            <a:noFill/>
                            <a:miter lim="800000"/>
                            <a:headEnd/>
                            <a:tailEnd/>
                          </a:ln>
                        </pic:spPr>
                      </pic:pic>
                    </a:graphicData>
                  </a:graphic>
                </wp:inline>
              </w:drawing>
            </w:r>
          </w:p>
        </w:tc>
        <w:tc>
          <w:tcPr>
            <w:tcW w:w="422" w:type="dxa"/>
            <w:tcBorders>
              <w:top w:val="nil"/>
              <w:left w:val="nil"/>
              <w:bottom w:val="nil"/>
              <w:insideH w:val="nil"/>
              <w:right w:val="nil"/>
              <w:insideV w:val="nil"/>
            </w:tcBorders>
            <w:shd w:fill="auto" w:val="clear"/>
            <w:vAlign w:val="center"/>
          </w:tcPr>
          <w:p>
            <w:pPr>
              <w:pStyle w:val="TableContents"/>
              <w:spacing w:before="0" w:after="283"/>
              <w:rPr/>
            </w:pPr>
            <w:r>
              <w:rPr/>
              <w:t>(7)</w:t>
            </w:r>
          </w:p>
        </w:tc>
      </w:tr>
    </w:tbl>
    <w:p>
      <w:pPr>
        <w:pStyle w:val="Heading4"/>
        <w:rPr/>
      </w:pPr>
      <w:r>
        <w:rPr/>
        <w:t xml:space="preserve">4.4 </w:t>
      </w:r>
      <w:bookmarkStart w:id="19" w:name="x1-80004.4"/>
      <w:bookmarkEnd w:id="19"/>
      <w:r>
        <w:rPr/>
        <w:t>Government Expenditures</w:t>
      </w:r>
    </w:p>
    <w:p>
      <w:pPr>
        <w:pStyle w:val="TextBodynoindent"/>
        <w:spacing w:before="0" w:after="0"/>
        <w:rPr/>
      </w:pPr>
      <w:r>
        <w:rPr/>
        <w:t>We compiled log state governments’ expenditures on highways, education, and welfare per capita using annual historical Census data on State Government Finances.</w:t>
      </w:r>
      <w:r>
        <w:fldChar w:fldCharType="begin"/>
      </w:r>
      <w:r>
        <w:instrText> HYPERLINK "file:///home/kdduncan/papers/firm_entry/paper/master11.html" \l "fn10x0"</w:instrText>
      </w:r>
      <w:r>
        <w:fldChar w:fldCharType="separate"/>
      </w:r>
      <w:r>
        <w:rPr>
          <w:rStyle w:val="InternetLink"/>
        </w:rPr>
        <w:t>10</w:t>
      </w:r>
      <w:r>
        <w:fldChar w:fldCharType="end"/>
      </w:r>
      <w:bookmarkStart w:id="20" w:name="x1-8001f10"/>
      <w:bookmarkEnd w:id="20"/>
      <w:r>
        <w:rPr/>
        <w:t xml:space="preserve"> We use expenditures on Education” for our education value, the sums of expenditures on ”Public Welfare”, ”Hospitals,” and ”Health,” for the welfare measure, and ”Highways” expenditures for highway spending. We divide each figure by Census state population estimates.</w:t>
      </w:r>
      <w:r>
        <w:fldChar w:fldCharType="begin"/>
      </w:r>
      <w:r>
        <w:instrText> HYPERLINK "file:///home/kdduncan/papers/firm_entry/paper/master12.html" \l "fn11x0"</w:instrText>
      </w:r>
      <w:r>
        <w:fldChar w:fldCharType="separate"/>
      </w:r>
      <w:r>
        <w:rPr>
          <w:rStyle w:val="InternetLink"/>
        </w:rPr>
        <w:t>11</w:t>
      </w:r>
      <w:r>
        <w:fldChar w:fldCharType="end"/>
      </w:r>
      <w:bookmarkStart w:id="21" w:name="x1-8002f11"/>
      <w:bookmarkEnd w:id="21"/>
      <w:r>
        <w:rPr/>
        <w:t xml:space="preserve"> and then take logs. The difference between state A and state B, for each of our expenditure figures is calculated: </w:t>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6191"/>
        <w:gridCol w:w="422"/>
      </w:tblGrid>
      <w:tr>
        <w:trPr>
          <w:cantSplit w:val="false"/>
        </w:trPr>
        <w:tc>
          <w:tcPr>
            <w:tcW w:w="6191" w:type="dxa"/>
            <w:tcBorders>
              <w:top w:val="nil"/>
              <w:left w:val="nil"/>
              <w:bottom w:val="nil"/>
              <w:insideH w:val="nil"/>
              <w:right w:val="nil"/>
              <w:insideV w:val="nil"/>
            </w:tcBorders>
            <w:shd w:fill="auto" w:val="clear"/>
            <w:vAlign w:val="center"/>
          </w:tcPr>
          <w:p>
            <w:pPr>
              <w:pStyle w:val="TableContents"/>
              <w:spacing w:before="0" w:after="0"/>
              <w:jc w:val="center"/>
              <w:rPr/>
            </w:pPr>
            <w:bookmarkStart w:id="22" w:name="x1-8003r8"/>
            <w:bookmarkEnd w:id="22"/>
            <w:r>
              <w:rPr/>
              <w:drawing>
                <wp:inline distT="0" distB="0" distL="0" distR="0">
                  <wp:extent cx="3867150" cy="18097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link="rId9"/>
                          <a:stretch>
                            <a:fillRect/>
                          </a:stretch>
                        </pic:blipFill>
                        <pic:spPr bwMode="auto">
                          <a:xfrm>
                            <a:off x="0" y="0"/>
                            <a:ext cx="3867150" cy="180975"/>
                          </a:xfrm>
                          <a:prstGeom prst="rect">
                            <a:avLst/>
                          </a:prstGeom>
                          <a:noFill/>
                          <a:ln w="9525">
                            <a:noFill/>
                            <a:miter lim="800000"/>
                            <a:headEnd/>
                            <a:tailEnd/>
                          </a:ln>
                        </pic:spPr>
                      </pic:pic>
                    </a:graphicData>
                  </a:graphic>
                </wp:inline>
              </w:drawing>
            </w:r>
          </w:p>
        </w:tc>
        <w:tc>
          <w:tcPr>
            <w:tcW w:w="422" w:type="dxa"/>
            <w:tcBorders>
              <w:top w:val="nil"/>
              <w:left w:val="nil"/>
              <w:bottom w:val="nil"/>
              <w:insideH w:val="nil"/>
              <w:right w:val="nil"/>
              <w:insideV w:val="nil"/>
            </w:tcBorders>
            <w:shd w:fill="auto" w:val="clear"/>
            <w:vAlign w:val="center"/>
          </w:tcPr>
          <w:p>
            <w:pPr>
              <w:pStyle w:val="TableContents"/>
              <w:spacing w:before="0" w:after="283"/>
              <w:rPr/>
            </w:pPr>
            <w:r>
              <w:rPr/>
              <w:t>(8)</w:t>
            </w:r>
          </w:p>
        </w:tc>
      </w:tr>
    </w:tbl>
    <w:p>
      <w:pPr>
        <w:pStyle w:val="Heading4"/>
        <w:rPr/>
      </w:pPr>
      <w:r>
        <w:rPr/>
        <w:t xml:space="preserve">4.5 </w:t>
      </w:r>
      <w:bookmarkStart w:id="23" w:name="x1-90004.5"/>
      <w:bookmarkEnd w:id="23"/>
      <w:r>
        <w:rPr/>
        <w:t>Additional Controls</w:t>
      </w:r>
    </w:p>
    <w:p>
      <w:pPr>
        <w:pStyle w:val="TextBodynoindent"/>
        <w:rPr/>
      </w:pPr>
      <w:r>
        <w:rPr/>
        <w:t>As a final series of controls, we included state level variables for percent of workforce unionized, log real fuel prices, population density, percent of employment in manufacturing, and percent of population with high school education. This data is compiled from the Current Population Survey and stored at ”</w:t>
      </w:r>
      <w:r>
        <w:rPr>
          <w:i/>
        </w:rPr>
        <w:t>Union Membership and Coverage Database from the</w:t>
      </w:r>
      <w:r>
        <w:rPr/>
        <w:t xml:space="preserve"> </w:t>
      </w:r>
      <w:r>
        <w:rPr>
          <w:i/>
        </w:rPr>
        <w:t>CPS.”</w:t>
      </w:r>
      <w:r>
        <w:fldChar w:fldCharType="begin"/>
      </w:r>
      <w:r>
        <w:instrText> HYPERLINK "file:///home/kdduncan/papers/firm_entry/paper/master13.html" \l "fn12x0"</w:instrText>
      </w:r>
      <w:r>
        <w:fldChar w:fldCharType="separate"/>
      </w:r>
      <w:r>
        <w:rPr>
          <w:rStyle w:val="InternetLink"/>
        </w:rPr>
        <w:t>12</w:t>
      </w:r>
      <w:r>
        <w:fldChar w:fldCharType="end"/>
      </w:r>
      <w:r>
        <w:rPr/>
        <w:t xml:space="preserve"> </w:t>
      </w:r>
    </w:p>
    <w:p>
      <w:pPr>
        <w:pStyle w:val="TextBodyindent"/>
        <w:rPr/>
      </w:pPr>
      <w:r>
        <w:rPr/>
        <w:t>Amenity data were acquired from the USDA.</w:t>
      </w:r>
      <w:r>
        <w:fldChar w:fldCharType="begin"/>
      </w:r>
      <w:r>
        <w:instrText> HYPERLINK "file:///home/kdduncan/papers/firm_entry/paper/master14.html" \l "fn13x0"</w:instrText>
      </w:r>
      <w:r>
        <w:fldChar w:fldCharType="separate"/>
      </w:r>
      <w:r>
        <w:rPr>
          <w:rStyle w:val="InternetLink"/>
        </w:rPr>
        <w:t>13</w:t>
      </w:r>
      <w:r>
        <w:fldChar w:fldCharType="end"/>
      </w:r>
      <w:bookmarkStart w:id="24" w:name="x1-9002f13"/>
      <w:bookmarkEnd w:id="24"/>
      <w:r>
        <w:rPr/>
        <w:t xml:space="preserve"> These measures are the only county level data we include in our empirical estimates. We use the normalized values of hours of sunlight in January, temperature in July, humidity in July, topology score, and percent of county that is water. After normalization each amenity variable is normally distributed with approximate mean zero and standard deviation 1. These terms should be interpreted as deviations from the mean. Again, we difference these county level Z-scores. </w:t>
      </w:r>
    </w:p>
    <w:p>
      <w:pPr>
        <w:pStyle w:val="Heading4"/>
        <w:rPr/>
      </w:pPr>
      <w:r>
        <w:rPr/>
        <w:t xml:space="preserve">4.6 </w:t>
      </w:r>
      <w:bookmarkStart w:id="25" w:name="x1-100004.6"/>
      <w:bookmarkEnd w:id="25"/>
      <w:r>
        <w:rPr/>
        <w:t>Preliminary Analysis</w:t>
      </w:r>
    </w:p>
    <w:p>
      <w:pPr>
        <w:pStyle w:val="TextBodynoindent"/>
        <w:rPr/>
      </w:pPr>
      <w:r>
        <w:rPr/>
        <w:t>Summary statistics are provided in Table (</w:t>
      </w:r>
      <w:hyperlink w:anchor="x1-220063">
        <w:r>
          <w:rPr>
            <w:rStyle w:val="InternetLink"/>
          </w:rPr>
          <w:t>3</w:t>
        </w:r>
      </w:hyperlink>
      <w:r>
        <w:rPr/>
        <w:t xml:space="preserve">). Of note is the fact that for all the taxes, the standard deviations are quite large relative to their means. Thus, there should be plenty of variation to provide identification of the impacts of taxes on firm entry rates. </w:t>
      </w:r>
    </w:p>
    <w:p>
      <w:pPr>
        <w:pStyle w:val="TextBodyindent"/>
        <w:rPr/>
      </w:pPr>
      <w:r>
        <w:rPr/>
        <w:t xml:space="preserve">We plot simple cross correlations between our differenced tax variables in Figure </w:t>
      </w:r>
      <w:hyperlink w:anchor="x1-220008">
        <w:r>
          <w:rPr>
            <w:rStyle w:val="InternetLink"/>
          </w:rPr>
          <w:t>8</w:t>
        </w:r>
      </w:hyperlink>
      <w:r>
        <w:rPr/>
        <w:t xml:space="preserve"> as a heuristic test that states use taxes jointly to accomplish policy goals. Between 1998 and 2008, income tax and capital gains tax rates exhibit strong positive correlation; the simple correlation between values is 0.64. Sales, payroll, workers compensation, and unemployment insurance tax rates are only weakly correlated with other tax rates. The presence of simple correlations indicate studies that do not include a larger array of taxes, may suffer from omitted variable bias. Thus modeling firm entry using a larger set of top marginal tax rates will improve estimates of tax incidence on firm start up rates. </w:t>
      </w:r>
    </w:p>
    <w:p>
      <w:pPr>
        <w:pStyle w:val="TextBodyindent"/>
        <w:rPr/>
      </w:pPr>
      <w:r>
        <w:rPr/>
        <w:t xml:space="preserve">We also plot cross correlaetions between the differenced tax variables for each state. While the correlations appear to be mean zero, due to the differenced nature of the data this is unsurprising. Rather, we are looking for co-movement between tax variables, which we see in a non-zero number of cases between all of our different tax variables. Of note is that the workers compensation tax seems to have more variation in the difference then some of our more traditional tax rates. </w:t>
      </w:r>
    </w:p>
    <w:p>
      <w:pPr>
        <w:pStyle w:val="Heading3"/>
        <w:rPr/>
      </w:pPr>
      <w:r>
        <w:rPr/>
        <w:t xml:space="preserve">5 </w:t>
      </w:r>
      <w:bookmarkStart w:id="26" w:name="x1-110005"/>
      <w:bookmarkEnd w:id="26"/>
      <w:r>
        <w:rPr/>
        <w:t>Empirical Design</w:t>
      </w:r>
    </w:p>
    <w:p>
      <w:pPr>
        <w:pStyle w:val="TextBodynoindent"/>
        <w:rPr/>
      </w:pPr>
      <w:r>
        <w:rPr/>
        <w:t xml:space="preserve">As outlined in the previous section, the main parameters of interest are the impacts of top marginal tax rates on firm start up rates. We employ a pseudo-regression discontinuity approach as a way of controlling for local determinants of firm entry, as well as shared responses to larger macroeconomic shocks. </w:t>
      </w:r>
    </w:p>
    <w:p>
      <w:pPr>
        <w:pStyle w:val="Heading4"/>
        <w:rPr/>
      </w:pPr>
      <w:r>
        <w:rPr/>
        <w:t xml:space="preserve">5.1 </w:t>
      </w:r>
      <w:bookmarkStart w:id="27" w:name="x1-120005.1"/>
      <w:bookmarkEnd w:id="27"/>
      <w:r>
        <w:rPr/>
        <w:t>Regression Discontinuity Approach</w:t>
      </w:r>
    </w:p>
    <w:p>
      <w:pPr>
        <w:pStyle w:val="TextBodynoindent"/>
        <w:spacing w:before="0" w:after="0"/>
        <w:rPr/>
      </w:pPr>
      <w:r>
        <w:rPr/>
        <w:t xml:space="preserve">Our empirical estimation is based on equation </w:t>
      </w:r>
      <w:hyperlink w:anchor="x1-3006r4">
        <w:r>
          <w:rPr>
            <w:rStyle w:val="InternetLink"/>
          </w:rPr>
          <w:t>4</w:t>
        </w:r>
      </w:hyperlink>
      <w:r>
        <w:rPr/>
        <w:t xml:space="preserve">: </w:t>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7466"/>
        <w:gridCol w:w="422"/>
      </w:tblGrid>
      <w:tr>
        <w:trPr>
          <w:cantSplit w:val="false"/>
        </w:trPr>
        <w:tc>
          <w:tcPr>
            <w:tcW w:w="7466" w:type="dxa"/>
            <w:tcBorders>
              <w:top w:val="nil"/>
              <w:left w:val="nil"/>
              <w:bottom w:val="nil"/>
              <w:insideH w:val="nil"/>
              <w:right w:val="nil"/>
              <w:insideV w:val="nil"/>
            </w:tcBorders>
            <w:shd w:fill="auto" w:val="clear"/>
            <w:vAlign w:val="center"/>
          </w:tcPr>
          <w:p>
            <w:pPr>
              <w:pStyle w:val="TableContents"/>
              <w:spacing w:before="0" w:after="0"/>
              <w:jc w:val="center"/>
              <w:rPr/>
            </w:pPr>
            <w:bookmarkStart w:id="28" w:name="x1-12001r9"/>
            <w:bookmarkEnd w:id="28"/>
            <w:r>
              <w:rPr/>
              <w:drawing>
                <wp:inline distT="0" distB="0" distL="0" distR="0">
                  <wp:extent cx="4676775" cy="18097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link="rId10"/>
                          <a:stretch>
                            <a:fillRect/>
                          </a:stretch>
                        </pic:blipFill>
                        <pic:spPr bwMode="auto">
                          <a:xfrm>
                            <a:off x="0" y="0"/>
                            <a:ext cx="4676775" cy="180975"/>
                          </a:xfrm>
                          <a:prstGeom prst="rect">
                            <a:avLst/>
                          </a:prstGeom>
                          <a:noFill/>
                          <a:ln w="9525">
                            <a:noFill/>
                            <a:miter lim="800000"/>
                            <a:headEnd/>
                            <a:tailEnd/>
                          </a:ln>
                        </pic:spPr>
                      </pic:pic>
                    </a:graphicData>
                  </a:graphic>
                </wp:inline>
              </w:drawing>
            </w:r>
          </w:p>
        </w:tc>
        <w:tc>
          <w:tcPr>
            <w:tcW w:w="422" w:type="dxa"/>
            <w:tcBorders>
              <w:top w:val="nil"/>
              <w:left w:val="nil"/>
              <w:bottom w:val="nil"/>
              <w:insideH w:val="nil"/>
              <w:right w:val="nil"/>
              <w:insideV w:val="nil"/>
            </w:tcBorders>
            <w:shd w:fill="auto" w:val="clear"/>
            <w:vAlign w:val="center"/>
          </w:tcPr>
          <w:p>
            <w:pPr>
              <w:pStyle w:val="TableContents"/>
              <w:spacing w:before="0" w:after="283"/>
              <w:rPr/>
            </w:pPr>
            <w:r>
              <w:rPr/>
              <w:t>(9)</w:t>
            </w:r>
          </w:p>
        </w:tc>
      </w:tr>
    </w:tbl>
    <w:p>
      <w:pPr>
        <w:pStyle w:val="TextBodyindent"/>
        <w:rPr/>
      </w:pPr>
      <w:r>
        <w:rPr/>
        <w:t>Here, from Equation (</w:t>
      </w:r>
      <w:hyperlink w:anchor="x1-3006r4">
        <w:r>
          <w:rPr>
            <w:rStyle w:val="InternetLink"/>
          </w:rPr>
          <w:t>4</w:t>
        </w:r>
      </w:hyperlink>
      <w:r>
        <w:rPr/>
        <w:t xml:space="preserve">), we have </w:t>
      </w:r>
      <w:r>
        <w:rPr>
          <w:i/>
        </w:rPr>
        <w:t xml:space="preserve">γ </w:t>
      </w:r>
      <w:r>
        <w:rPr/>
        <w:t xml:space="preserve">= </w:t>
      </w:r>
      <w:r>
        <w:rPr>
          <w:i/>
        </w:rPr>
        <w:t>β</w:t>
      </w:r>
      <w:r>
        <w:rPr>
          <w:i/>
          <w:position w:val="-7"/>
          <w:sz w:val="19"/>
        </w:rPr>
        <w:t>A</w:t>
      </w:r>
      <w:r>
        <w:rPr/>
        <w:t xml:space="preserve"> -</w:t>
      </w:r>
      <w:r>
        <w:rPr>
          <w:i/>
        </w:rPr>
        <w:t>β</w:t>
      </w:r>
      <w:r>
        <w:rPr>
          <w:i/>
          <w:position w:val="-7"/>
          <w:sz w:val="19"/>
        </w:rPr>
        <w:t>B</w:t>
      </w:r>
      <w:r>
        <w:rPr/>
        <w:t xml:space="preserve">. Since we assume that long run profits are zero, </w:t>
      </w:r>
      <w:r>
        <w:rPr>
          <w:i/>
        </w:rPr>
        <w:t xml:space="preserve">γ </w:t>
      </w:r>
      <w:r>
        <w:rPr/>
        <w:t xml:space="preserve">= 0. If the hypothesis fails, then either </w:t>
      </w:r>
      <w:r>
        <w:rPr>
          <w:i/>
        </w:rPr>
        <w:t>β</w:t>
      </w:r>
      <w:r>
        <w:rPr>
          <w:i/>
          <w:position w:val="-7"/>
          <w:sz w:val="19"/>
        </w:rPr>
        <w:t>A</w:t>
      </w:r>
      <w:r>
        <w:rPr>
          <w:i/>
        </w:rPr>
        <w:t>,β</w:t>
      </w:r>
      <w:r>
        <w:rPr>
          <w:i/>
          <w:position w:val="-7"/>
          <w:sz w:val="19"/>
        </w:rPr>
        <w:t>B</w:t>
      </w:r>
      <w:r>
        <w:rPr/>
        <w:t xml:space="preserve">≠0, and </w:t>
      </w:r>
      <w:r>
        <w:rPr>
          <w:i/>
        </w:rPr>
        <w:t xml:space="preserve">γ </w:t>
      </w:r>
      <w:r>
        <w:rPr/>
        <w:t xml:space="preserve">= </w:t>
      </w:r>
      <w:r>
        <w:rPr>
          <w:i/>
        </w:rPr>
        <w:t>β</w:t>
      </w:r>
      <w:r>
        <w:rPr>
          <w:i/>
          <w:position w:val="-7"/>
          <w:sz w:val="19"/>
        </w:rPr>
        <w:t>A</w:t>
      </w:r>
      <w:r>
        <w:rPr/>
        <w:t xml:space="preserve"> -</w:t>
      </w:r>
      <w:r>
        <w:rPr>
          <w:i/>
        </w:rPr>
        <w:t>β</w:t>
      </w:r>
      <w:r>
        <w:rPr>
          <w:i/>
          <w:position w:val="-7"/>
          <w:sz w:val="19"/>
        </w:rPr>
        <w:t>B</w:t>
      </w:r>
      <w:r>
        <w:rPr/>
        <w:t xml:space="preserve">. We later relax our zero profit condition, and test a state-pair fixed effect model where </w:t>
      </w:r>
      <w:r>
        <w:rPr>
          <w:i/>
        </w:rPr>
        <w:t xml:space="preserve">γ </w:t>
      </w:r>
      <w:r>
        <w:rPr/>
        <w:t xml:space="preserve">= </w:t>
      </w:r>
      <w:r>
        <w:rPr>
          <w:i/>
        </w:rPr>
        <w:t>γ</w:t>
      </w:r>
      <w:r>
        <w:rPr>
          <w:i/>
          <w:position w:val="-7"/>
          <w:sz w:val="19"/>
        </w:rPr>
        <w:t>A,B</w:t>
      </w:r>
      <w:r>
        <w:rPr/>
        <w:t xml:space="preserve"> = </w:t>
      </w:r>
      <w:r>
        <w:rPr>
          <w:i/>
        </w:rPr>
        <w:t>β</w:t>
      </w:r>
      <w:r>
        <w:rPr>
          <w:i/>
          <w:position w:val="-7"/>
          <w:sz w:val="19"/>
        </w:rPr>
        <w:t>A</w:t>
      </w:r>
      <w:r>
        <w:rPr/>
        <w:t xml:space="preserve"> - </w:t>
      </w:r>
      <w:r>
        <w:rPr>
          <w:i/>
        </w:rPr>
        <w:t>β</w:t>
      </w:r>
      <w:r>
        <w:rPr>
          <w:i/>
          <w:position w:val="-7"/>
          <w:sz w:val="19"/>
        </w:rPr>
        <w:t>B</w:t>
      </w:r>
      <w:r>
        <w:rPr/>
        <w:t>, in order to pick up unobserved heterogeneity that is unaccounted for in our baseline model. We finally believe that there are frictions to start up costs, and utilize a one year lagged set of independent variables.</w:t>
      </w:r>
      <w:r>
        <w:fldChar w:fldCharType="begin"/>
      </w:r>
      <w:r>
        <w:instrText> HYPERLINK "file:///home/kdduncan/papers/firm_entry/paper/master15.html" \l "fn14x0"</w:instrText>
      </w:r>
      <w:r>
        <w:fldChar w:fldCharType="separate"/>
      </w:r>
      <w:r>
        <w:rPr>
          <w:rStyle w:val="InternetLink"/>
        </w:rPr>
        <w:t>14</w:t>
      </w:r>
      <w:r>
        <w:fldChar w:fldCharType="end"/>
      </w:r>
      <w:r>
        <w:rPr/>
        <w:t xml:space="preserve"> </w:t>
      </w:r>
    </w:p>
    <w:p>
      <w:pPr>
        <w:pStyle w:val="TextBodyindent"/>
        <w:rPr/>
      </w:pPr>
      <w:r>
        <w:rPr/>
        <w:t xml:space="preserve">Our set of dependent variables includes a variety of different controls. We divide the added controls into two sets: county level geographic amenities and state level economic controls. We estimate models that include each separately, and then include both. The purpose is check whether the estimated coefficients on the tax and expenditure variables become statistically insignificant once we account for these additions. </w:t>
      </w:r>
    </w:p>
    <w:p>
      <w:pPr>
        <w:pStyle w:val="TextBodyindent"/>
        <w:spacing w:before="0" w:after="0"/>
        <w:rPr/>
      </w:pPr>
      <w:r>
        <w:rPr/>
        <w:t xml:space="preserve">Agrawal (2015) argues that there is endogeneity between local taxes and state level tax rates and border tax differentials. In his model, low tax states set higher taxes on the border than interior towns, and high tax states will set lower taxes on the border than the interior. The logic here is to mitigate, or not exacerbate, the border differential as much as possible from both sides of the border, but that this reduction occurs only gradually as you approach the border. Since most state laws do not enable towns to raise taxes sufficiently high to completely offset the discontinuity with local option taxes, this should downwards bias our estimates, as the actual discontinuity is less than the observed rate in our state-level figures, and shown empirically in Agrawal (2016). </w:t>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821"/>
        <w:gridCol w:w="543"/>
      </w:tblGrid>
      <w:tr>
        <w:trPr>
          <w:cantSplit w:val="false"/>
        </w:trPr>
        <w:tc>
          <w:tcPr>
            <w:tcW w:w="3821" w:type="dxa"/>
            <w:tcBorders>
              <w:top w:val="nil"/>
              <w:left w:val="nil"/>
              <w:bottom w:val="nil"/>
              <w:insideH w:val="nil"/>
              <w:right w:val="nil"/>
              <w:insideV w:val="nil"/>
            </w:tcBorders>
            <w:shd w:fill="auto" w:val="clear"/>
            <w:vAlign w:val="center"/>
          </w:tcPr>
          <w:p>
            <w:pPr>
              <w:pStyle w:val="TableContents"/>
              <w:spacing w:before="0" w:after="0"/>
              <w:jc w:val="center"/>
              <w:rPr/>
            </w:pPr>
            <w:bookmarkStart w:id="29" w:name="x1-12003r10"/>
            <w:bookmarkEnd w:id="29"/>
            <w:r>
              <w:rPr/>
              <w:drawing>
                <wp:inline distT="0" distB="0" distL="0" distR="0">
                  <wp:extent cx="2362200" cy="20002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link="rId11"/>
                          <a:stretch>
                            <a:fillRect/>
                          </a:stretch>
                        </pic:blipFill>
                        <pic:spPr bwMode="auto">
                          <a:xfrm>
                            <a:off x="0" y="0"/>
                            <a:ext cx="2362200" cy="200025"/>
                          </a:xfrm>
                          <a:prstGeom prst="rect">
                            <a:avLst/>
                          </a:prstGeom>
                          <a:noFill/>
                          <a:ln w="9525">
                            <a:noFill/>
                            <a:miter lim="800000"/>
                            <a:headEnd/>
                            <a:tailEnd/>
                          </a:ln>
                        </pic:spPr>
                      </pic:pic>
                    </a:graphicData>
                  </a:graphic>
                </wp:inline>
              </w:drawing>
            </w:r>
          </w:p>
        </w:tc>
        <w:tc>
          <w:tcPr>
            <w:tcW w:w="543" w:type="dxa"/>
            <w:tcBorders>
              <w:top w:val="nil"/>
              <w:left w:val="nil"/>
              <w:bottom w:val="nil"/>
              <w:insideH w:val="nil"/>
              <w:right w:val="nil"/>
              <w:insideV w:val="nil"/>
            </w:tcBorders>
            <w:shd w:fill="auto" w:val="clear"/>
            <w:vAlign w:val="center"/>
          </w:tcPr>
          <w:p>
            <w:pPr>
              <w:pStyle w:val="TableContents"/>
              <w:spacing w:before="0" w:after="283"/>
              <w:rPr/>
            </w:pPr>
            <w:r>
              <w:rPr/>
              <w:t>(10)</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371"/>
        <w:gridCol w:w="530"/>
      </w:tblGrid>
      <w:tr>
        <w:trPr>
          <w:cantSplit w:val="false"/>
        </w:trPr>
        <w:tc>
          <w:tcPr>
            <w:tcW w:w="3371" w:type="dxa"/>
            <w:tcBorders>
              <w:top w:val="nil"/>
              <w:left w:val="nil"/>
              <w:bottom w:val="nil"/>
              <w:insideH w:val="nil"/>
              <w:right w:val="nil"/>
              <w:insideV w:val="nil"/>
            </w:tcBorders>
            <w:shd w:fill="auto" w:val="clear"/>
            <w:vAlign w:val="center"/>
          </w:tcPr>
          <w:p>
            <w:pPr>
              <w:pStyle w:val="TableContents"/>
              <w:spacing w:before="0" w:after="0"/>
              <w:jc w:val="center"/>
              <w:rPr/>
            </w:pPr>
            <w:r>
              <w:rPr/>
              <w:drawing>
                <wp:inline distT="0" distB="0" distL="0" distR="0">
                  <wp:extent cx="2076450" cy="20002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link="rId12"/>
                          <a:stretch>
                            <a:fillRect/>
                          </a:stretch>
                        </pic:blipFill>
                        <pic:spPr bwMode="auto">
                          <a:xfrm>
                            <a:off x="0" y="0"/>
                            <a:ext cx="2076450" cy="200025"/>
                          </a:xfrm>
                          <a:prstGeom prst="rect">
                            <a:avLst/>
                          </a:prstGeom>
                          <a:noFill/>
                          <a:ln w="9525">
                            <a:noFill/>
                            <a:miter lim="800000"/>
                            <a:headEnd/>
                            <a:tailEnd/>
                          </a:ln>
                        </pic:spPr>
                      </pic:pic>
                    </a:graphicData>
                  </a:graphic>
                </wp:inline>
              </w:drawing>
            </w:r>
          </w:p>
        </w:tc>
        <w:tc>
          <w:tcPr>
            <w:tcW w:w="530" w:type="dxa"/>
            <w:tcBorders>
              <w:top w:val="nil"/>
              <w:left w:val="nil"/>
              <w:bottom w:val="nil"/>
              <w:insideH w:val="nil"/>
              <w:right w:val="nil"/>
              <w:insideV w:val="nil"/>
            </w:tcBorders>
            <w:shd w:fill="auto" w:val="clear"/>
            <w:vAlign w:val="center"/>
          </w:tcPr>
          <w:p>
            <w:pPr>
              <w:pStyle w:val="TableContents"/>
              <w:spacing w:before="0" w:after="283"/>
              <w:rPr/>
            </w:pPr>
            <w:r>
              <w:rPr/>
              <w:t>(11)</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486"/>
        <w:gridCol w:w="543"/>
      </w:tblGrid>
      <w:tr>
        <w:trPr>
          <w:cantSplit w:val="false"/>
        </w:trPr>
        <w:tc>
          <w:tcPr>
            <w:tcW w:w="2486" w:type="dxa"/>
            <w:tcBorders>
              <w:top w:val="nil"/>
              <w:left w:val="nil"/>
              <w:bottom w:val="nil"/>
              <w:insideH w:val="nil"/>
              <w:right w:val="nil"/>
              <w:insideV w:val="nil"/>
            </w:tcBorders>
            <w:shd w:fill="auto" w:val="clear"/>
            <w:vAlign w:val="center"/>
          </w:tcPr>
          <w:p>
            <w:pPr>
              <w:pStyle w:val="TableContents"/>
              <w:spacing w:before="0" w:after="0"/>
              <w:jc w:val="center"/>
              <w:rPr/>
            </w:pPr>
            <w:r>
              <w:rPr/>
              <w:drawing>
                <wp:inline distT="0" distB="0" distL="0" distR="0">
                  <wp:extent cx="1514475" cy="152400"/>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link="rId13"/>
                          <a:stretch>
                            <a:fillRect/>
                          </a:stretch>
                        </pic:blipFill>
                        <pic:spPr bwMode="auto">
                          <a:xfrm>
                            <a:off x="0" y="0"/>
                            <a:ext cx="1514475" cy="152400"/>
                          </a:xfrm>
                          <a:prstGeom prst="rect">
                            <a:avLst/>
                          </a:prstGeom>
                          <a:noFill/>
                          <a:ln w="9525">
                            <a:noFill/>
                            <a:miter lim="800000"/>
                            <a:headEnd/>
                            <a:tailEnd/>
                          </a:ln>
                        </pic:spPr>
                      </pic:pic>
                    </a:graphicData>
                  </a:graphic>
                </wp:inline>
              </w:drawing>
            </w:r>
          </w:p>
        </w:tc>
        <w:tc>
          <w:tcPr>
            <w:tcW w:w="543" w:type="dxa"/>
            <w:tcBorders>
              <w:top w:val="nil"/>
              <w:left w:val="nil"/>
              <w:bottom w:val="nil"/>
              <w:insideH w:val="nil"/>
              <w:right w:val="nil"/>
              <w:insideV w:val="nil"/>
            </w:tcBorders>
            <w:shd w:fill="auto" w:val="clear"/>
            <w:vAlign w:val="center"/>
          </w:tcPr>
          <w:p>
            <w:pPr>
              <w:pStyle w:val="TableContents"/>
              <w:spacing w:before="0" w:after="283"/>
              <w:rPr/>
            </w:pPr>
            <w:r>
              <w:rPr/>
              <w:t>(12)</w:t>
            </w:r>
          </w:p>
        </w:tc>
      </w:tr>
    </w:tbl>
    <w:p>
      <w:pPr>
        <w:pStyle w:val="TextBodyindent"/>
        <w:rPr/>
      </w:pPr>
      <w:r>
        <w:rPr/>
        <w:t xml:space="preserve">Next we assume the traditional OLS moment conditions. </w:t>
      </w:r>
    </w:p>
    <w:p>
      <w:pPr>
        <w:pStyle w:val="TextBodynoindent"/>
        <w:spacing w:before="0" w:after="0"/>
        <w:rPr/>
      </w:pPr>
      <w:r>
        <w:rPr>
          <w:b/>
        </w:rPr>
        <w:t>Assumption 3.</w:t>
      </w:r>
      <w:r>
        <w:rPr/>
        <w:t xml:space="preserve"> </w:t>
      </w:r>
      <w:r>
        <w:rPr>
          <w:i/>
        </w:rPr>
        <w:t>Let</w:t>
      </w:r>
      <w:r>
        <w:rPr/>
        <w:t xml:space="preserve"> </w:t>
      </w:r>
      <w:r>
        <w:rPr>
          <w:i/>
        </w:rPr>
        <w:t>Ẍ</w:t>
      </w:r>
      <w:r>
        <w:rPr>
          <w:i/>
          <w:position w:val="-7"/>
          <w:sz w:val="19"/>
        </w:rPr>
        <w:t>g</w:t>
      </w:r>
      <w:r>
        <w:rPr/>
        <w:t xml:space="preserve"> = (</w:t>
      </w:r>
      <w:r>
        <w:rPr>
          <w:i/>
        </w:rPr>
        <w:t>Ẍ</w:t>
      </w:r>
      <w:r>
        <w:rPr>
          <w:i/>
          <w:position w:val="-7"/>
          <w:sz w:val="19"/>
        </w:rPr>
        <w:t>g,</w:t>
      </w:r>
      <w:r>
        <w:rPr>
          <w:position w:val="-7"/>
          <w:sz w:val="19"/>
        </w:rPr>
        <w:t>0</w:t>
      </w:r>
      <w:r>
        <w:rPr/>
        <w:t>′</w:t>
      </w:r>
      <w:r>
        <w:rPr>
          <w:i/>
        </w:rPr>
        <w:t>,...,Ẍ</w:t>
      </w:r>
      <w:r>
        <w:rPr>
          <w:i/>
          <w:position w:val="-7"/>
          <w:sz w:val="19"/>
        </w:rPr>
        <w:t>g,T</w:t>
      </w:r>
      <w:r>
        <w:rPr>
          <w:position w:val="-7"/>
          <w:sz w:val="19"/>
        </w:rPr>
        <w:t>-1</w:t>
      </w:r>
      <w:r>
        <w:rPr/>
        <w:t xml:space="preserve">′)′ </w:t>
      </w:r>
      <w:r>
        <w:rPr>
          <w:i/>
        </w:rPr>
        <w:t xml:space="preserve">be a T </w:t>
      </w:r>
      <w:r>
        <w:rPr/>
        <w:t xml:space="preserve">× (1 + </w:t>
      </w:r>
      <w:r>
        <w:rPr>
          <w:i/>
        </w:rPr>
        <w:t>K</w:t>
      </w:r>
      <w:r>
        <w:rPr>
          <w:position w:val="-7"/>
          <w:sz w:val="19"/>
        </w:rPr>
        <w:t>2</w:t>
      </w:r>
      <w:r>
        <w:rPr/>
        <w:t xml:space="preserve">) </w:t>
      </w:r>
      <w:r>
        <w:rPr>
          <w:i/>
        </w:rPr>
        <w:t>that includes an intercept, and</w:t>
      </w:r>
      <w:r>
        <w:rPr/>
        <w:t xml:space="preserve"> </w:t>
      </w:r>
      <w:r>
        <w:rPr/>
        <w:drawing>
          <wp:inline distT="0" distB="0" distL="0" distR="0">
            <wp:extent cx="66675" cy="114300"/>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link="rId14"/>
                    <a:stretch>
                      <a:fillRect/>
                    </a:stretch>
                  </pic:blipFill>
                  <pic:spPr bwMode="auto">
                    <a:xfrm>
                      <a:off x="0" y="0"/>
                      <a:ext cx="66675" cy="114300"/>
                    </a:xfrm>
                    <a:prstGeom prst="rect">
                      <a:avLst/>
                    </a:prstGeom>
                    <a:noFill/>
                    <a:ln w="9525">
                      <a:noFill/>
                      <a:miter lim="800000"/>
                      <a:headEnd/>
                      <a:tailEnd/>
                    </a:ln>
                  </pic:spPr>
                </pic:pic>
              </a:graphicData>
            </a:graphic>
          </wp:inline>
        </w:drawing>
      </w:r>
      <w:r>
        <w:rPr>
          <w:i/>
          <w:position w:val="-7"/>
          <w:sz w:val="19"/>
        </w:rPr>
        <w:t>i,g</w:t>
      </w:r>
      <w:r>
        <w:rPr/>
        <w:t xml:space="preserve"> = (</w:t>
      </w:r>
      <w:r>
        <w:rPr/>
        <w:drawing>
          <wp:inline distT="0" distB="0" distL="0" distR="0">
            <wp:extent cx="66675" cy="114300"/>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link="rId15"/>
                    <a:stretch>
                      <a:fillRect/>
                    </a:stretch>
                  </pic:blipFill>
                  <pic:spPr bwMode="auto">
                    <a:xfrm>
                      <a:off x="0" y="0"/>
                      <a:ext cx="66675" cy="114300"/>
                    </a:xfrm>
                    <a:prstGeom prst="rect">
                      <a:avLst/>
                    </a:prstGeom>
                    <a:noFill/>
                    <a:ln w="9525">
                      <a:noFill/>
                      <a:miter lim="800000"/>
                      <a:headEnd/>
                      <a:tailEnd/>
                    </a:ln>
                  </pic:spPr>
                </pic:pic>
              </a:graphicData>
            </a:graphic>
          </wp:inline>
        </w:drawing>
      </w:r>
      <w:r>
        <w:rPr/>
        <w:t xml:space="preserve"> </w:t>
      </w:r>
      <w:r>
        <w:rPr>
          <w:i/>
          <w:position w:val="-7"/>
          <w:sz w:val="19"/>
        </w:rPr>
        <w:t>i,j,</w:t>
      </w:r>
      <w:r>
        <w:rPr>
          <w:position w:val="-7"/>
          <w:sz w:val="19"/>
        </w:rPr>
        <w:t>1</w:t>
      </w:r>
      <w:r>
        <w:rPr>
          <w:i/>
        </w:rPr>
        <w:t>,...,</w:t>
      </w:r>
      <w:r>
        <w:rPr/>
        <w:drawing>
          <wp:inline distT="0" distB="0" distL="0" distR="0">
            <wp:extent cx="66675" cy="114300"/>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link="rId16"/>
                    <a:stretch>
                      <a:fillRect/>
                    </a:stretch>
                  </pic:blipFill>
                  <pic:spPr bwMode="auto">
                    <a:xfrm>
                      <a:off x="0" y="0"/>
                      <a:ext cx="66675" cy="114300"/>
                    </a:xfrm>
                    <a:prstGeom prst="rect">
                      <a:avLst/>
                    </a:prstGeom>
                    <a:noFill/>
                    <a:ln w="9525">
                      <a:noFill/>
                      <a:miter lim="800000"/>
                      <a:headEnd/>
                      <a:tailEnd/>
                    </a:ln>
                  </pic:spPr>
                </pic:pic>
              </a:graphicData>
            </a:graphic>
          </wp:inline>
        </w:drawing>
      </w:r>
      <w:r>
        <w:rPr/>
        <w:t xml:space="preserve"> </w:t>
      </w:r>
      <w:r>
        <w:rPr>
          <w:i/>
          <w:position w:val="-7"/>
          <w:sz w:val="19"/>
        </w:rPr>
        <w:t>i,j,T</w:t>
      </w:r>
      <w:r>
        <w:rPr>
          <w:position w:val="-7"/>
          <w:sz w:val="19"/>
        </w:rPr>
        <w:t xml:space="preserve"> </w:t>
      </w:r>
      <w:r>
        <w:rPr/>
        <w:t xml:space="preserve">)′ </w:t>
      </w:r>
      <w:r>
        <w:rPr>
          <w:i/>
        </w:rPr>
        <w:t xml:space="preserve">a T </w:t>
      </w:r>
      <w:r>
        <w:rPr/>
        <w:t xml:space="preserve">× 1 </w:t>
      </w:r>
      <w:r>
        <w:rPr>
          <w:i/>
        </w:rPr>
        <w:t>vector of error terms. Then</w:t>
      </w:r>
      <w:r>
        <w:rPr/>
        <w:t xml:space="preserve"> </w:t>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276"/>
        <w:gridCol w:w="543"/>
      </w:tblGrid>
      <w:tr>
        <w:trPr>
          <w:cantSplit w:val="false"/>
        </w:trPr>
        <w:tc>
          <w:tcPr>
            <w:tcW w:w="2276" w:type="dxa"/>
            <w:tcBorders>
              <w:top w:val="nil"/>
              <w:left w:val="nil"/>
              <w:bottom w:val="nil"/>
              <w:insideH w:val="nil"/>
              <w:right w:val="nil"/>
              <w:insideV w:val="nil"/>
            </w:tcBorders>
            <w:shd w:fill="auto" w:val="clear"/>
            <w:vAlign w:val="center"/>
          </w:tcPr>
          <w:p>
            <w:pPr>
              <w:pStyle w:val="TableContents"/>
              <w:spacing w:before="0" w:after="0"/>
              <w:jc w:val="center"/>
              <w:rPr/>
            </w:pPr>
            <w:bookmarkStart w:id="30" w:name="x1-12007r13"/>
            <w:bookmarkEnd w:id="30"/>
            <w:r>
              <w:rPr/>
              <w:drawing>
                <wp:inline distT="0" distB="0" distL="0" distR="0">
                  <wp:extent cx="1381125" cy="219075"/>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link="rId17"/>
                          <a:stretch>
                            <a:fillRect/>
                          </a:stretch>
                        </pic:blipFill>
                        <pic:spPr bwMode="auto">
                          <a:xfrm>
                            <a:off x="0" y="0"/>
                            <a:ext cx="1381125" cy="219075"/>
                          </a:xfrm>
                          <a:prstGeom prst="rect">
                            <a:avLst/>
                          </a:prstGeom>
                          <a:noFill/>
                          <a:ln w="9525">
                            <a:noFill/>
                            <a:miter lim="800000"/>
                            <a:headEnd/>
                            <a:tailEnd/>
                          </a:ln>
                        </pic:spPr>
                      </pic:pic>
                    </a:graphicData>
                  </a:graphic>
                </wp:inline>
              </w:drawing>
            </w:r>
          </w:p>
        </w:tc>
        <w:tc>
          <w:tcPr>
            <w:tcW w:w="543" w:type="dxa"/>
            <w:tcBorders>
              <w:top w:val="nil"/>
              <w:left w:val="nil"/>
              <w:bottom w:val="nil"/>
              <w:insideH w:val="nil"/>
              <w:right w:val="nil"/>
              <w:insideV w:val="nil"/>
            </w:tcBorders>
            <w:shd w:fill="auto" w:val="clear"/>
            <w:vAlign w:val="center"/>
          </w:tcPr>
          <w:p>
            <w:pPr>
              <w:pStyle w:val="TableContents"/>
              <w:spacing w:before="0" w:after="283"/>
              <w:rPr/>
            </w:pPr>
            <w:r>
              <w:rPr/>
              <w:t>(13)</w:t>
            </w:r>
          </w:p>
        </w:tc>
      </w:tr>
    </w:tbl>
    <w:p>
      <w:pPr>
        <w:pStyle w:val="TextBodynoindent"/>
        <w:rPr/>
      </w:pPr>
      <w:r>
        <w:rPr>
          <w:b/>
        </w:rPr>
        <w:t>Assumption 4.</w:t>
      </w:r>
      <w:r>
        <w:rPr/>
        <w:t xml:space="preserve"> </w:t>
      </w:r>
      <w:r>
        <w:rPr>
          <w:i/>
        </w:rPr>
        <w:t>E</w:t>
      </w:r>
      <w:r>
        <w:rPr/>
        <w:t>[</w:t>
      </w:r>
      <w:r>
        <w:rPr>
          <w:i/>
        </w:rPr>
        <w:t>Ẍ</w:t>
      </w:r>
      <w:r>
        <w:rPr>
          <w:i/>
          <w:position w:val="-7"/>
          <w:sz w:val="19"/>
        </w:rPr>
        <w:t>g</w:t>
      </w:r>
      <w:r>
        <w:rPr/>
        <w:t>′</w:t>
      </w:r>
      <w:r>
        <w:rPr>
          <w:i/>
        </w:rPr>
        <w:t>Ẍ</w:t>
      </w:r>
      <w:r>
        <w:rPr>
          <w:i/>
          <w:position w:val="-7"/>
          <w:sz w:val="19"/>
        </w:rPr>
        <w:t>g</w:t>
      </w:r>
      <w:r>
        <w:rPr/>
        <w:t xml:space="preserve">] </w:t>
      </w:r>
      <w:r>
        <w:rPr>
          <w:i/>
        </w:rPr>
        <w:t xml:space="preserve">is a </w:t>
      </w:r>
      <w:r>
        <w:rPr/>
        <w:t xml:space="preserve">1 + </w:t>
      </w:r>
      <w:r>
        <w:rPr>
          <w:i/>
        </w:rPr>
        <w:t>K</w:t>
      </w:r>
      <w:r>
        <w:rPr>
          <w:position w:val="-7"/>
          <w:sz w:val="19"/>
        </w:rPr>
        <w:t>2</w:t>
      </w:r>
      <w:r>
        <w:rPr/>
        <w:t xml:space="preserve"> × 1 </w:t>
      </w:r>
      <w:r>
        <w:rPr>
          <w:i/>
        </w:rPr>
        <w:t>matrix for all g</w:t>
      </w:r>
      <w:r>
        <w:rPr/>
        <w:t xml:space="preserve"> </w:t>
      </w:r>
    </w:p>
    <w:p>
      <w:pPr>
        <w:pStyle w:val="TextBodyindent"/>
        <w:spacing w:before="0" w:after="0"/>
        <w:rPr/>
      </w:pPr>
      <w:r>
        <w:rPr/>
        <w:t xml:space="preserve">As a result of applying assumption </w:t>
      </w:r>
      <w:hyperlink w:anchor="x1-12006r3">
        <w:r>
          <w:rPr>
            <w:rStyle w:val="InternetLink"/>
          </w:rPr>
          <w:t>3</w:t>
        </w:r>
      </w:hyperlink>
      <w:r>
        <w:rPr/>
        <w:t xml:space="preserve"> and </w:t>
      </w:r>
      <w:hyperlink w:anchor="x1-12008r4">
        <w:r>
          <w:rPr>
            <w:rStyle w:val="InternetLink"/>
          </w:rPr>
          <w:t>4</w:t>
        </w:r>
      </w:hyperlink>
      <w:r>
        <w:rPr/>
        <w:t xml:space="preserve"> to Equation </w:t>
      </w:r>
      <w:hyperlink w:anchor="x1-12001r9">
        <w:r>
          <w:rPr>
            <w:rStyle w:val="InternetLink"/>
          </w:rPr>
          <w:t>9</w:t>
        </w:r>
      </w:hyperlink>
      <w:r>
        <w:rPr/>
        <w:t xml:space="preserve">, our estimator takes the form, </w:t>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7961"/>
        <w:gridCol w:w="543"/>
      </w:tblGrid>
      <w:tr>
        <w:trPr>
          <w:cantSplit w:val="false"/>
        </w:trPr>
        <w:tc>
          <w:tcPr>
            <w:tcW w:w="7961" w:type="dxa"/>
            <w:tcBorders>
              <w:top w:val="nil"/>
              <w:left w:val="nil"/>
              <w:bottom w:val="nil"/>
              <w:insideH w:val="nil"/>
              <w:right w:val="nil"/>
              <w:insideV w:val="nil"/>
            </w:tcBorders>
            <w:shd w:fill="auto" w:val="clear"/>
            <w:vAlign w:val="center"/>
          </w:tcPr>
          <w:p>
            <w:pPr>
              <w:pStyle w:val="TableContents"/>
              <w:spacing w:before="0" w:after="0"/>
              <w:jc w:val="center"/>
              <w:rPr/>
            </w:pPr>
            <w:bookmarkStart w:id="31" w:name="x1-12009r14"/>
            <w:bookmarkEnd w:id="31"/>
            <w:r>
              <w:rPr/>
              <w:drawing>
                <wp:inline distT="0" distB="0" distL="0" distR="0">
                  <wp:extent cx="4991100" cy="523875"/>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link="rId18"/>
                          <a:stretch>
                            <a:fillRect/>
                          </a:stretch>
                        </pic:blipFill>
                        <pic:spPr bwMode="auto">
                          <a:xfrm>
                            <a:off x="0" y="0"/>
                            <a:ext cx="4991100" cy="523875"/>
                          </a:xfrm>
                          <a:prstGeom prst="rect">
                            <a:avLst/>
                          </a:prstGeom>
                          <a:noFill/>
                          <a:ln w="9525">
                            <a:noFill/>
                            <a:miter lim="800000"/>
                            <a:headEnd/>
                            <a:tailEnd/>
                          </a:ln>
                        </pic:spPr>
                      </pic:pic>
                    </a:graphicData>
                  </a:graphic>
                </wp:inline>
              </w:drawing>
            </w:r>
          </w:p>
        </w:tc>
        <w:tc>
          <w:tcPr>
            <w:tcW w:w="543" w:type="dxa"/>
            <w:tcBorders>
              <w:top w:val="nil"/>
              <w:left w:val="nil"/>
              <w:bottom w:val="nil"/>
              <w:insideH w:val="nil"/>
              <w:right w:val="nil"/>
              <w:insideV w:val="nil"/>
            </w:tcBorders>
            <w:shd w:fill="auto" w:val="clear"/>
            <w:vAlign w:val="center"/>
          </w:tcPr>
          <w:p>
            <w:pPr>
              <w:pStyle w:val="TableContents"/>
              <w:spacing w:before="0" w:after="283"/>
              <w:rPr/>
            </w:pPr>
            <w:r>
              <w:rPr/>
              <w:t>(14)</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1586"/>
        <w:gridCol w:w="543"/>
      </w:tblGrid>
      <w:tr>
        <w:trPr>
          <w:cantSplit w:val="false"/>
        </w:trPr>
        <w:tc>
          <w:tcPr>
            <w:tcW w:w="1586" w:type="dxa"/>
            <w:tcBorders>
              <w:top w:val="nil"/>
              <w:left w:val="nil"/>
              <w:bottom w:val="nil"/>
              <w:insideH w:val="nil"/>
              <w:right w:val="nil"/>
              <w:insideV w:val="nil"/>
            </w:tcBorders>
            <w:shd w:fill="auto" w:val="clear"/>
            <w:vAlign w:val="center"/>
          </w:tcPr>
          <w:p>
            <w:pPr>
              <w:pStyle w:val="TableContents"/>
              <w:spacing w:before="0" w:after="0"/>
              <w:jc w:val="center"/>
              <w:rPr/>
            </w:pPr>
            <w:r>
              <w:rPr/>
              <w:drawing>
                <wp:inline distT="0" distB="0" distL="0" distR="0">
                  <wp:extent cx="942975" cy="390525"/>
                  <wp:effectExtent l="0" t="0" r="0" b="0"/>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link="rId19"/>
                          <a:stretch>
                            <a:fillRect/>
                          </a:stretch>
                        </pic:blipFill>
                        <pic:spPr bwMode="auto">
                          <a:xfrm>
                            <a:off x="0" y="0"/>
                            <a:ext cx="942975" cy="390525"/>
                          </a:xfrm>
                          <a:prstGeom prst="rect">
                            <a:avLst/>
                          </a:prstGeom>
                          <a:noFill/>
                          <a:ln w="9525">
                            <a:noFill/>
                            <a:miter lim="800000"/>
                            <a:headEnd/>
                            <a:tailEnd/>
                          </a:ln>
                        </pic:spPr>
                      </pic:pic>
                    </a:graphicData>
                  </a:graphic>
                </wp:inline>
              </w:drawing>
            </w:r>
          </w:p>
        </w:tc>
        <w:tc>
          <w:tcPr>
            <w:tcW w:w="543" w:type="dxa"/>
            <w:tcBorders>
              <w:top w:val="nil"/>
              <w:left w:val="nil"/>
              <w:bottom w:val="nil"/>
              <w:insideH w:val="nil"/>
              <w:right w:val="nil"/>
              <w:insideV w:val="nil"/>
            </w:tcBorders>
            <w:shd w:fill="auto" w:val="clear"/>
            <w:vAlign w:val="center"/>
          </w:tcPr>
          <w:p>
            <w:pPr>
              <w:pStyle w:val="TableContents"/>
              <w:spacing w:before="0" w:after="283"/>
              <w:rPr/>
            </w:pPr>
            <w:r>
              <w:rPr/>
              <w:t>(15)</w:t>
            </w:r>
          </w:p>
        </w:tc>
      </w:tr>
    </w:tbl>
    <w:p>
      <w:pPr>
        <w:pStyle w:val="TextBodyindent"/>
        <w:rPr/>
      </w:pPr>
      <w:r>
        <w:rPr/>
        <w:t xml:space="preserve">Such that </w:t>
      </w:r>
    </w:p>
    <w:p>
      <w:pPr>
        <w:pStyle w:val="TextBodyindent"/>
        <w:jc w:val="center"/>
        <w:rPr/>
      </w:pPr>
      <w:r>
        <w:rPr/>
        <w:drawing>
          <wp:inline distT="0" distB="0" distL="0" distR="0">
            <wp:extent cx="1638300" cy="200025"/>
            <wp:effectExtent l="0" t="0" r="0" b="0"/>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link="rId20"/>
                    <a:stretch>
                      <a:fillRect/>
                    </a:stretch>
                  </pic:blipFill>
                  <pic:spPr bwMode="auto">
                    <a:xfrm>
                      <a:off x="0" y="0"/>
                      <a:ext cx="1638300" cy="200025"/>
                    </a:xfrm>
                    <a:prstGeom prst="rect">
                      <a:avLst/>
                    </a:prstGeom>
                    <a:noFill/>
                    <a:ln w="9525">
                      <a:noFill/>
                      <a:miter lim="800000"/>
                      <a:headEnd/>
                      <a:tailEnd/>
                    </a:ln>
                  </pic:spPr>
                </pic:pic>
              </a:graphicData>
            </a:graphic>
          </wp:inline>
        </w:drawing>
      </w:r>
    </w:p>
    <w:p>
      <w:pPr>
        <w:pStyle w:val="TextBodyindent"/>
        <w:spacing w:before="0" w:after="0"/>
        <w:rPr/>
      </w:pPr>
      <w:r>
        <w:rPr/>
        <w:t xml:space="preserve">With the variance covariance matrix is equal to, </w:t>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5411"/>
        <w:gridCol w:w="543"/>
      </w:tblGrid>
      <w:tr>
        <w:trPr>
          <w:cantSplit w:val="false"/>
        </w:trPr>
        <w:tc>
          <w:tcPr>
            <w:tcW w:w="5411" w:type="dxa"/>
            <w:tcBorders>
              <w:top w:val="nil"/>
              <w:left w:val="nil"/>
              <w:bottom w:val="nil"/>
              <w:insideH w:val="nil"/>
              <w:right w:val="nil"/>
              <w:insideV w:val="nil"/>
            </w:tcBorders>
            <w:shd w:fill="auto" w:val="clear"/>
            <w:vAlign w:val="center"/>
          </w:tcPr>
          <w:p>
            <w:pPr>
              <w:pStyle w:val="TableContents"/>
              <w:spacing w:before="0" w:after="0"/>
              <w:jc w:val="center"/>
              <w:rPr/>
            </w:pPr>
            <w:bookmarkStart w:id="32" w:name="x1-12011r16"/>
            <w:bookmarkEnd w:id="32"/>
            <w:r>
              <w:rPr/>
              <w:drawing>
                <wp:inline distT="0" distB="0" distL="0" distR="0">
                  <wp:extent cx="3371850" cy="581025"/>
                  <wp:effectExtent l="0" t="0" r="0" b="0"/>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link="rId21"/>
                          <a:stretch>
                            <a:fillRect/>
                          </a:stretch>
                        </pic:blipFill>
                        <pic:spPr bwMode="auto">
                          <a:xfrm>
                            <a:off x="0" y="0"/>
                            <a:ext cx="3371850" cy="581025"/>
                          </a:xfrm>
                          <a:prstGeom prst="rect">
                            <a:avLst/>
                          </a:prstGeom>
                          <a:noFill/>
                          <a:ln w="9525">
                            <a:noFill/>
                            <a:miter lim="800000"/>
                            <a:headEnd/>
                            <a:tailEnd/>
                          </a:ln>
                        </pic:spPr>
                      </pic:pic>
                    </a:graphicData>
                  </a:graphic>
                </wp:inline>
              </w:drawing>
            </w:r>
          </w:p>
        </w:tc>
        <w:tc>
          <w:tcPr>
            <w:tcW w:w="543" w:type="dxa"/>
            <w:tcBorders>
              <w:top w:val="nil"/>
              <w:left w:val="nil"/>
              <w:bottom w:val="nil"/>
              <w:insideH w:val="nil"/>
              <w:right w:val="nil"/>
              <w:insideV w:val="nil"/>
            </w:tcBorders>
            <w:shd w:fill="auto" w:val="clear"/>
            <w:vAlign w:val="center"/>
          </w:tcPr>
          <w:p>
            <w:pPr>
              <w:pStyle w:val="TableContents"/>
              <w:spacing w:before="0" w:after="283"/>
              <w:rPr/>
            </w:pPr>
            <w:r>
              <w:rPr/>
              <w:t>(16)</w:t>
            </w:r>
          </w:p>
        </w:tc>
      </w:tr>
    </w:tbl>
    <w:p>
      <w:pPr>
        <w:pStyle w:val="TextBodynopar"/>
        <w:spacing w:before="0" w:after="0"/>
        <w:jc w:val="center"/>
        <w:rPr/>
      </w:pPr>
      <w:r>
        <w:rPr/>
        <w:drawing>
          <wp:inline distT="0" distB="0" distL="0" distR="0">
            <wp:extent cx="2609850" cy="485775"/>
            <wp:effectExtent l="0" t="0" r="0" b="0"/>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link="rId22"/>
                    <a:stretch>
                      <a:fillRect/>
                    </a:stretch>
                  </pic:blipFill>
                  <pic:spPr bwMode="auto">
                    <a:xfrm>
                      <a:off x="0" y="0"/>
                      <a:ext cx="2609850" cy="485775"/>
                    </a:xfrm>
                    <a:prstGeom prst="rect">
                      <a:avLst/>
                    </a:prstGeom>
                    <a:noFill/>
                    <a:ln w="9525">
                      <a:noFill/>
                      <a:miter lim="800000"/>
                      <a:headEnd/>
                      <a:tailEnd/>
                    </a:ln>
                  </pic:spPr>
                </pic:pic>
              </a:graphicData>
            </a:graphic>
          </wp:inline>
        </w:drawing>
      </w:r>
    </w:p>
    <w:p>
      <w:pPr>
        <w:pStyle w:val="TextBodynopar"/>
        <w:jc w:val="center"/>
        <w:rPr/>
      </w:pPr>
      <w:r>
        <w:rPr/>
        <w:drawing>
          <wp:inline distT="0" distB="0" distL="0" distR="0">
            <wp:extent cx="847725" cy="485775"/>
            <wp:effectExtent l="0" t="0" r="0" b="0"/>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link="rId23"/>
                    <a:stretch>
                      <a:fillRect/>
                    </a:stretch>
                  </pic:blipFill>
                  <pic:spPr bwMode="auto">
                    <a:xfrm>
                      <a:off x="0" y="0"/>
                      <a:ext cx="847725" cy="485775"/>
                    </a:xfrm>
                    <a:prstGeom prst="rect">
                      <a:avLst/>
                    </a:prstGeom>
                    <a:noFill/>
                    <a:ln w="9525">
                      <a:noFill/>
                      <a:miter lim="800000"/>
                      <a:headEnd/>
                      <a:tailEnd/>
                    </a:ln>
                  </pic:spPr>
                </pic:pic>
              </a:graphicData>
            </a:graphic>
          </wp:inline>
        </w:drawing>
      </w:r>
    </w:p>
    <w:p>
      <w:pPr>
        <w:pStyle w:val="TextBodyindent"/>
        <w:rPr/>
      </w:pPr>
      <w:r>
        <w:rPr/>
        <w:t xml:space="preserve">Note that this estimator as a result is almost identical to the two stage estimator of Donald and Lang (2007), up to a different variance covariance matrix subject to the off-mean weighting method. </w:t>
      </w:r>
    </w:p>
    <w:p>
      <w:pPr>
        <w:pStyle w:val="TextBodyindent"/>
        <w:rPr/>
      </w:pPr>
      <w:r>
        <w:rPr/>
        <w:t xml:space="preserve">There may be unobserved shocks to the state-pair border that affect all counties along the border. For example, if the Mississippi river floods, counties that are divided by the river will be affected, while counties on borders away from the river will not be. To address this concern, we use clustered standard errors on the state pair grouping. This method will not affect the estimated coefficients, but will adjust the standard errors of the estimates. States that are divided by the river, but not along borders far away from the river. </w:t>
      </w:r>
    </w:p>
    <w:p>
      <w:pPr>
        <w:pStyle w:val="TextBodyindent"/>
        <w:rPr/>
      </w:pPr>
      <w:r>
        <w:rPr/>
        <w:t xml:space="preserve">A possible concern with our specification is that states may change taxes in response to the difference in firm entry rates. This would introduce endogeneity in the model. However, due to the stability of our policy parameters, it seems unlikely that governments are responding to firm start up rates. Furthermore, it is unlikely that states set statewide policy based on the subset of border counties that we include in our model. </w:t>
      </w:r>
    </w:p>
    <w:p>
      <w:pPr>
        <w:pStyle w:val="Heading4"/>
        <w:rPr/>
      </w:pPr>
      <w:r>
        <w:rPr/>
        <w:t xml:space="preserve">5.2 </w:t>
      </w:r>
      <w:bookmarkStart w:id="33" w:name="x1-130005.2"/>
      <w:bookmarkEnd w:id="33"/>
      <w:r>
        <w:rPr/>
        <w:t>Sensitivity Tests</w:t>
      </w:r>
    </w:p>
    <w:p>
      <w:pPr>
        <w:pStyle w:val="Heading5"/>
        <w:rPr/>
      </w:pPr>
      <w:r>
        <w:rPr/>
        <w:t xml:space="preserve">5.2.1 </w:t>
      </w:r>
      <w:bookmarkStart w:id="34" w:name="x1-140005.2.1"/>
      <w:bookmarkEnd w:id="34"/>
      <w:r>
        <w:rPr/>
        <w:t>Extended Bandwidth</w:t>
      </w:r>
    </w:p>
    <w:p>
      <w:pPr>
        <w:pStyle w:val="TextBodynoindent"/>
        <w:spacing w:before="0" w:after="0"/>
        <w:rPr/>
      </w:pPr>
      <w:r>
        <w:rPr/>
        <w:t>We then extend the bandwidth of our estimator. For this process we match each subject county to each of its neighbor’s neighbor, while excluding any county in the original neighbor set. The process of generating these matched pairs is analogous to our initial match, where we now match the original neighbors, and each of their neighbors in the same state, then remove every county from our original match.</w:t>
      </w:r>
      <w:r>
        <w:fldChar w:fldCharType="begin"/>
      </w:r>
      <w:r>
        <w:instrText> HYPERLINK "file:///home/kdduncan/papers/firm_entry/paper/master5.html" \l "fn4x0"</w:instrText>
      </w:r>
      <w:r>
        <w:fldChar w:fldCharType="separate"/>
      </w:r>
      <w:r>
        <w:rPr>
          <w:rStyle w:val="InternetLink"/>
        </w:rPr>
        <w:t>4</w:t>
      </w:r>
      <w:r>
        <w:fldChar w:fldCharType="end"/>
      </w:r>
      <w:bookmarkStart w:id="35" w:name="x1-5002f4"/>
      <w:bookmarkEnd w:id="35"/>
      <w:r>
        <w:rPr/>
        <w:t xml:space="preserve"> We provide a graphical representation of these matching processes in Figure 8. This extended match connects 1,549 county-pairs across 107 state pairs each year. </w:t>
      </w:r>
    </w:p>
    <w:p>
      <w:pPr>
        <w:pStyle w:val="TextBodyindent"/>
        <w:spacing w:before="0" w:after="0"/>
        <w:rPr/>
      </w:pPr>
      <w:r>
        <w:rPr/>
      </w:r>
    </w:p>
    <w:p>
      <w:pPr>
        <w:pStyle w:val="TextBodynoindent"/>
        <w:spacing w:before="0" w:after="0"/>
        <w:rPr/>
      </w:pPr>
      <w:r>
        <w:rPr/>
        <w:t xml:space="preserve">We matched every subject county with every neighbor’s neighbor that the subject county was not previously matched with. This estimate extends the distance between each of our observations so we expect state tax differentials to play a less important role. Our new match becomes the model, </w:t>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7751"/>
        <w:gridCol w:w="543"/>
      </w:tblGrid>
      <w:tr>
        <w:trPr>
          <w:cantSplit w:val="false"/>
        </w:trPr>
        <w:tc>
          <w:tcPr>
            <w:tcW w:w="7751" w:type="dxa"/>
            <w:tcBorders>
              <w:top w:val="nil"/>
              <w:left w:val="nil"/>
              <w:bottom w:val="nil"/>
              <w:insideH w:val="nil"/>
              <w:right w:val="nil"/>
              <w:insideV w:val="nil"/>
            </w:tcBorders>
            <w:shd w:fill="auto" w:val="clear"/>
            <w:vAlign w:val="center"/>
          </w:tcPr>
          <w:p>
            <w:pPr>
              <w:pStyle w:val="TableContents"/>
              <w:spacing w:before="0" w:after="0"/>
              <w:jc w:val="center"/>
              <w:rPr/>
            </w:pPr>
            <w:bookmarkStart w:id="36" w:name="x1-14001r17"/>
            <w:bookmarkEnd w:id="36"/>
            <w:r>
              <w:rPr/>
              <w:drawing>
                <wp:inline distT="0" distB="0" distL="0" distR="0">
                  <wp:extent cx="4857750" cy="180975"/>
                  <wp:effectExtent l="0" t="0" r="0" b="0"/>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link="rId24"/>
                          <a:stretch>
                            <a:fillRect/>
                          </a:stretch>
                        </pic:blipFill>
                        <pic:spPr bwMode="auto">
                          <a:xfrm>
                            <a:off x="0" y="0"/>
                            <a:ext cx="4857750" cy="180975"/>
                          </a:xfrm>
                          <a:prstGeom prst="rect">
                            <a:avLst/>
                          </a:prstGeom>
                          <a:noFill/>
                          <a:ln w="9525">
                            <a:noFill/>
                            <a:miter lim="800000"/>
                            <a:headEnd/>
                            <a:tailEnd/>
                          </a:ln>
                        </pic:spPr>
                      </pic:pic>
                    </a:graphicData>
                  </a:graphic>
                </wp:inline>
              </w:drawing>
            </w:r>
          </w:p>
        </w:tc>
        <w:tc>
          <w:tcPr>
            <w:tcW w:w="543" w:type="dxa"/>
            <w:tcBorders>
              <w:top w:val="nil"/>
              <w:left w:val="nil"/>
              <w:bottom w:val="nil"/>
              <w:insideH w:val="nil"/>
              <w:right w:val="nil"/>
              <w:insideV w:val="nil"/>
            </w:tcBorders>
            <w:shd w:fill="auto" w:val="clear"/>
            <w:vAlign w:val="center"/>
          </w:tcPr>
          <w:p>
            <w:pPr>
              <w:pStyle w:val="TableContents"/>
              <w:spacing w:before="0" w:after="283"/>
              <w:rPr/>
            </w:pPr>
            <w:r>
              <w:rPr/>
              <w:t>(17)</w:t>
            </w:r>
          </w:p>
        </w:tc>
      </w:tr>
    </w:tbl>
    <w:p>
      <w:pPr>
        <w:pStyle w:val="Heading5"/>
        <w:rPr/>
      </w:pPr>
      <w:r>
        <w:rPr/>
        <w:t xml:space="preserve">5.2.2 </w:t>
      </w:r>
      <w:bookmarkStart w:id="37" w:name="x1-150005.2.2"/>
      <w:bookmarkEnd w:id="37"/>
      <w:r>
        <w:rPr/>
        <w:t>Relaxing Coefficient Symmetry</w:t>
      </w:r>
    </w:p>
    <w:p>
      <w:pPr>
        <w:pStyle w:val="TextBodynoindent"/>
        <w:spacing w:before="0" w:after="0"/>
        <w:rPr/>
      </w:pPr>
      <w:r>
        <w:rPr/>
        <w:t xml:space="preserve">We test a version of this model where we do not impose symmetry in the coefficients across borders. Instead we let coefficients take on their own value in the difference, and use a set of F-tests to test whether our assumption that </w:t>
      </w:r>
      <w:r>
        <w:rPr>
          <w:i/>
        </w:rPr>
        <w:t>β</w:t>
      </w:r>
      <w:r>
        <w:rPr>
          <w:i/>
          <w:position w:val="-7"/>
          <w:sz w:val="19"/>
        </w:rPr>
        <w:t>k,A</w:t>
      </w:r>
      <w:r>
        <w:rPr/>
        <w:t xml:space="preserve"> = -</w:t>
      </w:r>
      <w:r>
        <w:rPr>
          <w:i/>
        </w:rPr>
        <w:t>β</w:t>
      </w:r>
      <w:r>
        <w:rPr>
          <w:i/>
          <w:position w:val="-7"/>
          <w:sz w:val="19"/>
        </w:rPr>
        <w:t>k,B</w:t>
      </w:r>
      <w:r>
        <w:rPr>
          <w:i/>
        </w:rPr>
        <w:t>,</w:t>
      </w:r>
      <w:r>
        <w:rPr/>
        <w:t>∀</w:t>
      </w:r>
      <w:r>
        <w:rPr>
          <w:i/>
        </w:rPr>
        <w:t xml:space="preserve">k </w:t>
      </w:r>
      <w:r>
        <w:rPr/>
        <w:t>∈{1</w:t>
      </w:r>
      <w:r>
        <w:rPr>
          <w:i/>
        </w:rPr>
        <w:t>,...,K</w:t>
      </w:r>
      <w:r>
        <w:rPr>
          <w:position w:val="-7"/>
          <w:sz w:val="19"/>
        </w:rPr>
        <w:t>2</w:t>
      </w:r>
      <w:r>
        <w:rPr/>
        <w:t xml:space="preserve">} holds. </w:t>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4616"/>
        <w:gridCol w:w="543"/>
      </w:tblGrid>
      <w:tr>
        <w:trPr>
          <w:cantSplit w:val="false"/>
        </w:trPr>
        <w:tc>
          <w:tcPr>
            <w:tcW w:w="4616" w:type="dxa"/>
            <w:tcBorders>
              <w:top w:val="nil"/>
              <w:left w:val="nil"/>
              <w:bottom w:val="nil"/>
              <w:insideH w:val="nil"/>
              <w:right w:val="nil"/>
              <w:insideV w:val="nil"/>
            </w:tcBorders>
            <w:shd w:fill="auto" w:val="clear"/>
            <w:vAlign w:val="center"/>
          </w:tcPr>
          <w:p>
            <w:pPr>
              <w:pStyle w:val="TableContents"/>
              <w:spacing w:before="0" w:after="0"/>
              <w:jc w:val="center"/>
              <w:rPr/>
            </w:pPr>
            <w:bookmarkStart w:id="38" w:name="x1-15001r18"/>
            <w:bookmarkEnd w:id="38"/>
            <w:r>
              <w:rPr/>
              <w:drawing>
                <wp:inline distT="0" distB="0" distL="0" distR="0">
                  <wp:extent cx="2867025" cy="200025"/>
                  <wp:effectExtent l="0" t="0" r="0" b="0"/>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link="rId25"/>
                          <a:stretch>
                            <a:fillRect/>
                          </a:stretch>
                        </pic:blipFill>
                        <pic:spPr bwMode="auto">
                          <a:xfrm>
                            <a:off x="0" y="0"/>
                            <a:ext cx="2867025" cy="200025"/>
                          </a:xfrm>
                          <a:prstGeom prst="rect">
                            <a:avLst/>
                          </a:prstGeom>
                          <a:noFill/>
                          <a:ln w="9525">
                            <a:noFill/>
                            <a:miter lim="800000"/>
                            <a:headEnd/>
                            <a:tailEnd/>
                          </a:ln>
                        </pic:spPr>
                      </pic:pic>
                    </a:graphicData>
                  </a:graphic>
                </wp:inline>
              </w:drawing>
            </w:r>
          </w:p>
        </w:tc>
        <w:tc>
          <w:tcPr>
            <w:tcW w:w="543" w:type="dxa"/>
            <w:tcBorders>
              <w:top w:val="nil"/>
              <w:left w:val="nil"/>
              <w:bottom w:val="nil"/>
              <w:insideH w:val="nil"/>
              <w:right w:val="nil"/>
              <w:insideV w:val="nil"/>
            </w:tcBorders>
            <w:shd w:fill="auto" w:val="clear"/>
            <w:vAlign w:val="center"/>
          </w:tcPr>
          <w:p>
            <w:pPr>
              <w:pStyle w:val="TableContents"/>
              <w:spacing w:before="0" w:after="283"/>
              <w:rPr/>
            </w:pPr>
            <w:r>
              <w:rPr/>
              <w:t>(18)</w:t>
            </w:r>
          </w:p>
        </w:tc>
      </w:tr>
    </w:tbl>
    <w:p>
      <w:pPr>
        <w:pStyle w:val="Heading5"/>
        <w:rPr/>
      </w:pPr>
      <w:r>
        <w:rPr/>
        <w:t xml:space="preserve">5.2.3 </w:t>
      </w:r>
      <w:bookmarkStart w:id="39" w:name="x1-160005.2.3"/>
      <w:bookmarkEnd w:id="39"/>
      <w:r>
        <w:rPr/>
        <w:t>Period Specific Cross Section Analysis</w:t>
      </w:r>
    </w:p>
    <w:p>
      <w:pPr>
        <w:pStyle w:val="TextBodynoindent"/>
        <w:spacing w:before="0" w:after="0"/>
        <w:rPr/>
      </w:pPr>
      <w:r>
        <w:rPr/>
        <w:t xml:space="preserve">Fifth, we estimate cross-sectional models for each year in our sample. We then compare these estimates to our pooled OLS estimates to gauge if tax incidence on firm start up rates remains stable over time. </w:t>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6476"/>
        <w:gridCol w:w="543"/>
      </w:tblGrid>
      <w:tr>
        <w:trPr>
          <w:cantSplit w:val="false"/>
        </w:trPr>
        <w:tc>
          <w:tcPr>
            <w:tcW w:w="6476" w:type="dxa"/>
            <w:tcBorders>
              <w:top w:val="nil"/>
              <w:left w:val="nil"/>
              <w:bottom w:val="nil"/>
              <w:insideH w:val="nil"/>
              <w:right w:val="nil"/>
              <w:insideV w:val="nil"/>
            </w:tcBorders>
            <w:shd w:fill="auto" w:val="clear"/>
            <w:vAlign w:val="center"/>
          </w:tcPr>
          <w:p>
            <w:pPr>
              <w:pStyle w:val="TableContents"/>
              <w:spacing w:before="0" w:after="0"/>
              <w:jc w:val="center"/>
              <w:rPr/>
            </w:pPr>
            <w:bookmarkStart w:id="40" w:name="x1-16001r19"/>
            <w:bookmarkEnd w:id="40"/>
            <w:r>
              <w:rPr/>
              <w:drawing>
                <wp:inline distT="0" distB="0" distL="0" distR="0">
                  <wp:extent cx="4048125" cy="200025"/>
                  <wp:effectExtent l="0" t="0" r="0" b="0"/>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link="rId26"/>
                          <a:stretch>
                            <a:fillRect/>
                          </a:stretch>
                        </pic:blipFill>
                        <pic:spPr bwMode="auto">
                          <a:xfrm>
                            <a:off x="0" y="0"/>
                            <a:ext cx="4048125" cy="200025"/>
                          </a:xfrm>
                          <a:prstGeom prst="rect">
                            <a:avLst/>
                          </a:prstGeom>
                          <a:noFill/>
                          <a:ln w="9525">
                            <a:noFill/>
                            <a:miter lim="800000"/>
                            <a:headEnd/>
                            <a:tailEnd/>
                          </a:ln>
                        </pic:spPr>
                      </pic:pic>
                    </a:graphicData>
                  </a:graphic>
                </wp:inline>
              </w:drawing>
            </w:r>
          </w:p>
        </w:tc>
        <w:tc>
          <w:tcPr>
            <w:tcW w:w="543" w:type="dxa"/>
            <w:tcBorders>
              <w:top w:val="nil"/>
              <w:left w:val="nil"/>
              <w:bottom w:val="nil"/>
              <w:insideH w:val="nil"/>
              <w:right w:val="nil"/>
              <w:insideV w:val="nil"/>
            </w:tcBorders>
            <w:shd w:fill="auto" w:val="clear"/>
            <w:vAlign w:val="center"/>
          </w:tcPr>
          <w:p>
            <w:pPr>
              <w:pStyle w:val="TableContents"/>
              <w:spacing w:before="0" w:after="283"/>
              <w:rPr/>
            </w:pPr>
            <w:r>
              <w:rPr/>
              <w:t>(19)</w:t>
            </w:r>
          </w:p>
        </w:tc>
      </w:tr>
    </w:tbl>
    <w:p>
      <w:pPr>
        <w:pStyle w:val="Heading5"/>
        <w:rPr/>
      </w:pPr>
      <w:r>
        <w:rPr/>
        <w:t xml:space="preserve">5.2.4 </w:t>
      </w:r>
      <w:bookmarkStart w:id="41" w:name="x1-170005.2.4"/>
      <w:bookmarkEnd w:id="41"/>
      <w:r>
        <w:rPr/>
        <w:t>Industry Sub codes</w:t>
      </w:r>
    </w:p>
    <w:p>
      <w:pPr>
        <w:pStyle w:val="TextBodynoindent"/>
        <w:rPr/>
      </w:pPr>
      <w:r>
        <w:rPr/>
        <w:t xml:space="preserve">We estimate the model for industry sub-sets of the data (by 2 – digit NAICS code) to investigate if the estimated effects of tax rates are stable across industries. We have sufficient data on firm entry for the following industries: Agriculture, Fishing, Forestry, and Hunting; Retail Trade; Manufacturing; and Finance and Insurance. </w:t>
      </w:r>
    </w:p>
    <w:p>
      <w:pPr>
        <w:pStyle w:val="Heading4"/>
        <w:rPr/>
      </w:pPr>
      <w:r>
        <w:rPr/>
        <w:t xml:space="preserve">5.3 </w:t>
      </w:r>
      <w:bookmarkStart w:id="42" w:name="x1-180005.3"/>
      <w:bookmarkEnd w:id="42"/>
      <w:r>
        <w:rPr/>
        <w:t>Sub-sample Estimates</w:t>
      </w:r>
    </w:p>
    <w:p>
      <w:pPr>
        <w:pStyle w:val="TextBodynoindent"/>
        <w:rPr/>
      </w:pPr>
      <w:r>
        <w:rPr/>
        <w:t>Lastly, we estimate our model for four different urbanization categories. First, is for counties that are in Metropolitan Statistical Areas in general, and where both subject and neighbor counties are in the same MSA. We then partition counties into areas where both are either urban or rural. We use the ERS classification system to determine if a county is urban or rural, where a county is defined as urban if its classification is below a 7, and rural if its classification is higher than 6.</w:t>
      </w:r>
      <w:r>
        <w:fldChar w:fldCharType="begin"/>
      </w:r>
      <w:r>
        <w:instrText> HYPERLINK "file:///home/kdduncan/papers/firm_entry/paper/master16.html" \l "fn15x0"</w:instrText>
      </w:r>
      <w:r>
        <w:fldChar w:fldCharType="separate"/>
      </w:r>
      <w:r>
        <w:rPr>
          <w:rStyle w:val="InternetLink"/>
        </w:rPr>
        <w:t>15</w:t>
      </w:r>
      <w:r>
        <w:fldChar w:fldCharType="end"/>
      </w:r>
      <w:r>
        <w:rPr/>
        <w:t xml:space="preserve"> </w:t>
      </w:r>
    </w:p>
    <w:p>
      <w:pPr>
        <w:pStyle w:val="TextBodyindent"/>
        <w:rPr/>
      </w:pPr>
      <w:r>
        <w:rPr/>
        <w:t xml:space="preserve">We further follow Rohlin, Rosenthal, and Ross (2015) by including comparisons between states that have reciprocal agreements, and those without reciprocal agreements. Our original samples might be biased, as a few states have reciprocal agreements, where individuals pay the income tax rate of the state they work in rather than where they live. We split our sample into states with and without reciprocal agreements, and estimate our model on each section. </w:t>
      </w:r>
    </w:p>
    <w:p>
      <w:pPr>
        <w:pStyle w:val="Heading3"/>
        <w:rPr/>
      </w:pPr>
      <w:r>
        <w:rPr/>
        <w:t xml:space="preserve">6 </w:t>
      </w:r>
      <w:bookmarkStart w:id="43" w:name="x1-190006"/>
      <w:bookmarkEnd w:id="43"/>
      <w:r>
        <w:rPr/>
        <w:t>Results</w:t>
      </w:r>
    </w:p>
    <w:p>
      <w:pPr>
        <w:pStyle w:val="TextBodynoindent"/>
        <w:rPr/>
      </w:pPr>
      <w:r>
        <w:rPr/>
        <w:t>Our main results are reported in Table (</w:t>
      </w:r>
      <w:hyperlink w:anchor="x1-2201613">
        <w:r>
          <w:rPr>
            <w:rStyle w:val="InternetLink"/>
          </w:rPr>
          <w:t>13</w:t>
        </w:r>
      </w:hyperlink>
      <w:r>
        <w:rPr/>
        <w:t xml:space="preserve">). The first four columns report the pooled OLS estimates with and without our sets of additional control variables. The last two columns report our fixed effect estimates. Higher relative income taxes and sales taxes deter firm entry. This result is robust to the addition of controls, and in fact, the estimated effects become slightly stronger (more negative) with the added measures. </w:t>
      </w:r>
    </w:p>
    <w:p>
      <w:pPr>
        <w:pStyle w:val="TextBodyindent"/>
        <w:rPr/>
      </w:pPr>
      <w:r>
        <w:rPr/>
        <w:t xml:space="preserve">While statistically significant the effects are economically small. A 1 percent increase in income tax differentials correspond to a 0.8 percent decrease in the relative firm start up rates, and similarly a 1 percent increase in sales tax differentials corresponds to a 0.1 percent decrease in the relative firm start up rates. Higher relative property tax rates also exert a negative influence on firm births, although this effect becomes statistically insignificant when amenity measures are included in the model. While capital gains, corporate tax, workers compensation, and unemployment insurance tax rates are individually insignificant, the set of seven tax rates are jointly significant. </w:t>
      </w:r>
    </w:p>
    <w:p>
      <w:pPr>
        <w:pStyle w:val="TextBodyindent"/>
        <w:rPr/>
      </w:pPr>
      <w:r>
        <w:rPr/>
        <w:t xml:space="preserve">Of the three expenditure measures included in the model, only the difference in log welfare spending per capita is statistically significant.The coefficient is economically very small, such that a 1% increase in the difference corresponds to 0.001% higher firm entry rates. </w:t>
      </w:r>
    </w:p>
    <w:p>
      <w:pPr>
        <w:pStyle w:val="TextBodyindent"/>
        <w:rPr/>
      </w:pPr>
      <w:r>
        <w:rPr/>
        <w:t xml:space="preserve">When we run models with state-pair level fixed effects we fail to obtain any statistically significant results. However, the value of these models are dubious. We first argue that our pooled OLS estimates are most likely the properly specified model as firm start up rates are an already differenced estimate. Thus the inclusion of state pair fixed effect require year to year divergence in expected profit from entry, which shouldn’t occur under perfect competition. Rather this still might imply that there are still relevant variables we may be leaving out of our model. </w:t>
      </w:r>
    </w:p>
    <w:p>
      <w:pPr>
        <w:pStyle w:val="TextBodyindent"/>
        <w:rPr/>
      </w:pPr>
      <w:r>
        <w:rPr/>
        <w:t xml:space="preserve">Table </w:t>
      </w:r>
      <w:r>
        <w:rPr>
          <w:b/>
        </w:rPr>
        <w:t>??</w:t>
      </w:r>
      <w:r>
        <w:rPr/>
        <w:t xml:space="preserve"> reports the estimates for the extended bandwidth version of our model. We expect that the increased distance between the two locations, and the increased distance from the border, will diminish the impact taxes have on firm start up rates. Meanwhile we would expect the measures of state and local factors to have a larger impact. Our results are consistent with these expectations. The income and sales tax rates lose statistical significance across model types. Further, our state level controls remain largely insignificant, as do our geographic controls. Thus, the fit of the model at large seems to decrease as the distance between counties increases. </w:t>
      </w:r>
    </w:p>
    <w:p>
      <w:pPr>
        <w:pStyle w:val="TextBodyindent"/>
        <w:rPr/>
      </w:pPr>
      <w:r>
        <w:rPr/>
        <w:t xml:space="preserve">When we relax the assumption that that coefficients are equal on either side of the border, we find that for most of our variables, the effects remain equal but opposite across the border. Table </w:t>
      </w:r>
      <w:hyperlink w:anchor="x1-220107">
        <w:r>
          <w:rPr>
            <w:rStyle w:val="InternetLink"/>
          </w:rPr>
          <w:t>7</w:t>
        </w:r>
      </w:hyperlink>
      <w:r>
        <w:rPr/>
        <w:t xml:space="preserve"> reports coefficients, while Table </w:t>
      </w:r>
      <w:hyperlink w:anchor="x1-2201714">
        <w:r>
          <w:rPr>
            <w:rStyle w:val="InternetLink"/>
          </w:rPr>
          <w:t>14</w:t>
        </w:r>
      </w:hyperlink>
      <w:r>
        <w:rPr/>
        <w:t xml:space="preserve"> provides F-tests of the hypothesis that the coefficients are equal, that for each variable, </w:t>
      </w:r>
      <w:r>
        <w:rPr>
          <w:i/>
        </w:rPr>
        <w:t>β</w:t>
      </w:r>
      <w:r>
        <w:rPr>
          <w:i/>
          <w:position w:val="-7"/>
          <w:sz w:val="19"/>
        </w:rPr>
        <w:t>i,sub</w:t>
      </w:r>
      <w:r>
        <w:rPr/>
        <w:t xml:space="preserve"> = -</w:t>
      </w:r>
      <w:r>
        <w:rPr>
          <w:i/>
        </w:rPr>
        <w:t>β</w:t>
      </w:r>
      <w:r>
        <w:rPr>
          <w:i/>
          <w:position w:val="-7"/>
          <w:sz w:val="19"/>
        </w:rPr>
        <w:t>i,nbr</w:t>
      </w:r>
      <w:r>
        <w:rPr/>
        <w:t xml:space="preserve">. We test for each variable that </w:t>
      </w:r>
      <w:r>
        <w:rPr>
          <w:i/>
        </w:rPr>
        <w:t>β</w:t>
      </w:r>
      <w:r>
        <w:rPr>
          <w:i/>
          <w:position w:val="-7"/>
          <w:sz w:val="19"/>
        </w:rPr>
        <w:t>i,sub</w:t>
      </w:r>
      <w:r>
        <w:rPr/>
        <w:t xml:space="preserve"> = -</w:t>
      </w:r>
      <w:r>
        <w:rPr>
          <w:i/>
        </w:rPr>
        <w:t>β</w:t>
      </w:r>
      <w:r>
        <w:rPr>
          <w:i/>
          <w:position w:val="-7"/>
          <w:sz w:val="19"/>
        </w:rPr>
        <w:t>i,nbr</w:t>
      </w:r>
      <w:r>
        <w:rPr/>
        <w:t>. The results verify our belief that the coefficients are of equal magnitude and opposite sign. The exceptions are sales tax rates and workers compensation tax rates. For the subject county sales taxes are strongly and negatively significant, but for the neighbor they are insignificant. However, given that the rest of them pass, this might be a spurious result due to the number of regressors. We see an equivalent note in the workers compensation figures in our F tests, where for the neighboring county it appears to be significant, but not for the subject county.</w:t>
      </w:r>
      <w:r>
        <w:fldChar w:fldCharType="begin"/>
      </w:r>
      <w:r>
        <w:instrText> HYPERLINK "file:///home/kdduncan/papers/firm_entry/paper/master17.html" \l "fn16x0"</w:instrText>
      </w:r>
      <w:r>
        <w:fldChar w:fldCharType="separate"/>
      </w:r>
      <w:r>
        <w:rPr>
          <w:rStyle w:val="InternetLink"/>
        </w:rPr>
        <w:t>16</w:t>
      </w:r>
      <w:r>
        <w:fldChar w:fldCharType="end"/>
      </w:r>
      <w:bookmarkStart w:id="44" w:name="x1-19001f16"/>
      <w:bookmarkEnd w:id="44"/>
      <w:r>
        <w:rPr/>
        <w:t xml:space="preserve"> Hover, given the rest of taxes pass this test, this finding might be a spurious result due to the number of regressors. </w:t>
      </w:r>
    </w:p>
    <w:p>
      <w:pPr>
        <w:pStyle w:val="TextBodyindent"/>
        <w:rPr/>
      </w:pPr>
      <w:r>
        <w:rPr/>
        <w:t xml:space="preserve">Table </w:t>
      </w:r>
      <w:hyperlink w:anchor="x1-2201411">
        <w:r>
          <w:rPr>
            <w:rStyle w:val="InternetLink"/>
          </w:rPr>
          <w:t>11</w:t>
        </w:r>
      </w:hyperlink>
      <w:r>
        <w:rPr/>
        <w:t xml:space="preserve"> shows regression results for each year between 1999 and 2009. We include state controls but exclude geographic amenities. Property taxes remain consistently negative and statistically significant over the time period. Likewise, sales tax rates remain negative and statistically significant, with the effect becoming somewhat larger over time. Income taxes are insignificant, but negative, at the beginning of the time period, but become statistically significant and larger in the later years. Log highway and welfare expenditures per capita are positive drivers of firm entry, but the effects are inconsistently significant across the time periods and the magnitudes are very small. </w:t>
      </w:r>
    </w:p>
    <w:p>
      <w:pPr>
        <w:pStyle w:val="TextBodyindent"/>
        <w:rPr/>
      </w:pPr>
      <w:r>
        <w:rPr/>
        <w:t xml:space="preserve">Finally, Table </w:t>
      </w:r>
      <w:hyperlink w:anchor="x1-2201512">
        <w:r>
          <w:rPr>
            <w:rStyle w:val="InternetLink"/>
          </w:rPr>
          <w:t>12</w:t>
        </w:r>
      </w:hyperlink>
      <w:r>
        <w:rPr/>
        <w:t xml:space="preserve"> reports the estimates by NAICS sub codes, Agriculture, Fishing, Forestry, and Hunting; Retail Trade; Manufacturing; and Finance and Insurance. These results are very consistent with the results for all firms in Table </w:t>
      </w:r>
      <w:hyperlink w:anchor="x1-2201613">
        <w:r>
          <w:rPr>
            <w:rStyle w:val="InternetLink"/>
          </w:rPr>
          <w:t>13</w:t>
        </w:r>
      </w:hyperlink>
      <w:r>
        <w:rPr/>
        <w:t xml:space="preserve">. Property, income and sales taxes are significantly negative in all specifications, and furthermore, the magnitudes are very similar across the industries. Driving this effect is probably due to the relatively large size of counties, giving space for many different types of firms to open up. Further, services may make up the bulk of this cross-industry firm opening. However, our hypothesis would be to expect higher property taxes to have a larger detrimental effect on agriculture services, and capital gains taxes to have a higher impact on financial firm entry. </w:t>
      </w:r>
    </w:p>
    <w:p>
      <w:pPr>
        <w:pStyle w:val="TextBodyindent"/>
        <w:rPr/>
      </w:pPr>
      <w:r>
        <w:rPr/>
        <w:t xml:space="preserve">Table </w:t>
      </w:r>
      <w:r>
        <w:rPr>
          <w:b/>
        </w:rPr>
        <w:t>??</w:t>
      </w:r>
      <w:r>
        <w:rPr/>
        <w:t xml:space="preserve"> provides an alternative look at this effect. We see that as we widen and narrow our definition of urban, that capital gains remains positive and significant, while income and sales taxes remain negative and significant. Comparably, in rural areas, property taxes remain negative and significant, and seem to solely drive the firm entry differential, to the point where the joint F-tests are rejected across all model specifications. This property tax differential is explained in the literature by firms moving to rural areas to take advantage of low property values and lower wages for work. </w:t>
      </w:r>
    </w:p>
    <w:p>
      <w:pPr>
        <w:pStyle w:val="TextBodyindent"/>
        <w:rPr/>
      </w:pPr>
      <w:r>
        <w:rPr/>
        <w:t xml:space="preserve">As a final output of our paper, we compare two different rankings to identify which borders are most (or least) disadvantaged with regard to tax differentials. First we calculate the weighted tax differential by multiplying the tax coefficients from Table </w:t>
      </w:r>
      <w:hyperlink w:anchor="x1-2201613">
        <w:r>
          <w:rPr>
            <w:rStyle w:val="InternetLink"/>
          </w:rPr>
          <w:t>13</w:t>
        </w:r>
      </w:hyperlink>
      <w:r>
        <w:rPr/>
        <w:t xml:space="preserve">, column 4 by each states marginal tax values. This generates an expected value is in the ratio of firm start up rates driven by the tax differentials. These are plotted in Figure </w:t>
      </w:r>
      <w:hyperlink w:anchor="x1-220008">
        <w:r>
          <w:rPr>
            <w:rStyle w:val="InternetLink"/>
          </w:rPr>
          <w:t>8</w:t>
        </w:r>
      </w:hyperlink>
      <w:r>
        <w:rPr/>
        <w:t xml:space="preserve">. For most states the weighted tax differential is very small, thus the implied impact of taxes on relative firm start up rates is ultimately small. However, for a few counties, this is not the case, and we see clear outliers where more than a 1% difference in firm start up rates is motivated by the difference in tax rates. </w:t>
      </w:r>
    </w:p>
    <w:p>
      <w:pPr>
        <w:pStyle w:val="TextBodyindent"/>
        <w:rPr/>
      </w:pPr>
      <w:r>
        <w:rPr/>
        <w:t xml:space="preserve">To illustrate how important this effect is for firm entry we rank the county-pairs by the absolute difference in the mean number of firm start ups, and compare this to the weighted tax differential. Table </w:t>
      </w:r>
      <w:r>
        <w:rPr>
          <w:b/>
        </w:rPr>
        <w:t>??</w:t>
      </w:r>
      <w:r>
        <w:rPr/>
        <w:t xml:space="preserve"> reports the top 50 largest mean differences in firm start-ups. Since we calculate these terms in absolute value, we report which side of the border has the advantage for firm start ups in column 2 and which has the advantage in terms for tax rate differences in column 4. Sixty-two percent of the time, the side with the more advantageous weighted tax differential also has the higher mean firm start up differential. We similarly rank the top 10 states by Weighted Tax Differential. Compared to weighting by mean firm start up rate, there is a higher correlation between having a higher weighted tax differential and mean firm start ups. </w:t>
      </w:r>
    </w:p>
    <w:p>
      <w:pPr>
        <w:pStyle w:val="Heading3"/>
        <w:rPr/>
      </w:pPr>
      <w:r>
        <w:rPr/>
        <w:t xml:space="preserve">7 </w:t>
      </w:r>
      <w:bookmarkStart w:id="45" w:name="x1-200007"/>
      <w:bookmarkEnd w:id="45"/>
      <w:r>
        <w:rPr/>
        <w:t>Conclusion</w:t>
      </w:r>
    </w:p>
    <w:p>
      <w:pPr>
        <w:pStyle w:val="TextBodynoindent"/>
        <w:rPr/>
      </w:pPr>
      <w:r>
        <w:rPr/>
        <w:t xml:space="preserve">This paper estimates the average impact of taxes on firm start up rates. Using a model that relies on the similarity of locations on either side of a state border, we are able to effectively control for location-specific determinants of firm entry in our empirical design, and more precisely isolate the effects of policy that do vary on opposite sides of a state border. </w:t>
      </w:r>
    </w:p>
    <w:p>
      <w:pPr>
        <w:pStyle w:val="TextBodyindent"/>
        <w:rPr/>
      </w:pPr>
      <w:r>
        <w:rPr/>
        <w:t xml:space="preserve">We find that counties with higher property, income, and sales taxes relative to a neighboring county in another state, have lower firm start-up rates. On average, a 1% increase in the property tax differential decreases firm start up rates by 0.3%, while a 1% increase in income and sales tax differentials decreases firm start up rates by 0.01%. These results are generally consistent across industry groups, and time periods in our sample. They are also largely robust to the addition of added controls. </w:t>
      </w:r>
    </w:p>
    <w:p>
      <w:pPr>
        <w:pStyle w:val="TextBodyindent"/>
        <w:rPr/>
      </w:pPr>
      <w:r>
        <w:rPr/>
        <w:t xml:space="preserve">Our estimated model’s inability to find significant corporate and capital gains taxes follows from characteristics of new firm entrants. Lacking firm-level characteristics, our model approximates an average firm from the joint distribution of firm characteristics. However, most new firms are small S corporations, meaning that owners pay top marginal income taxes rather than corporate taxes, and firm employment and output is relatively low. Sales, income, and property taxes may play a significantly larger role on their profits than capital gains and corporate tax rates. Moreover, most new firms have a relatively short life span, such that investments in the company will probably not be recouped, and that capital gains tax rates are not likely to impact the majority of small new firm entrants. </w:t>
      </w:r>
    </w:p>
    <w:p>
      <w:pPr>
        <w:pStyle w:val="TextBodyindent"/>
        <w:rPr/>
      </w:pPr>
      <w:r>
        <w:rPr/>
        <w:t xml:space="preserve">Government expenditure variables do not seem to impact firm start up rates. This might be due to the fact that individuals can live in one county that has a preferred public expenditure bundle and set up a businesses in a neighboring county that has a preferred regulatory policy. Our robustness tests using Rohlin, Rosenthal, and Ross (2014) reciprocal agreements mirror our main model and estimates, indicating that this impact is largely not large. </w:t>
      </w:r>
    </w:p>
    <w:p>
      <w:pPr>
        <w:pStyle w:val="TextBodyindent"/>
        <w:rPr/>
      </w:pPr>
      <w:r>
        <w:rPr/>
        <w:t xml:space="preserve">Based on our estimates, we calculate a weighted tax differential, showing that the impact of taxes on firm entry rates remain small, only accounting for about 0.2% of the difference in firm start up behavior across borders. Despite this, the side with the preferred taxation policy had more firm start ups 62% of the time in our sample. Therefore while taxes might have a small impact at the margin, their adjustment may still be beneficial to communities and states. </w:t>
      </w:r>
    </w:p>
    <w:p>
      <w:pPr>
        <w:pStyle w:val="TextBodyindent"/>
        <w:rPr/>
      </w:pPr>
      <w:r>
        <w:rPr/>
        <w:t>Future work on this issue could benefit from more dis-aggregated, firm-level data with firm specific characteristics. This would help establish better estimates of tax incidence on firm start up and life cycle behavior. Our current estimates are limited by our set of covariates. Lacking firm specific data, our estimates rely on a proxy ”average firm”, which is most likely small and not paying corporate taxes, nor have venture capital backing. Thus taxes that may have impacts based on firm characteristics may be omitted from our model.</w:t>
      </w:r>
    </w:p>
    <w:p>
      <w:pPr>
        <w:pStyle w:val="TextBodyindent"/>
        <w:rPr/>
      </w:pPr>
      <w:r>
        <w:rPr/>
      </w:r>
    </w:p>
    <w:p>
      <w:pPr>
        <w:pStyle w:val="TextBodyindent"/>
        <w:rPr/>
      </w:pPr>
      <w:r>
        <w:rPr/>
      </w:r>
    </w:p>
    <w:p>
      <w:pPr>
        <w:pStyle w:val="TextBodyindent"/>
        <w:rPr/>
      </w:pPr>
      <w:r>
        <w:rPr/>
      </w:r>
    </w:p>
    <w:p>
      <w:pPr>
        <w:pStyle w:val="TextBodyindent"/>
        <w:rPr/>
      </w:pPr>
      <w:r>
        <w:rPr/>
      </w:r>
    </w:p>
    <w:p>
      <w:pPr>
        <w:pStyle w:val="TextBodyindent"/>
        <w:rPr/>
      </w:pPr>
      <w:r>
        <w:rPr/>
      </w:r>
    </w:p>
    <w:p>
      <w:pPr>
        <w:pStyle w:val="TextBodyindent"/>
        <w:rPr/>
      </w:pPr>
      <w:r>
        <w:rPr/>
        <w:t xml:space="preserve"> </w:t>
      </w:r>
    </w:p>
    <w:p>
      <w:pPr>
        <w:pStyle w:val="Heading3"/>
        <w:rPr/>
      </w:pPr>
      <w:bookmarkStart w:id="46" w:name="x1-210007"/>
      <w:bookmarkEnd w:id="46"/>
      <w:r>
        <w:rPr/>
        <w:t>References</w:t>
      </w:r>
    </w:p>
    <w:p>
      <w:pPr>
        <w:pStyle w:val="TextBodybibitem"/>
        <w:rPr/>
      </w:pPr>
      <w:r>
        <w:rPr/>
        <w:t>[1]   </w:t>
      </w:r>
      <w:bookmarkStart w:id="47" w:name="XAgrawal1"/>
      <w:bookmarkEnd w:id="47"/>
      <w:r>
        <w:rPr/>
        <w:t xml:space="preserve">Agarwal, David (2015), ”The Tax Gradient: Spatial Aspects of Fiscal Competition,” The American Economic Journal: Economic Policy, Vol 7 no 2, pp 1-29. </w:t>
      </w:r>
    </w:p>
    <w:p>
      <w:pPr>
        <w:pStyle w:val="TextBodybibitem"/>
        <w:rPr/>
      </w:pPr>
      <w:r>
        <w:rPr/>
        <w:t>[2]   </w:t>
      </w:r>
      <w:bookmarkStart w:id="48" w:name="XAgrawal2"/>
      <w:bookmarkEnd w:id="48"/>
      <w:r>
        <w:rPr/>
        <w:t xml:space="preserve">Agarwal, David (2016), ”Local Fiscal Competition: An Application to Sales Taxation with Multiple Federations,” Journal of Urban Economics, Vol 91, pp 122-138 </w:t>
      </w:r>
    </w:p>
    <w:p>
      <w:pPr>
        <w:pStyle w:val="TextBodybibitem"/>
        <w:rPr/>
      </w:pPr>
      <w:r>
        <w:rPr/>
        <w:t>[3]   </w:t>
      </w:r>
      <w:bookmarkStart w:id="49" w:name="XArauzoCarodetal"/>
      <w:bookmarkEnd w:id="49"/>
      <w:r>
        <w:rPr/>
        <w:t xml:space="preserve">Arauzo-Carod, JM, Liviano-Solis, D, Manjon-Antolin, M, ”Empirical Studies in Industrial Location: An Assessment of Their Methods and Results,” Journal of Regional Science 2010, 50 (3), 685-711 </w:t>
      </w:r>
    </w:p>
    <w:p>
      <w:pPr>
        <w:pStyle w:val="TextBodybibitem"/>
        <w:rPr/>
      </w:pPr>
      <w:r>
        <w:rPr/>
        <w:t>[4]   </w:t>
      </w:r>
      <w:bookmarkStart w:id="50" w:name="XBartik85"/>
      <w:bookmarkEnd w:id="50"/>
      <w:r>
        <w:rPr/>
        <w:t xml:space="preserve">Bartik, Timothy, ”Business location Decisions in the United States: estimates of the Effects of Unionization, Taxes, and other characteristics of States,” Journal of Business and Economic Statistics (1985), Vol. 3, pp 14-22 </w:t>
      </w:r>
    </w:p>
    <w:p>
      <w:pPr>
        <w:pStyle w:val="TextBodybibitem"/>
        <w:rPr/>
      </w:pPr>
      <w:r>
        <w:rPr/>
        <w:t>[5]   </w:t>
      </w:r>
      <w:bookmarkStart w:id="51" w:name="XBrulhartetal"/>
      <w:bookmarkEnd w:id="51"/>
      <w:r>
        <w:rPr/>
        <w:t xml:space="preserve">Brülhart, Marius, Jametti, Mario, and Schmidheiny, Kurt, ”Do Agglomeration Economics Reduce the Sensitivity of Firm Location to Tax Differentials?” The Economic Journal, Vol. 122, No. 563 (September 2012), pp. 1069-1093 </w:t>
      </w:r>
    </w:p>
    <w:p>
      <w:pPr>
        <w:pStyle w:val="TextBodybibitem"/>
        <w:rPr/>
      </w:pPr>
      <w:r>
        <w:rPr/>
        <w:t>[6]   </w:t>
      </w:r>
      <w:bookmarkStart w:id="52" w:name="XCarlton79"/>
      <w:bookmarkEnd w:id="52"/>
      <w:r>
        <w:rPr/>
        <w:t xml:space="preserve">Carlton, Dennis, ”Births of Single establishment Firms and Regional Variation in Economic Costs,” Report 7729, Center for Mathematical Studies in Business and economics (1979), University of Chicago </w:t>
      </w:r>
    </w:p>
    <w:p>
      <w:pPr>
        <w:pStyle w:val="TextBodybibitem"/>
        <w:rPr/>
      </w:pPr>
      <w:r>
        <w:rPr/>
        <w:t>[7]   </w:t>
      </w:r>
      <w:bookmarkStart w:id="53" w:name="XCarlton83"/>
      <w:bookmarkEnd w:id="53"/>
      <w:r>
        <w:rPr/>
        <w:t xml:space="preserve">Carlton, Dennis, ”The Location and Employment Choices of New Firms: An econometric model with discrete and continuous endogenous variables,” The Review of Economics and Statistics (1983), Vol. 65(3), pp 440-449 </w:t>
      </w:r>
    </w:p>
    <w:p>
      <w:pPr>
        <w:pStyle w:val="TextBodybibitem"/>
        <w:rPr/>
      </w:pPr>
      <w:r>
        <w:rPr/>
        <w:t>[8]   </w:t>
      </w:r>
      <w:bookmarkStart w:id="54" w:name="XChirinkoWilson08"/>
      <w:bookmarkEnd w:id="54"/>
      <w:r>
        <w:rPr/>
        <w:t xml:space="preserve">Chirinko, Robert; Wilson, Daniel, ”State Investment Tax Incentives: A Zero-Sum Games?” Journal of Public Economics, vol. 92, pp 2362-2384 </w:t>
      </w:r>
    </w:p>
    <w:p>
      <w:pPr>
        <w:pStyle w:val="TextBodybibitem"/>
        <w:rPr/>
      </w:pPr>
      <w:r>
        <w:rPr/>
        <w:t>[9]   </w:t>
      </w:r>
      <w:bookmarkStart w:id="55" w:name="XDharRoss"/>
      <w:bookmarkEnd w:id="55"/>
      <w:r>
        <w:rPr/>
        <w:t xml:space="preserve">Dhar, Paramita; Ross, Stephen L,” School Discrict Quality and Property Values: Examining Differences Along School District Boundaries,” Journal of Urban Economics, Vol 71 (2012), pp 18-25 </w:t>
      </w:r>
    </w:p>
    <w:p>
      <w:pPr>
        <w:pStyle w:val="TextBodybibitem"/>
        <w:rPr/>
      </w:pPr>
      <w:r>
        <w:rPr/>
        <w:t>[10]   </w:t>
      </w:r>
      <w:bookmarkStart w:id="56" w:name="XDowdingetal"/>
      <w:bookmarkEnd w:id="56"/>
      <w:r>
        <w:rPr/>
        <w:t xml:space="preserve">Dowding, Keith; John, Peter; Biggs, Stephen, ”Tiebout: A Survey of the Empirical Literature,” Urban Studies, Vol 31, Issue 4-5, 1994, pp 767-797 </w:t>
      </w:r>
    </w:p>
    <w:p>
      <w:pPr>
        <w:pStyle w:val="TextBodybibitem"/>
        <w:rPr/>
      </w:pPr>
      <w:r>
        <w:rPr/>
        <w:t>[11]   </w:t>
      </w:r>
      <w:bookmarkStart w:id="57" w:name="XDubeetal"/>
      <w:bookmarkEnd w:id="57"/>
      <w:r>
        <w:rPr/>
        <w:t xml:space="preserve">Dube, Arindagit; Lester, T. William; Reich, Michael, ”Minimum Wage Effects Across State Borders: Estimates Using Contiguous Counties,” The Review of Economics and Statistics, Vol. 92 No. 4, (November 2010) pp. 945-964 </w:t>
      </w:r>
    </w:p>
    <w:p>
      <w:pPr>
        <w:pStyle w:val="TextBodybibitem"/>
        <w:rPr/>
      </w:pPr>
      <w:r>
        <w:rPr/>
        <w:t>[12]   </w:t>
      </w:r>
      <w:bookmarkStart w:id="58" w:name="XDurantonetal"/>
      <w:bookmarkEnd w:id="58"/>
      <w:r>
        <w:rPr/>
        <w:t xml:space="preserve">Duranton, Gilles; Gobillon, Laurent; Overman, Henry, ”Assessing the Effects of Location Taxation using Micro Geographic Data,” Economic Journal (2011), vol. 121(555), 1017-1046 </w:t>
      </w:r>
    </w:p>
    <w:p>
      <w:pPr>
        <w:pStyle w:val="TextBodybibitem"/>
        <w:rPr/>
      </w:pPr>
      <w:r>
        <w:rPr/>
        <w:t>[13]   </w:t>
      </w:r>
      <w:bookmarkStart w:id="59" w:name="XGabeBell2004"/>
      <w:bookmarkEnd w:id="59"/>
      <w:r>
        <w:rPr/>
        <w:t xml:space="preserve">Gabe, Todd M; Bell, Kathleen P., ”Tradeoffs Between Local Taxes and Government Spending as Determinants of Business Location,” Journal of Regional Science, Vol. 44, pp. 21-41, February 2004 </w:t>
      </w:r>
    </w:p>
    <w:p>
      <w:pPr>
        <w:pStyle w:val="TextBodybibitem"/>
        <w:rPr/>
      </w:pPr>
      <w:r>
        <w:rPr/>
        <w:t>[14]   </w:t>
      </w:r>
      <w:bookmarkStart w:id="60" w:name="XGuimareaes2003"/>
      <w:bookmarkEnd w:id="60"/>
      <w:r>
        <w:rPr/>
        <w:t xml:space="preserve">Guimarães, Paulo, Figueirdo, Octávio, Woodward, Douglas, ”A Tractable Approach to the Firm Location Decision Problem,” The Review of Economics and Statistics, February 2003, Vol. 85, No. 1, Pages 201-204 </w:t>
      </w:r>
    </w:p>
    <w:p>
      <w:pPr>
        <w:pStyle w:val="TextBodybibitem"/>
        <w:rPr/>
      </w:pPr>
      <w:r>
        <w:rPr/>
        <w:t>[15]   </w:t>
      </w:r>
      <w:bookmarkStart w:id="61" w:name="XHannToddVann"/>
      <w:bookmarkEnd w:id="61"/>
      <w:r>
        <w:rPr/>
        <w:t xml:space="preserve">Hahn, Jinyong; Todd, Petra; Van der Klaauw, Wilbert, ”Identification and Estimation of Treatment Effects with a Regression Discontinuity Design,” Econometrica, Vol. 69 No. 1 (Jan 2001), pp 201-209 </w:t>
      </w:r>
    </w:p>
    <w:p>
      <w:pPr>
        <w:pStyle w:val="TextBodybibitem"/>
        <w:rPr/>
      </w:pPr>
      <w:r>
        <w:rPr/>
        <w:t>[16]   </w:t>
      </w:r>
      <w:bookmarkStart w:id="62" w:name="XHelms85"/>
      <w:bookmarkEnd w:id="62"/>
      <w:r>
        <w:rPr/>
        <w:t xml:space="preserve">Helms, L. Jay, ”The Effect of State and Local Taxes on Economic Growth: A Time Series-Cross Section Approach,” The Review of Economics and Statistics (1985), vol. LXVIII, pp. 574-582 </w:t>
      </w:r>
    </w:p>
    <w:p>
      <w:pPr>
        <w:pStyle w:val="TextBodybibitem"/>
        <w:rPr/>
      </w:pPr>
      <w:r>
        <w:rPr/>
        <w:t>[17]   </w:t>
      </w:r>
      <w:bookmarkStart w:id="63" w:name="XHendersonMcNamara"/>
      <w:bookmarkEnd w:id="63"/>
      <w:r>
        <w:rPr/>
        <w:t xml:space="preserve">Henderson, Jason R., McNamara, Kevin T., ”The Location of Food Manufacturing Plant Investments in Corn Belt Counties” Journal of Agricultural and Resource Economics Vol. 25, No. 2 (December 2000), pp. 680-697 </w:t>
      </w:r>
    </w:p>
    <w:p>
      <w:pPr>
        <w:pStyle w:val="TextBodybibitem"/>
        <w:rPr/>
      </w:pPr>
      <w:r>
        <w:rPr/>
        <w:t>[18]   </w:t>
      </w:r>
      <w:bookmarkStart w:id="64" w:name="XHendArzaghi"/>
      <w:bookmarkEnd w:id="64"/>
      <w:r>
        <w:rPr/>
        <w:t xml:space="preserve">Henderson, J. Vernon, and Arzaghi, Mohammad, ”Networking off Madison Avenue,” Review of Economic Studies (2005), vol 75*4(, pp. 1011-1038 </w:t>
      </w:r>
    </w:p>
    <w:p>
      <w:pPr>
        <w:pStyle w:val="TextBodybibitem"/>
        <w:rPr/>
      </w:pPr>
      <w:r>
        <w:rPr/>
        <w:t>[19]   </w:t>
      </w:r>
      <w:bookmarkStart w:id="65" w:name="XHines96"/>
      <w:bookmarkEnd w:id="65"/>
      <w:r>
        <w:rPr/>
        <w:t xml:space="preserve">Hines, James R., ”Altered States taxes and the Location of Foreign Direct Investment in America,” American Economic Review (1996), Vol. 86, pp. 1076-1094 </w:t>
      </w:r>
    </w:p>
    <w:p>
      <w:pPr>
        <w:pStyle w:val="TextBodybibitem"/>
        <w:rPr/>
      </w:pPr>
      <w:r>
        <w:rPr/>
        <w:t>[20]   </w:t>
      </w:r>
      <w:bookmarkStart w:id="66" w:name="XHolmes98"/>
      <w:bookmarkEnd w:id="66"/>
      <w:r>
        <w:rPr/>
        <w:t xml:space="preserve">Holmes, Thomas J, ”The Effect of State Policies on the Location of Manufacturing: Evidence from State Borders,” Journal of Political Economy, Vol. 106, No. 4 (August 1998), pp. 667-705 </w:t>
      </w:r>
    </w:p>
    <w:p>
      <w:pPr>
        <w:pStyle w:val="TextBodybibitem"/>
        <w:rPr/>
      </w:pPr>
      <w:r>
        <w:rPr/>
        <w:t>[21]   </w:t>
      </w:r>
      <w:bookmarkStart w:id="67" w:name="XMcFadden1974"/>
      <w:bookmarkEnd w:id="67"/>
      <w:r>
        <w:rPr/>
        <w:t xml:space="preserve">McFadden, Daniel, ”Conditional Logit Analysis of Qualitative Choice Behavior,” in P. Zarembka (ed.), Frontiers in Econometrics, 105-142, Academic Press: New York, 1974. </w:t>
      </w:r>
    </w:p>
    <w:p>
      <w:pPr>
        <w:pStyle w:val="TextBodybibitem"/>
        <w:rPr/>
      </w:pPr>
      <w:r>
        <w:rPr/>
        <w:t>[22]   </w:t>
      </w:r>
      <w:bookmarkStart w:id="68" w:name="XMcKinnish2005"/>
      <w:bookmarkEnd w:id="68"/>
      <w:r>
        <w:rPr/>
        <w:t xml:space="preserve">McKinnish, Terra. ”Importing the Poor Welfare Magnetism and Cross-Border Welfare Migration.” Journal of Human Resources, Vol 40, No. 1 (2005): 57-76 </w:t>
      </w:r>
    </w:p>
    <w:p>
      <w:pPr>
        <w:pStyle w:val="TextBodybibitem"/>
        <w:rPr/>
      </w:pPr>
      <w:r>
        <w:rPr/>
        <w:t>[23]   </w:t>
      </w:r>
      <w:bookmarkStart w:id="69" w:name="XMcKinnish2007"/>
      <w:bookmarkEnd w:id="69"/>
      <w:r>
        <w:rPr/>
        <w:t xml:space="preserve">McKinnish, Terra. ”Welfare-induced migration at state borders: New evidence from Micro Data.” Journal of Public economics, Vol 91, N0. 3 (2007): 437-450 </w:t>
      </w:r>
    </w:p>
    <w:p>
      <w:pPr>
        <w:pStyle w:val="TextBodybibitem"/>
        <w:rPr/>
      </w:pPr>
      <w:r>
        <w:rPr/>
        <w:t>[24]   </w:t>
      </w:r>
      <w:bookmarkStart w:id="70" w:name="XMertensRavn"/>
      <w:bookmarkEnd w:id="70"/>
      <w:r>
        <w:rPr/>
        <w:t xml:space="preserve">Mertens, Karel, and Ravn, Morten O, ”The Dynamic Effects of Personal and Corporate Income Tax Changes in the United States,” American Economic Review, 2013, Vol 103(4), pp 1212-47 </w:t>
      </w:r>
    </w:p>
    <w:p>
      <w:pPr>
        <w:pStyle w:val="TextBodybibitem"/>
        <w:rPr/>
      </w:pPr>
      <w:r>
        <w:rPr/>
        <w:t>[25]   </w:t>
      </w:r>
      <w:bookmarkStart w:id="71" w:name="XOjedeYamarik12"/>
      <w:bookmarkEnd w:id="71"/>
      <w:r>
        <w:rPr/>
        <w:t xml:space="preserve">Ojede, Andrew; Yamarik, Steven, ”Tax Policy and State Economic Growth: The Long-Run and Short-Run of it,” Economics Letters (2012), vo. 116(2), pp. 161-165 </w:t>
      </w:r>
    </w:p>
    <w:p>
      <w:pPr>
        <w:pStyle w:val="TextBodybibitem"/>
        <w:rPr/>
      </w:pPr>
      <w:r>
        <w:rPr/>
        <w:t>[26]   </w:t>
      </w:r>
      <w:bookmarkStart w:id="72" w:name="XPapke91"/>
      <w:bookmarkEnd w:id="72"/>
      <w:r>
        <w:rPr/>
        <w:t xml:space="preserve">Papke, Leslie E, ”Interstate Business Tax Differentials and new Firm Location: Evidence from Panel Data,” Journal of Public Economics (1991), Vol. 45, pp. 47-68 </w:t>
      </w:r>
    </w:p>
    <w:p>
      <w:pPr>
        <w:pStyle w:val="TextBodybibitem"/>
        <w:rPr/>
      </w:pPr>
      <w:r>
        <w:rPr/>
        <w:t>[27]   </w:t>
      </w:r>
      <w:bookmarkStart w:id="73" w:name="XRathelotSillard08"/>
      <w:bookmarkEnd w:id="73"/>
      <w:r>
        <w:rPr/>
        <w:t xml:space="preserve">Rathelot, Roland; Sillard, Patrick, ”The Importance of Local Corporate Taxes in Business Location Decisions: Evidence from French Micro Data,” Economic Journal (2008), vol. 188(527), pp 499-514 </w:t>
      </w:r>
    </w:p>
    <w:p>
      <w:pPr>
        <w:pStyle w:val="TextBodybibitem"/>
        <w:rPr/>
      </w:pPr>
      <w:r>
        <w:rPr/>
        <w:t>[28]   </w:t>
      </w:r>
      <w:bookmarkStart w:id="74" w:name="XRohlin2011"/>
      <w:bookmarkEnd w:id="74"/>
      <w:r>
        <w:rPr/>
        <w:t xml:space="preserve">Rohlin, Shawn M. ”State Minimum Wages and Business Location: Evidence from a Refined Border Approach,” Journal of Urban Economics, Vol. 69 (2011), pp. 103-117 </w:t>
      </w:r>
    </w:p>
    <w:p>
      <w:pPr>
        <w:pStyle w:val="TextBodybibitem"/>
        <w:rPr/>
      </w:pPr>
      <w:r>
        <w:rPr/>
        <w:t>[29]   </w:t>
      </w:r>
      <w:bookmarkStart w:id="75" w:name="XRohlinetal14"/>
      <w:bookmarkEnd w:id="75"/>
      <w:r>
        <w:rPr/>
        <w:t xml:space="preserve">Rohlin, Shawn; Rosenthal, Stuart; Ross, Amanda, ”Tax Avoidance and Business Location in a State Border Model,” Journal of Urban Economics (2014), Vol. 83(C), pp. 34-49 </w:t>
      </w:r>
    </w:p>
    <w:p>
      <w:pPr>
        <w:pStyle w:val="TextBodybibitem"/>
        <w:rPr/>
      </w:pPr>
      <w:r>
        <w:rPr/>
        <w:t>[30]   </w:t>
      </w:r>
      <w:bookmarkStart w:id="76" w:name="XRomerRomer"/>
      <w:bookmarkEnd w:id="76"/>
      <w:r>
        <w:rPr/>
        <w:t xml:space="preserve">Romer, Christina D, Romer, David H. ”The Macroeconomic Effects of Tax Changes: Estimates Based on a New Measure of Fiscal Shocks,” American Economic Review, 2007, vol. 100(3), pp 763-801. </w:t>
      </w:r>
    </w:p>
    <w:p>
      <w:pPr>
        <w:pStyle w:val="TextBodybibitem"/>
        <w:rPr/>
      </w:pPr>
      <w:r>
        <w:rPr/>
        <w:t>[31]   </w:t>
      </w:r>
      <w:bookmarkStart w:id="77" w:name="XRosenthalStrange03"/>
      <w:bookmarkEnd w:id="77"/>
      <w:r>
        <w:rPr/>
        <w:t xml:space="preserve">Rosenthal, Stuart S, and Strange, William C, ”Geography, Industrial Organization, and Agglomeration,” The review of Economics and Statistics, 2003 vol. 85(2), pp 377-393 </w:t>
      </w:r>
    </w:p>
    <w:p>
      <w:pPr>
        <w:pStyle w:val="TextBodybibitem"/>
        <w:rPr/>
      </w:pPr>
      <w:r>
        <w:rPr/>
        <w:t>[32]   </w:t>
      </w:r>
      <w:bookmarkStart w:id="78" w:name="XRosenthalStrange05"/>
      <w:bookmarkEnd w:id="78"/>
      <w:r>
        <w:rPr/>
        <w:t xml:space="preserve">Rosenthal, Stuart S and Strange, William C, ”the geography of entrepreneurship in the New York Metropolitan Area,” Economic Policy review, 2005, Dec issue, pp 29-53 </w:t>
      </w:r>
    </w:p>
    <w:p>
      <w:pPr>
        <w:pStyle w:val="TextBodybibitem"/>
        <w:rPr/>
      </w:pPr>
      <w:r>
        <w:rPr/>
        <w:t>[33]   </w:t>
      </w:r>
      <w:bookmarkStart w:id="79" w:name="XSchmenner75"/>
      <w:bookmarkEnd w:id="79"/>
      <w:r>
        <w:rPr/>
        <w:t xml:space="preserve">Schmenner, Roger, ”City Taxes and Industry Location,” Unpublished paper (1975), Harvard Business School </w:t>
      </w:r>
    </w:p>
    <w:p>
      <w:pPr>
        <w:pStyle w:val="TextBodybibitem"/>
        <w:rPr/>
      </w:pPr>
      <w:r>
        <w:rPr/>
        <w:t>[34]   </w:t>
      </w:r>
      <w:bookmarkStart w:id="80" w:name="XSchmenner82"/>
      <w:bookmarkEnd w:id="80"/>
      <w:r>
        <w:rPr/>
        <w:t xml:space="preserve">Schmenner, Roger, ”Making Business Location Decisions,” Prentice-Hall (1982), Englewood Cliffs, NJ </w:t>
      </w:r>
    </w:p>
    <w:p>
      <w:pPr>
        <w:pStyle w:val="TextBodybibitem"/>
        <w:rPr/>
      </w:pPr>
      <w:r>
        <w:rPr/>
        <w:t>[35]   </w:t>
      </w:r>
      <w:bookmarkStart w:id="81" w:name="XTiebout56"/>
      <w:bookmarkEnd w:id="81"/>
      <w:r>
        <w:rPr/>
        <w:t xml:space="preserve">Tiebout, CM, ”A Pure Theory of Local Expenditures” Journal of Political Economy 1956 </w:t>
      </w:r>
    </w:p>
    <w:p>
      <w:pPr>
        <w:pStyle w:val="TextBodybibitem"/>
        <w:rPr/>
      </w:pPr>
      <w:r>
        <w:rPr/>
        <w:t>[36]   </w:t>
      </w:r>
      <w:bookmarkStart w:id="82" w:name="XThomason"/>
      <w:bookmarkEnd w:id="82"/>
      <w:r>
        <w:rPr/>
        <w:t xml:space="preserve">Thomason, Terry and John F. Burton, Jr. 2001. “The Effects of Changes in the Oregon Workers’ Compensation Pro- gram on Employees’ Benefits and Employers’ Costs,” Workers’ Compensation Policy Review 1, No. 4 (July/August): 7-23, reprinted in Burton, Blum, and Yates (2005): 387-45. </w:t>
      </w:r>
    </w:p>
    <w:p>
      <w:pPr>
        <w:pStyle w:val="TextBodybibitem"/>
        <w:spacing w:before="0" w:after="283"/>
        <w:rPr/>
      </w:pPr>
      <w:r>
        <w:rPr/>
        <w:t>[37]   </w:t>
      </w:r>
      <w:bookmarkStart w:id="83" w:name="XWasylenkoMcGuire85"/>
      <w:bookmarkEnd w:id="83"/>
      <w:r>
        <w:rPr/>
        <w:t>Wasylenko, Michael; McGuire, Therese, ”Jobs and Taxes: The Effect of Business Climate on States Employment Growth Rates,” National Tax Journal (1985), Vol. 38(4), pp. 497-511</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rPr>
      <w:rFonts w:ascii="Thorndale" w:hAnsi="Thorndale"/>
      <w:b/>
      <w:bCs/>
      <w:sz w:val="48"/>
      <w:szCs w:val="44"/>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paragraph" w:styleId="Heading3">
    <w:name w:val="Heading 3"/>
    <w:basedOn w:val="Heading"/>
    <w:next w:val="TextBody"/>
    <w:pPr>
      <w:spacing w:before="140" w:after="120"/>
      <w:outlineLvl w:val="2"/>
      <w:outlineLvl w:val="2"/>
    </w:pPr>
    <w:rPr>
      <w:rFonts w:ascii="Liberation Serif" w:hAnsi="Liberation Serif" w:eastAsia="Droid Sans Fallback" w:cs="FreeSans"/>
      <w:b/>
      <w:bCs/>
      <w:color w:val="808080"/>
      <w:sz w:val="28"/>
      <w:szCs w:val="28"/>
    </w:rPr>
  </w:style>
  <w:style w:type="paragraph" w:styleId="Heading4">
    <w:name w:val="Heading 4"/>
    <w:basedOn w:val="Heading"/>
    <w:next w:val="TextBody"/>
    <w:pPr>
      <w:spacing w:before="120" w:after="120"/>
      <w:outlineLvl w:val="3"/>
      <w:outlineLvl w:val="3"/>
    </w:pPr>
    <w:rPr>
      <w:rFonts w:ascii="Liberation Serif" w:hAnsi="Liberation Serif" w:eastAsia="Droid Sans Fallback" w:cs="FreeSans"/>
      <w:b/>
      <w:bCs/>
      <w:color w:val="808080"/>
      <w:sz w:val="24"/>
      <w:szCs w:val="24"/>
    </w:rPr>
  </w:style>
  <w:style w:type="paragraph" w:styleId="Heading5">
    <w:name w:val="Heading 5"/>
    <w:basedOn w:val="Heading"/>
    <w:next w:val="TextBody"/>
    <w:pPr>
      <w:spacing w:before="120" w:after="60"/>
      <w:outlineLvl w:val="4"/>
      <w:outlineLvl w:val="4"/>
    </w:pPr>
    <w:rPr>
      <w:rFonts w:ascii="Liberation Serif" w:hAnsi="Liberation Serif" w:eastAsia="Droid Sans Fallback" w:cs="FreeSans"/>
      <w:b/>
      <w:bCs/>
      <w:sz w:val="20"/>
      <w:szCs w:val="20"/>
    </w:rPr>
  </w:style>
  <w:style w:type="character" w:styleId="EndnoteCharacters">
    <w:name w:val="Endnote Characters"/>
    <w:rPr/>
  </w:style>
  <w:style w:type="character" w:styleId="FootnoteCharacters">
    <w:name w:val="Footnote Characters"/>
    <w:rPr/>
  </w:style>
  <w:style w:type="character" w:styleId="InternetLink">
    <w:name w:val="Internet Link"/>
    <w:rPr>
      <w:color w:val="000080"/>
      <w:u w:val="single"/>
    </w:rPr>
  </w:style>
  <w:style w:type="paragraph" w:styleId="Heading">
    <w:name w:val="Heading"/>
    <w:basedOn w:val="Normal"/>
    <w:next w:val="TextBody"/>
    <w:pPr>
      <w:keepNext/>
      <w:spacing w:before="240" w:after="283"/>
    </w:pPr>
    <w:rPr>
      <w:rFonts w:ascii="Albany" w:hAnsi="Albany"/>
      <w:sz w:val="28"/>
      <w:szCs w:val="26"/>
    </w:rPr>
  </w:style>
  <w:style w:type="paragraph" w:styleId="TextBody">
    <w:name w:val="Text Body"/>
    <w:basedOn w:val="Normal"/>
    <w:pPr>
      <w:spacing w:before="0" w:after="283"/>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orizontalLine">
    <w:name w:val="Horizontal Line"/>
    <w:basedOn w:val="Normal"/>
    <w:next w:val="TextBody"/>
    <w:pPr>
      <w:pBdr>
        <w:top w:val="nil"/>
        <w:left w:val="nil"/>
        <w:bottom w:val="double" w:sz="2" w:space="0" w:color="808080"/>
        <w:right w:val="nil"/>
      </w:pBdr>
      <w:spacing w:before="0" w:after="283"/>
    </w:pPr>
    <w:rPr>
      <w:sz w:val="12"/>
    </w:rPr>
  </w:style>
  <w:style w:type="paragraph" w:styleId="Sender">
    <w:name w:val="Sender"/>
    <w:basedOn w:val="Normal"/>
    <w:pPr/>
    <w:rPr>
      <w:i/>
    </w:rPr>
  </w:style>
  <w:style w:type="paragraph" w:styleId="TableContents">
    <w:name w:val="Table Contents"/>
    <w:basedOn w:val="TextBody"/>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extBodynoindent">
    <w:name w:val="Text Body.noindent"/>
    <w:basedOn w:val="TextBody"/>
    <w:pPr/>
    <w:rPr/>
  </w:style>
  <w:style w:type="paragraph" w:styleId="TableContentsnoindent">
    <w:name w:val="Table Contents.noindent"/>
    <w:basedOn w:val="TableContents"/>
    <w:pPr/>
    <w:rPr/>
  </w:style>
  <w:style w:type="paragraph" w:styleId="TextBodynopar">
    <w:name w:val="Text Body.nopar"/>
    <w:basedOn w:val="TextBody"/>
    <w:pPr/>
    <w:rPr/>
  </w:style>
  <w:style w:type="paragraph" w:styleId="TextBodyindent">
    <w:name w:val="Text Body.indent"/>
    <w:basedOn w:val="TextBody"/>
    <w:pPr/>
    <w:rPr/>
  </w:style>
  <w:style w:type="paragraph" w:styleId="Heading1partHead">
    <w:name w:val="Heading 1.partHead"/>
    <w:basedOn w:val="Heading1"/>
    <w:pPr>
      <w:jc w:val="center"/>
    </w:pPr>
    <w:rPr/>
  </w:style>
  <w:style w:type="paragraph" w:styleId="TextBodybibitem">
    <w:name w:val="Text Body.bibitem"/>
    <w:basedOn w:val="TextBody"/>
    <w:pPr/>
    <w:rPr/>
  </w:style>
  <w:style w:type="paragraph" w:styleId="TextBodybibitemp">
    <w:name w:val="Text Body.bibitem-p"/>
    <w:basedOn w:val="TextBody"/>
    <w:pPr/>
    <w:rPr/>
  </w:style>
  <w:style w:type="paragraph" w:styleId="Heading2titleHead">
    <w:name w:val="Heading 2.titleHead"/>
    <w:basedOn w:val="Heading2"/>
    <w:pPr>
      <w:ind w:left="0" w:right="0" w:hanging="0"/>
      <w:jc w:val="center"/>
      <w:outlineLvl w:val="9"/>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file:///home/kdduncan/papers/firm_entry/paper/master0x.png" TargetMode="External"/><Relationship Id="rId3" Type="http://schemas.openxmlformats.org/officeDocument/2006/relationships/image" Target="file:///home/kdduncan/papers/firm_entry/paper/master1x.png" TargetMode="External"/><Relationship Id="rId4" Type="http://schemas.openxmlformats.org/officeDocument/2006/relationships/image" Target="file:///home/kdduncan/papers/firm_entry/paper/master2x.png" TargetMode="External"/><Relationship Id="rId5" Type="http://schemas.openxmlformats.org/officeDocument/2006/relationships/image" Target="file:///home/kdduncan/papers/firm_entry/paper/master3x.png" TargetMode="External"/><Relationship Id="rId6" Type="http://schemas.openxmlformats.org/officeDocument/2006/relationships/image" Target="file:///home/kdduncan/papers/firm_entry/paper/master4x.png" TargetMode="External"/><Relationship Id="rId7" Type="http://schemas.openxmlformats.org/officeDocument/2006/relationships/image" Target="file:///home/kdduncan/papers/firm_entry/paper/master5x.png" TargetMode="External"/><Relationship Id="rId8" Type="http://schemas.openxmlformats.org/officeDocument/2006/relationships/image" Target="file:///home/kdduncan/papers/firm_entry/paper/master6x.png" TargetMode="External"/><Relationship Id="rId9" Type="http://schemas.openxmlformats.org/officeDocument/2006/relationships/image" Target="file:///home/kdduncan/papers/firm_entry/paper/master7x.png" TargetMode="External"/><Relationship Id="rId10" Type="http://schemas.openxmlformats.org/officeDocument/2006/relationships/image" Target="file:///home/kdduncan/papers/firm_entry/paper/master8x.png" TargetMode="External"/><Relationship Id="rId11" Type="http://schemas.openxmlformats.org/officeDocument/2006/relationships/image" Target="file:///home/kdduncan/papers/firm_entry/paper/master9x.png" TargetMode="External"/><Relationship Id="rId12" Type="http://schemas.openxmlformats.org/officeDocument/2006/relationships/image" Target="file:///home/kdduncan/papers/firm_entry/paper/master10x.png" TargetMode="External"/><Relationship Id="rId13" Type="http://schemas.openxmlformats.org/officeDocument/2006/relationships/image" Target="file:///home/kdduncan/papers/firm_entry/paper/master11x.png" TargetMode="External"/><Relationship Id="rId14" Type="http://schemas.openxmlformats.org/officeDocument/2006/relationships/image" Target="file:///home/kdduncan/papers/firm_entry/paper/master12x.png" TargetMode="External"/><Relationship Id="rId15" Type="http://schemas.openxmlformats.org/officeDocument/2006/relationships/image" Target="file:///home/kdduncan/papers/firm_entry/paper/master13x.png" TargetMode="External"/><Relationship Id="rId16" Type="http://schemas.openxmlformats.org/officeDocument/2006/relationships/image" Target="file:///home/kdduncan/papers/firm_entry/paper/master14x.png" TargetMode="External"/><Relationship Id="rId17" Type="http://schemas.openxmlformats.org/officeDocument/2006/relationships/image" Target="file:///home/kdduncan/papers/firm_entry/paper/master15x.png" TargetMode="External"/><Relationship Id="rId18" Type="http://schemas.openxmlformats.org/officeDocument/2006/relationships/image" Target="file:///home/kdduncan/papers/firm_entry/paper/master16x.png" TargetMode="External"/><Relationship Id="rId19" Type="http://schemas.openxmlformats.org/officeDocument/2006/relationships/image" Target="file:///home/kdduncan/papers/firm_entry/paper/master17x.png" TargetMode="External"/><Relationship Id="rId20" Type="http://schemas.openxmlformats.org/officeDocument/2006/relationships/image" Target="file:///home/kdduncan/papers/firm_entry/paper/master18x.png" TargetMode="External"/><Relationship Id="rId21" Type="http://schemas.openxmlformats.org/officeDocument/2006/relationships/image" Target="file:///home/kdduncan/papers/firm_entry/paper/master19x.png" TargetMode="External"/><Relationship Id="rId22" Type="http://schemas.openxmlformats.org/officeDocument/2006/relationships/image" Target="file:///home/kdduncan/papers/firm_entry/paper/master20x.png" TargetMode="External"/><Relationship Id="rId23" Type="http://schemas.openxmlformats.org/officeDocument/2006/relationships/image" Target="file:///home/kdduncan/papers/firm_entry/paper/master21x.png" TargetMode="External"/><Relationship Id="rId24" Type="http://schemas.openxmlformats.org/officeDocument/2006/relationships/image" Target="file:///home/kdduncan/papers/firm_entry/paper/master22x.png" TargetMode="External"/><Relationship Id="rId25" Type="http://schemas.openxmlformats.org/officeDocument/2006/relationships/image" Target="file:///home/kdduncan/papers/firm_entry/paper/master23x.png" TargetMode="External"/><Relationship Id="rId26" Type="http://schemas.openxmlformats.org/officeDocument/2006/relationships/image" Target="file:///home/kdduncan/papers/firm_entry/paper/master24x.png" TargetMode="Externa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dc:title>Impacts of Taxes on Firm Entry Rates along State Borders</dc:title>
</cp:coreProperties>
</file>