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60"/>
        <w:jc w:val="center"/>
      </w:pPr>
      <w:r>
        <w:rPr>
          <w:rFonts w:ascii="Calibri" w:cs="Calibri" w:eastAsia="Calibri" w:hAnsi="Calibri"/>
          <w:b/>
          <w:bCs/>
          <w:color w:val="1F3864"/>
          <w:sz w:val="36"/>
          <w:szCs w:val="36"/>
        </w:rPr>
        <w:t xml:space="preserve">Vintage at Hamilton Homeowners Association</w:t>
      </w:r>
    </w:p>
    <w:p>
      <w:pPr>
        <w:spacing w:after="50"/>
        <w:jc w:val="center"/>
      </w:pPr>
      <w:r>
        <w:rPr>
          <w:rFonts w:ascii="Calibri" w:cs="Calibri" w:eastAsia="Calibri" w:hAnsi="Calibri"/>
          <w:b/>
          <w:bCs/>
          <w:color w:val="2E5395"/>
          <w:sz w:val="30"/>
          <w:szCs w:val="30"/>
        </w:rPr>
        <w:t xml:space="preserve">Committee Handbook</w:t>
      </w:r>
    </w:p>
    <w:p>
      <w:pPr>
        <w:spacing w:after="220"/>
        <w:jc w:val="center"/>
      </w:pPr>
      <w:r>
        <w:rPr>
          <w:rFonts w:ascii="Calibri" w:cs="Calibri" w:eastAsia="Calibri" w:hAnsi="Calibri"/>
          <w:i/>
          <w:iCs/>
          <w:color w:val="666666"/>
          <w:sz w:val="19"/>
          <w:szCs w:val="19"/>
        </w:rPr>
        <w:t xml:space="preserve">Addendum to the Blue Book - DRAFT for Board adoption by resolution (Bylaws Article X)</w:t>
      </w:r>
    </w:p>
    <w:p>
      <w:pPr>
        <w:spacing w:after="110"/>
      </w:pPr>
      <w:r>
        <w:rPr>
          <w:rFonts w:ascii="Calibri" w:cs="Calibri" w:eastAsia="Calibri" w:hAnsi="Calibri"/>
          <w:sz w:val="22"/>
          <w:szCs w:val="22"/>
        </w:rPr>
        <w:t xml:space="preserve">Committees are how neighbours help run our community. Each committee advises the Board in its area; the Board keeps final responsibility for every decision. This handbook is the single reference for what each committee does. It supplements - and never overrides - the Declaration and Bylaws (the Blue Book).</w:t>
      </w:r>
    </w:p>
    <w:p>
      <w:pPr>
        <w:pStyle w:val="Heading1"/>
        <w:spacing w:after="120" w:before="240"/>
      </w:pPr>
      <w:r>
        <w:rPr>
          <w:rFonts w:ascii="Calibri" w:cs="Calibri" w:eastAsia="Calibri" w:hAnsi="Calibri"/>
          <w:b/>
          <w:bCs/>
          <w:color w:val="1F3864"/>
          <w:sz w:val="28"/>
          <w:szCs w:val="28"/>
        </w:rPr>
        <w:t xml:space="preserve">Architectural Control Committee</w:t>
      </w:r>
    </w:p>
    <w:p>
      <w:pPr>
        <w:spacing w:after="110"/>
      </w:pPr>
      <w:r>
        <w:rPr>
          <w:rFonts w:ascii="Calibri" w:cs="Calibri" w:eastAsia="Calibri" w:hAnsi="Calibri"/>
          <w:sz w:val="22"/>
          <w:szCs w:val="22"/>
        </w:rPr>
        <w:t xml:space="preserve">Keeps our community looking the way we all bought into - reviewing exterior changes fairly, consistently, and on time.</w:t>
      </w:r>
    </w:p>
    <w:p>
      <w:pPr>
        <w:pStyle w:val="Heading2"/>
        <w:spacing w:after="80" w:before="160"/>
      </w:pPr>
      <w:r>
        <w:rPr>
          <w:rFonts w:ascii="Calibri" w:cs="Calibri" w:eastAsia="Calibri" w:hAnsi="Calibri"/>
          <w:b/>
          <w:bCs/>
          <w:color w:val="2E5395"/>
          <w:sz w:val="23"/>
          <w:szCs w:val="23"/>
        </w:rPr>
        <w:t xml:space="preserve">What it does</w:t>
      </w:r>
    </w:p>
    <w:p>
      <w:pPr>
        <w:pStyle w:val="ListParagraph"/>
        <w:numPr>
          <w:ilvl w:val="0"/>
          <w:numId w:val="2"/>
        </w:numPr>
        <w:spacing w:after="60"/>
      </w:pPr>
      <w:r>
        <w:rPr>
          <w:rFonts w:ascii="Calibri" w:cs="Calibri" w:eastAsia="Calibri" w:hAnsi="Calibri"/>
          <w:sz w:val="22"/>
          <w:szCs w:val="22"/>
        </w:rPr>
        <w:t xml:space="preserve">Reviews owner applications for exterior additions and alterations (decks, patios, pergolas, sheds, awnings, landscaping/hardscaping, solar, satellite dishes, walls and similar) and approves, approves with conditions, or declines with reasons - always in writing.</w:t>
      </w:r>
    </w:p>
    <w:p>
      <w:pPr>
        <w:pStyle w:val="ListParagraph"/>
        <w:numPr>
          <w:ilvl w:val="0"/>
          <w:numId w:val="2"/>
        </w:numPr>
        <w:spacing w:after="60"/>
      </w:pPr>
      <w:r>
        <w:rPr>
          <w:rFonts w:ascii="Calibri" w:cs="Calibri" w:eastAsia="Calibri" w:hAnsi="Calibri"/>
          <w:sz w:val="22"/>
          <w:szCs w:val="22"/>
        </w:rPr>
        <w:t xml:space="preserve">Answers every application within the Declaration's time limit: a written acknowledgment on receipt, and a decision within 60 days (the committee tracks every open application, because an unanswered application is automatically approved under section 11.03). Internal target: 30-45 days.</w:t>
      </w:r>
    </w:p>
    <w:p>
      <w:pPr>
        <w:pStyle w:val="ListParagraph"/>
        <w:numPr>
          <w:ilvl w:val="0"/>
          <w:numId w:val="2"/>
        </w:numPr>
        <w:spacing w:after="60"/>
      </w:pPr>
      <w:r>
        <w:rPr>
          <w:rFonts w:ascii="Calibri" w:cs="Calibri" w:eastAsia="Calibri" w:hAnsi="Calibri"/>
          <w:sz w:val="22"/>
          <w:szCs w:val="22"/>
        </w:rPr>
        <w:t xml:space="preserve">Reminds owners that township permits need ARC approval first, and collects a copy of the permit before work begins.</w:t>
      </w:r>
    </w:p>
    <w:p>
      <w:pPr>
        <w:pStyle w:val="ListParagraph"/>
        <w:numPr>
          <w:ilvl w:val="0"/>
          <w:numId w:val="2"/>
        </w:numPr>
        <w:spacing w:after="60"/>
      </w:pPr>
      <w:r>
        <w:rPr>
          <w:rFonts w:ascii="Calibri" w:cs="Calibri" w:eastAsia="Calibri" w:hAnsi="Calibri"/>
          <w:sz w:val="22"/>
          <w:szCs w:val="22"/>
        </w:rPr>
        <w:t xml:space="preserve">Maintains published standards (approved colours, materials, pre-approved like-for-like repairs) so most routine requests can be answered quickly.</w:t>
      </w:r>
    </w:p>
    <w:p>
      <w:pPr>
        <w:pStyle w:val="ListParagraph"/>
        <w:numPr>
          <w:ilvl w:val="0"/>
          <w:numId w:val="2"/>
        </w:numPr>
        <w:spacing w:after="60"/>
      </w:pPr>
      <w:r>
        <w:rPr>
          <w:rFonts w:ascii="Calibri" w:cs="Calibri" w:eastAsia="Calibri" w:hAnsi="Calibri"/>
          <w:sz w:val="22"/>
          <w:szCs w:val="22"/>
        </w:rPr>
        <w:t xml:space="preserve">Keeps records by property, so approvals travel with the house for future owners and resales.</w:t>
      </w:r>
    </w:p>
    <w:p>
      <w:pPr>
        <w:pStyle w:val="ListParagraph"/>
        <w:numPr>
          <w:ilvl w:val="0"/>
          <w:numId w:val="2"/>
        </w:numPr>
        <w:spacing w:after="60"/>
      </w:pPr>
      <w:r>
        <w:rPr>
          <w:rFonts w:ascii="Calibri" w:cs="Calibri" w:eastAsia="Calibri" w:hAnsi="Calibri"/>
          <w:sz w:val="22"/>
          <w:szCs w:val="22"/>
        </w:rPr>
        <w:t xml:space="preserve">Applies the law's limits: reasonable disability adaptations, rooftop solar, antennas, and U.S. flag display cannot be prohibited - only reasonably conditioned.</w:t>
      </w:r>
    </w:p>
    <w:p>
      <w:pPr>
        <w:pStyle w:val="ListParagraph"/>
        <w:numPr>
          <w:ilvl w:val="0"/>
          <w:numId w:val="2"/>
        </w:numPr>
        <w:spacing w:after="60"/>
      </w:pPr>
      <w:r>
        <w:rPr>
          <w:rFonts w:ascii="Calibri" w:cs="Calibri" w:eastAsia="Calibri" w:hAnsi="Calibri"/>
          <w:sz w:val="22"/>
          <w:szCs w:val="22"/>
        </w:rPr>
        <w:t xml:space="preserve">Refers suspected violations to the Board; the committee itself does not police or fine.</w:t>
      </w:r>
    </w:p>
    <w:p>
      <w:pPr>
        <w:pStyle w:val="Heading2"/>
        <w:spacing w:after="80" w:before="160"/>
      </w:pPr>
      <w:r>
        <w:rPr>
          <w:rFonts w:ascii="Calibri" w:cs="Calibri" w:eastAsia="Calibri" w:hAnsi="Calibri"/>
          <w:b/>
          <w:bCs/>
          <w:color w:val="2E5395"/>
          <w:sz w:val="23"/>
          <w:szCs w:val="23"/>
        </w:rPr>
        <w:t xml:space="preserve">How it works</w:t>
      </w:r>
    </w:p>
    <w:p>
      <w:pPr>
        <w:pStyle w:val="ListParagraph"/>
        <w:numPr>
          <w:ilvl w:val="0"/>
          <w:numId w:val="2"/>
        </w:numPr>
        <w:spacing w:after="60"/>
      </w:pPr>
      <w:r>
        <w:rPr>
          <w:rFonts w:ascii="Calibri" w:cs="Calibri" w:eastAsia="Calibri" w:hAnsi="Calibri"/>
          <w:sz w:val="22"/>
          <w:szCs w:val="22"/>
        </w:rPr>
        <w:t xml:space="preserve">Appointed by the Board (members of the Association, per Bylaws Article X); one-year renewable terms. Typically three to five members.</w:t>
      </w:r>
    </w:p>
    <w:p>
      <w:pPr>
        <w:pStyle w:val="ListParagraph"/>
        <w:numPr>
          <w:ilvl w:val="0"/>
          <w:numId w:val="2"/>
        </w:numPr>
        <w:spacing w:after="60"/>
      </w:pPr>
      <w:r>
        <w:rPr>
          <w:rFonts w:ascii="Calibri" w:cs="Calibri" w:eastAsia="Calibri" w:hAnsi="Calibri"/>
          <w:sz w:val="22"/>
          <w:szCs w:val="22"/>
        </w:rPr>
        <w:t xml:space="preserve">Reports to the Board. The committee recommends; the Board decides. No authority to spend Association funds or sign contracts.</w:t>
      </w:r>
    </w:p>
    <w:p>
      <w:pPr>
        <w:pStyle w:val="ListParagraph"/>
        <w:numPr>
          <w:ilvl w:val="0"/>
          <w:numId w:val="2"/>
        </w:numPr>
        <w:spacing w:after="60"/>
      </w:pPr>
      <w:r>
        <w:rPr>
          <w:rFonts w:ascii="Calibri" w:cs="Calibri" w:eastAsia="Calibri" w:hAnsi="Calibri"/>
          <w:sz w:val="22"/>
          <w:szCs w:val="22"/>
        </w:rPr>
        <w:t xml:space="preserve">A representative attends the first part of each board meeting to report, or emails 'nothing to report'.</w:t>
      </w:r>
    </w:p>
    <w:p>
      <w:pPr>
        <w:pStyle w:val="ListParagraph"/>
        <w:numPr>
          <w:ilvl w:val="0"/>
          <w:numId w:val="2"/>
        </w:numPr>
        <w:spacing w:after="60"/>
      </w:pPr>
      <w:r>
        <w:rPr>
          <w:rFonts w:ascii="Calibri" w:cs="Calibri" w:eastAsia="Calibri" w:hAnsi="Calibri"/>
          <w:sz w:val="22"/>
          <w:szCs w:val="22"/>
        </w:rPr>
        <w:t xml:space="preserve">Members treat non-public information as confidential and step aside from any matter where they have a personal interest.</w:t>
      </w:r>
    </w:p>
    <w:p>
      <w:pPr>
        <w:pStyle w:val="Heading1"/>
        <w:spacing w:after="120" w:before="240"/>
      </w:pPr>
      <w:r>
        <w:br w:type="page"/>
      </w:r>
      <w:r>
        <w:rPr>
          <w:rFonts w:ascii="Calibri" w:cs="Calibri" w:eastAsia="Calibri" w:hAnsi="Calibri"/>
          <w:b/>
          <w:bCs/>
          <w:color w:val="1F3864"/>
          <w:sz w:val="28"/>
          <w:szCs w:val="28"/>
        </w:rPr>
        <w:t xml:space="preserve">Finance Committee</w:t>
      </w:r>
    </w:p>
    <w:p>
      <w:pPr>
        <w:spacing w:after="110"/>
      </w:pPr>
      <w:r>
        <w:rPr>
          <w:rFonts w:ascii="Calibri" w:cs="Calibri" w:eastAsia="Calibri" w:hAnsi="Calibri"/>
          <w:sz w:val="22"/>
          <w:szCs w:val="22"/>
        </w:rPr>
        <w:t xml:space="preserve">Extra eyes on the community's money - supporting the Treasurer and keeping finances transparent for every member.</w:t>
      </w:r>
    </w:p>
    <w:p>
      <w:pPr>
        <w:pStyle w:val="Heading2"/>
        <w:spacing w:after="80" w:before="160"/>
      </w:pPr>
      <w:r>
        <w:rPr>
          <w:rFonts w:ascii="Calibri" w:cs="Calibri" w:eastAsia="Calibri" w:hAnsi="Calibri"/>
          <w:b/>
          <w:bCs/>
          <w:color w:val="2E5395"/>
          <w:sz w:val="23"/>
          <w:szCs w:val="23"/>
        </w:rPr>
        <w:t xml:space="preserve">What it does</w:t>
      </w:r>
    </w:p>
    <w:p>
      <w:pPr>
        <w:pStyle w:val="ListParagraph"/>
        <w:numPr>
          <w:ilvl w:val="0"/>
          <w:numId w:val="2"/>
        </w:numPr>
        <w:spacing w:after="60"/>
      </w:pPr>
      <w:r>
        <w:rPr>
          <w:rFonts w:ascii="Calibri" w:cs="Calibri" w:eastAsia="Calibri" w:hAnsi="Calibri"/>
          <w:sz w:val="22"/>
          <w:szCs w:val="22"/>
        </w:rPr>
        <w:t xml:space="preserve">Reviews the monthly financial statements and reconciliations from the managing agent and reports anything noteworthy to the Treasurer and Board.</w:t>
      </w:r>
    </w:p>
    <w:p>
      <w:pPr>
        <w:pStyle w:val="ListParagraph"/>
        <w:numPr>
          <w:ilvl w:val="0"/>
          <w:numId w:val="2"/>
        </w:numPr>
        <w:spacing w:after="60"/>
      </w:pPr>
      <w:r>
        <w:rPr>
          <w:rFonts w:ascii="Calibri" w:cs="Calibri" w:eastAsia="Calibri" w:hAnsi="Calibri"/>
          <w:sz w:val="22"/>
          <w:szCs w:val="22"/>
        </w:rPr>
        <w:t xml:space="preserve">Helps the Treasurer prepare the annual budget and the yearly financial summary shared with all members.</w:t>
      </w:r>
    </w:p>
    <w:p>
      <w:pPr>
        <w:pStyle w:val="ListParagraph"/>
        <w:numPr>
          <w:ilvl w:val="0"/>
          <w:numId w:val="2"/>
        </w:numPr>
        <w:spacing w:after="60"/>
      </w:pPr>
      <w:r>
        <w:rPr>
          <w:rFonts w:ascii="Calibri" w:cs="Calibri" w:eastAsia="Calibri" w:hAnsi="Calibri"/>
          <w:sz w:val="22"/>
          <w:szCs w:val="22"/>
        </w:rPr>
        <w:t xml:space="preserve">Supports the annual independent audit required by our Bylaws and reviews the results.</w:t>
      </w:r>
    </w:p>
    <w:p>
      <w:pPr>
        <w:pStyle w:val="ListParagraph"/>
        <w:numPr>
          <w:ilvl w:val="0"/>
          <w:numId w:val="2"/>
        </w:numPr>
        <w:spacing w:after="60"/>
      </w:pPr>
      <w:r>
        <w:rPr>
          <w:rFonts w:ascii="Calibri" w:cs="Calibri" w:eastAsia="Calibri" w:hAnsi="Calibri"/>
          <w:sz w:val="22"/>
          <w:szCs w:val="22"/>
        </w:rPr>
        <w:t xml:space="preserve">Keeps an eye on the reserve fund and the reserve study cycle required by New Jersey law, so big-ticket repairs are funded before they arrive.</w:t>
      </w:r>
    </w:p>
    <w:p>
      <w:pPr>
        <w:pStyle w:val="ListParagraph"/>
        <w:numPr>
          <w:ilvl w:val="0"/>
          <w:numId w:val="2"/>
        </w:numPr>
        <w:spacing w:after="60"/>
      </w:pPr>
      <w:r>
        <w:rPr>
          <w:rFonts w:ascii="Calibri" w:cs="Calibri" w:eastAsia="Calibri" w:hAnsi="Calibri"/>
          <w:sz w:val="22"/>
          <w:szCs w:val="22"/>
        </w:rPr>
        <w:t xml:space="preserve">Reviews insurance renewals and the financial side of vendor bids and contract renewals.</w:t>
      </w:r>
    </w:p>
    <w:p>
      <w:pPr>
        <w:pStyle w:val="ListParagraph"/>
        <w:numPr>
          <w:ilvl w:val="0"/>
          <w:numId w:val="2"/>
        </w:numPr>
        <w:spacing w:after="60"/>
      </w:pPr>
      <w:r>
        <w:rPr>
          <w:rFonts w:ascii="Calibri" w:cs="Calibri" w:eastAsia="Calibri" w:hAnsi="Calibri"/>
          <w:sz w:val="22"/>
          <w:szCs w:val="22"/>
        </w:rPr>
        <w:t xml:space="preserve">Watches overall payment trends (never individual neighbours' accounts - collection matters stay with the Board and counsel).</w:t>
      </w:r>
    </w:p>
    <w:p>
      <w:pPr>
        <w:pStyle w:val="Heading2"/>
        <w:spacing w:after="80" w:before="160"/>
      </w:pPr>
      <w:r>
        <w:rPr>
          <w:rFonts w:ascii="Calibri" w:cs="Calibri" w:eastAsia="Calibri" w:hAnsi="Calibri"/>
          <w:b/>
          <w:bCs/>
          <w:color w:val="2E5395"/>
          <w:sz w:val="23"/>
          <w:szCs w:val="23"/>
        </w:rPr>
        <w:t xml:space="preserve">How it works</w:t>
      </w:r>
    </w:p>
    <w:p>
      <w:pPr>
        <w:pStyle w:val="ListParagraph"/>
        <w:numPr>
          <w:ilvl w:val="0"/>
          <w:numId w:val="2"/>
        </w:numPr>
        <w:spacing w:after="60"/>
      </w:pPr>
      <w:r>
        <w:rPr>
          <w:rFonts w:ascii="Calibri" w:cs="Calibri" w:eastAsia="Calibri" w:hAnsi="Calibri"/>
          <w:sz w:val="22"/>
          <w:szCs w:val="22"/>
        </w:rPr>
        <w:t xml:space="preserve">Appointed by the Board (members of the Association, per Bylaws Article X); one-year renewable terms. Typically three to five members; finance or accounting experience helpful.</w:t>
      </w:r>
    </w:p>
    <w:p>
      <w:pPr>
        <w:pStyle w:val="ListParagraph"/>
        <w:numPr>
          <w:ilvl w:val="0"/>
          <w:numId w:val="2"/>
        </w:numPr>
        <w:spacing w:after="60"/>
      </w:pPr>
      <w:r>
        <w:rPr>
          <w:rFonts w:ascii="Calibri" w:cs="Calibri" w:eastAsia="Calibri" w:hAnsi="Calibri"/>
          <w:sz w:val="22"/>
          <w:szCs w:val="22"/>
        </w:rPr>
        <w:t xml:space="preserve">Reports to the Treasurer. The committee recommends; the Board decides. No authority to spend Association funds or sign contracts.</w:t>
      </w:r>
    </w:p>
    <w:p>
      <w:pPr>
        <w:pStyle w:val="ListParagraph"/>
        <w:numPr>
          <w:ilvl w:val="0"/>
          <w:numId w:val="2"/>
        </w:numPr>
        <w:spacing w:after="60"/>
      </w:pPr>
      <w:r>
        <w:rPr>
          <w:rFonts w:ascii="Calibri" w:cs="Calibri" w:eastAsia="Calibri" w:hAnsi="Calibri"/>
          <w:sz w:val="22"/>
          <w:szCs w:val="22"/>
        </w:rPr>
        <w:t xml:space="preserve">A representative attends the first part of each board meeting to report, or emails 'nothing to report'.</w:t>
      </w:r>
    </w:p>
    <w:p>
      <w:pPr>
        <w:pStyle w:val="ListParagraph"/>
        <w:numPr>
          <w:ilvl w:val="0"/>
          <w:numId w:val="2"/>
        </w:numPr>
        <w:spacing w:after="60"/>
      </w:pPr>
      <w:r>
        <w:rPr>
          <w:rFonts w:ascii="Calibri" w:cs="Calibri" w:eastAsia="Calibri" w:hAnsi="Calibri"/>
          <w:sz w:val="22"/>
          <w:szCs w:val="22"/>
        </w:rPr>
        <w:t xml:space="preserve">Members treat non-public information as confidential and step aside from any matter where they have a personal interest.</w:t>
      </w:r>
    </w:p>
    <w:p>
      <w:pPr>
        <w:pStyle w:val="Heading1"/>
        <w:spacing w:after="120" w:before="240"/>
      </w:pPr>
      <w:r>
        <w:br w:type="page"/>
      </w:r>
      <w:r>
        <w:rPr>
          <w:rFonts w:ascii="Calibri" w:cs="Calibri" w:eastAsia="Calibri" w:hAnsi="Calibri"/>
          <w:b/>
          <w:bCs/>
          <w:color w:val="1F3864"/>
          <w:sz w:val="28"/>
          <w:szCs w:val="28"/>
        </w:rPr>
        <w:t xml:space="preserve">Social Committee</w:t>
      </w:r>
    </w:p>
    <w:p>
      <w:pPr>
        <w:spacing w:after="110"/>
      </w:pPr>
      <w:r>
        <w:rPr>
          <w:rFonts w:ascii="Calibri" w:cs="Calibri" w:eastAsia="Calibri" w:hAnsi="Calibri"/>
          <w:sz w:val="22"/>
          <w:szCs w:val="22"/>
        </w:rPr>
        <w:t xml:space="preserve">Brings the community together - events, celebrations, and keeping everyone informed.</w:t>
      </w:r>
    </w:p>
    <w:p>
      <w:pPr>
        <w:pStyle w:val="Heading2"/>
        <w:spacing w:after="80" w:before="160"/>
      </w:pPr>
      <w:r>
        <w:rPr>
          <w:rFonts w:ascii="Calibri" w:cs="Calibri" w:eastAsia="Calibri" w:hAnsi="Calibri"/>
          <w:b/>
          <w:bCs/>
          <w:color w:val="2E5395"/>
          <w:sz w:val="23"/>
          <w:szCs w:val="23"/>
        </w:rPr>
        <w:t xml:space="preserve">What it does</w:t>
      </w:r>
    </w:p>
    <w:p>
      <w:pPr>
        <w:pStyle w:val="ListParagraph"/>
        <w:numPr>
          <w:ilvl w:val="0"/>
          <w:numId w:val="2"/>
        </w:numPr>
        <w:spacing w:after="60"/>
      </w:pPr>
      <w:r>
        <w:rPr>
          <w:rFonts w:ascii="Calibri" w:cs="Calibri" w:eastAsia="Calibri" w:hAnsi="Calibri"/>
          <w:sz w:val="22"/>
          <w:szCs w:val="22"/>
        </w:rPr>
        <w:t xml:space="preserve">Plans and runs community social events and activities through the year.</w:t>
      </w:r>
    </w:p>
    <w:p>
      <w:pPr>
        <w:pStyle w:val="ListParagraph"/>
        <w:numPr>
          <w:ilvl w:val="0"/>
          <w:numId w:val="2"/>
        </w:numPr>
        <w:spacing w:after="60"/>
      </w:pPr>
      <w:r>
        <w:rPr>
          <w:rFonts w:ascii="Calibri" w:cs="Calibri" w:eastAsia="Calibri" w:hAnsi="Calibri"/>
          <w:sz w:val="22"/>
          <w:szCs w:val="22"/>
        </w:rPr>
        <w:t xml:space="preserve">Produces the community newsletter.</w:t>
      </w:r>
    </w:p>
    <w:p>
      <w:pPr>
        <w:pStyle w:val="ListParagraph"/>
        <w:numPr>
          <w:ilvl w:val="0"/>
          <w:numId w:val="2"/>
        </w:numPr>
        <w:spacing w:after="60"/>
      </w:pPr>
      <w:r>
        <w:rPr>
          <w:rFonts w:ascii="Calibri" w:cs="Calibri" w:eastAsia="Calibri" w:hAnsi="Calibri"/>
          <w:sz w:val="22"/>
          <w:szCs w:val="22"/>
        </w:rPr>
        <w:t xml:space="preserve">Coordinates clubhouse rentals and event use with the managing agent.</w:t>
      </w:r>
    </w:p>
    <w:p>
      <w:pPr>
        <w:pStyle w:val="ListParagraph"/>
        <w:numPr>
          <w:ilvl w:val="0"/>
          <w:numId w:val="2"/>
        </w:numPr>
        <w:spacing w:after="60"/>
      </w:pPr>
      <w:r>
        <w:rPr>
          <w:rFonts w:ascii="Calibri" w:cs="Calibri" w:eastAsia="Calibri" w:hAnsi="Calibri"/>
          <w:sz w:val="22"/>
          <w:szCs w:val="22"/>
        </w:rPr>
        <w:t xml:space="preserve">Proposes an annual events budget for Board approval, then spends within that approved budget without item-by-item Board sign-off.</w:t>
      </w:r>
    </w:p>
    <w:p>
      <w:pPr>
        <w:pStyle w:val="ListParagraph"/>
        <w:numPr>
          <w:ilvl w:val="0"/>
          <w:numId w:val="2"/>
        </w:numPr>
        <w:spacing w:after="60"/>
      </w:pPr>
      <w:r>
        <w:rPr>
          <w:rFonts w:ascii="Calibri" w:cs="Calibri" w:eastAsia="Calibri" w:hAnsi="Calibri"/>
          <w:sz w:val="22"/>
          <w:szCs w:val="22"/>
        </w:rPr>
        <w:t xml:space="preserve">Keeps a record of every transaction (receipts, event income, payments) for audit by the Board annually.</w:t>
      </w:r>
    </w:p>
    <w:p>
      <w:pPr>
        <w:pStyle w:val="ListParagraph"/>
        <w:numPr>
          <w:ilvl w:val="0"/>
          <w:numId w:val="2"/>
        </w:numPr>
        <w:spacing w:after="60"/>
      </w:pPr>
      <w:r>
        <w:rPr>
          <w:rFonts w:ascii="Calibri" w:cs="Calibri" w:eastAsia="Calibri" w:hAnsi="Calibri"/>
          <w:sz w:val="22"/>
          <w:szCs w:val="22"/>
        </w:rPr>
        <w:t xml:space="preserve">Members attend at least half of committee meetings so planning work is shared fairly.</w:t>
      </w:r>
    </w:p>
    <w:p>
      <w:pPr>
        <w:pStyle w:val="Heading2"/>
        <w:spacing w:after="80" w:before="160"/>
      </w:pPr>
      <w:r>
        <w:rPr>
          <w:rFonts w:ascii="Calibri" w:cs="Calibri" w:eastAsia="Calibri" w:hAnsi="Calibri"/>
          <w:b/>
          <w:bCs/>
          <w:color w:val="2E5395"/>
          <w:sz w:val="23"/>
          <w:szCs w:val="23"/>
        </w:rPr>
        <w:t xml:space="preserve">How it works</w:t>
      </w:r>
    </w:p>
    <w:p>
      <w:pPr>
        <w:pStyle w:val="ListParagraph"/>
        <w:numPr>
          <w:ilvl w:val="0"/>
          <w:numId w:val="2"/>
        </w:numPr>
        <w:spacing w:after="60"/>
      </w:pPr>
      <w:r>
        <w:rPr>
          <w:rFonts w:ascii="Calibri" w:cs="Calibri" w:eastAsia="Calibri" w:hAnsi="Calibri"/>
          <w:sz w:val="22"/>
          <w:szCs w:val="22"/>
        </w:rPr>
        <w:t xml:space="preserve">Appointed by the Board (members of the Association, per Bylaws Article X); one-year renewable terms. Sized to the workload; the committee sets its own meeting rhythm.</w:t>
      </w:r>
    </w:p>
    <w:p>
      <w:pPr>
        <w:pStyle w:val="ListParagraph"/>
        <w:numPr>
          <w:ilvl w:val="0"/>
          <w:numId w:val="2"/>
        </w:numPr>
        <w:spacing w:after="60"/>
      </w:pPr>
      <w:r>
        <w:rPr>
          <w:rFonts w:ascii="Calibri" w:cs="Calibri" w:eastAsia="Calibri" w:hAnsi="Calibri"/>
          <w:sz w:val="22"/>
          <w:szCs w:val="22"/>
        </w:rPr>
        <w:t xml:space="preserve">Reports to the Board liaison. Uniquely among committees, the Social Committee may spend within its Board-approved annual budget; anything beyond that budget, and any contract, still requires Board approval.</w:t>
      </w:r>
    </w:p>
    <w:p>
      <w:pPr>
        <w:pStyle w:val="ListParagraph"/>
        <w:numPr>
          <w:ilvl w:val="0"/>
          <w:numId w:val="2"/>
        </w:numPr>
        <w:spacing w:after="60"/>
      </w:pPr>
      <w:r>
        <w:rPr>
          <w:rFonts w:ascii="Calibri" w:cs="Calibri" w:eastAsia="Calibri" w:hAnsi="Calibri"/>
          <w:sz w:val="22"/>
          <w:szCs w:val="22"/>
        </w:rPr>
        <w:t xml:space="preserve">A representative attends the first part of each board meeting to report, or emails 'nothing to report'.</w:t>
      </w:r>
    </w:p>
    <w:p>
      <w:pPr>
        <w:pStyle w:val="ListParagraph"/>
        <w:numPr>
          <w:ilvl w:val="0"/>
          <w:numId w:val="2"/>
        </w:numPr>
        <w:spacing w:after="60"/>
      </w:pPr>
      <w:r>
        <w:rPr>
          <w:rFonts w:ascii="Calibri" w:cs="Calibri" w:eastAsia="Calibri" w:hAnsi="Calibri"/>
          <w:sz w:val="22"/>
          <w:szCs w:val="22"/>
        </w:rPr>
        <w:t xml:space="preserve">Members treat non-public information as confidential and step aside from any matter where they have a personal interest.</w:t>
      </w:r>
    </w:p>
    <w:p>
      <w:pPr>
        <w:pStyle w:val="Heading1"/>
        <w:spacing w:after="120" w:before="240"/>
      </w:pPr>
      <w:r>
        <w:br w:type="page"/>
      </w:r>
      <w:r>
        <w:rPr>
          <w:rFonts w:ascii="Calibri" w:cs="Calibri" w:eastAsia="Calibri" w:hAnsi="Calibri"/>
          <w:b/>
          <w:bCs/>
          <w:color w:val="1F3864"/>
          <w:sz w:val="28"/>
          <w:szCs w:val="28"/>
        </w:rPr>
        <w:t xml:space="preserve">Shared Spaces Committee (proposed)</w:t>
      </w:r>
    </w:p>
    <w:p>
      <w:pPr>
        <w:spacing w:after="110"/>
      </w:pPr>
      <w:r>
        <w:rPr>
          <w:rFonts w:ascii="Calibri" w:cs="Calibri" w:eastAsia="Calibri" w:hAnsi="Calibri"/>
          <w:sz w:val="22"/>
          <w:szCs w:val="22"/>
        </w:rPr>
        <w:t xml:space="preserve">While it is the responsibility of every member to raise issues and concerns about our shared spaces with the management team and the Board, there is a view that a dedicated committee to review and report on these spaces is warranted. With this in mind, the following is proposed to the membership at the next open meeting:</w:t>
      </w:r>
    </w:p>
    <w:p>
      <w:pPr>
        <w:spacing w:after="110"/>
      </w:pPr>
      <w:r>
        <w:rPr>
          <w:rFonts w:ascii="Calibri" w:cs="Calibri" w:eastAsia="Calibri" w:hAnsi="Calibri"/>
          <w:sz w:val="22"/>
          <w:szCs w:val="22"/>
        </w:rPr>
        <w:t xml:space="preserve">The Board's eyes on everything we own together - clubhouse, pool area, pickleball court, greens, roads and sidewalks - so problems are spotted early and vendors deliver what we pay for.</w:t>
      </w:r>
    </w:p>
    <w:p>
      <w:pPr>
        <w:pStyle w:val="Heading2"/>
        <w:spacing w:after="80" w:before="160"/>
      </w:pPr>
      <w:r>
        <w:rPr>
          <w:rFonts w:ascii="Calibri" w:cs="Calibri" w:eastAsia="Calibri" w:hAnsi="Calibri"/>
          <w:b/>
          <w:bCs/>
          <w:color w:val="2E5395"/>
          <w:sz w:val="23"/>
          <w:szCs w:val="23"/>
        </w:rPr>
        <w:t xml:space="preserve">What it does</w:t>
      </w:r>
    </w:p>
    <w:p>
      <w:pPr>
        <w:pStyle w:val="ListParagraph"/>
        <w:numPr>
          <w:ilvl w:val="0"/>
          <w:numId w:val="2"/>
        </w:numPr>
        <w:spacing w:after="60"/>
      </w:pPr>
      <w:r>
        <w:rPr>
          <w:rFonts w:ascii="Calibri" w:cs="Calibri" w:eastAsia="Calibri" w:hAnsi="Calibri"/>
          <w:sz w:val="22"/>
          <w:szCs w:val="22"/>
        </w:rPr>
        <w:t xml:space="preserve">Walks the property on a regular schedule (plus seasonal checks around winter and pool opening/closing) and logs what needs attention.</w:t>
      </w:r>
    </w:p>
    <w:p>
      <w:pPr>
        <w:pStyle w:val="ListParagraph"/>
        <w:numPr>
          <w:ilvl w:val="0"/>
          <w:numId w:val="2"/>
        </w:numPr>
        <w:spacing w:after="60"/>
      </w:pPr>
      <w:r>
        <w:rPr>
          <w:rFonts w:ascii="Calibri" w:cs="Calibri" w:eastAsia="Calibri" w:hAnsi="Calibri"/>
          <w:sz w:val="22"/>
          <w:szCs w:val="22"/>
        </w:rPr>
        <w:t xml:space="preserve">Keeps a simple register of our shared assets and their condition, feeding the reserve study.</w:t>
      </w:r>
    </w:p>
    <w:p>
      <w:pPr>
        <w:pStyle w:val="ListParagraph"/>
        <w:numPr>
          <w:ilvl w:val="0"/>
          <w:numId w:val="2"/>
        </w:numPr>
        <w:spacing w:after="60"/>
      </w:pPr>
      <w:r>
        <w:rPr>
          <w:rFonts w:ascii="Calibri" w:cs="Calibri" w:eastAsia="Calibri" w:hAnsi="Calibri"/>
          <w:sz w:val="22"/>
          <w:szCs w:val="22"/>
        </w:rPr>
        <w:t xml:space="preserve">Monitors vendor delivery against contract service levels (snow triggers, landscaping schedules, pool service) and reports performance to the Board, including joint walk-throughs with contractors.</w:t>
      </w:r>
    </w:p>
    <w:p>
      <w:pPr>
        <w:pStyle w:val="ListParagraph"/>
        <w:numPr>
          <w:ilvl w:val="0"/>
          <w:numId w:val="2"/>
        </w:numPr>
        <w:spacing w:after="60"/>
      </w:pPr>
      <w:r>
        <w:rPr>
          <w:rFonts w:ascii="Calibri" w:cs="Calibri" w:eastAsia="Calibri" w:hAnsi="Calibri"/>
          <w:sz w:val="22"/>
          <w:szCs w:val="22"/>
        </w:rPr>
        <w:t xml:space="preserve">Suggests usage policies for amenities and ideas for improvements, with rough costs, for Board consideration.</w:t>
      </w:r>
    </w:p>
    <w:p>
      <w:pPr>
        <w:pStyle w:val="ListParagraph"/>
        <w:numPr>
          <w:ilvl w:val="0"/>
          <w:numId w:val="2"/>
        </w:numPr>
        <w:spacing w:after="60"/>
      </w:pPr>
      <w:r>
        <w:rPr>
          <w:rFonts w:ascii="Calibri" w:cs="Calibri" w:eastAsia="Calibri" w:hAnsi="Calibri"/>
          <w:sz w:val="22"/>
          <w:szCs w:val="22"/>
        </w:rPr>
        <w:t xml:space="preserve">Flags safety hazards immediately.</w:t>
      </w:r>
    </w:p>
    <w:p>
      <w:pPr>
        <w:pStyle w:val="ListParagraph"/>
        <w:numPr>
          <w:ilvl w:val="0"/>
          <w:numId w:val="2"/>
        </w:numPr>
        <w:spacing w:after="60"/>
      </w:pPr>
      <w:r>
        <w:rPr>
          <w:rFonts w:ascii="Calibri" w:cs="Calibri" w:eastAsia="Calibri" w:hAnsi="Calibri"/>
          <w:sz w:val="22"/>
          <w:szCs w:val="22"/>
        </w:rPr>
        <w:t xml:space="preserve">In time, inherits the Transition Committee's records (inspection reports, warranties, plans) and carries the condition-oversight role forward.</w:t>
      </w:r>
    </w:p>
    <w:p>
      <w:pPr>
        <w:pStyle w:val="Heading2"/>
        <w:spacing w:after="80" w:before="160"/>
      </w:pPr>
      <w:r>
        <w:rPr>
          <w:rFonts w:ascii="Calibri" w:cs="Calibri" w:eastAsia="Calibri" w:hAnsi="Calibri"/>
          <w:b/>
          <w:bCs/>
          <w:color w:val="2E5395"/>
          <w:sz w:val="23"/>
          <w:szCs w:val="23"/>
        </w:rPr>
        <w:t xml:space="preserve">How it works</w:t>
      </w:r>
    </w:p>
    <w:p>
      <w:pPr>
        <w:pStyle w:val="ListParagraph"/>
        <w:numPr>
          <w:ilvl w:val="0"/>
          <w:numId w:val="2"/>
        </w:numPr>
        <w:spacing w:after="60"/>
      </w:pPr>
      <w:r>
        <w:rPr>
          <w:rFonts w:ascii="Calibri" w:cs="Calibri" w:eastAsia="Calibri" w:hAnsi="Calibri"/>
          <w:sz w:val="22"/>
          <w:szCs w:val="22"/>
        </w:rPr>
        <w:t xml:space="preserve">Appointed by the Board (members of the Association, per Bylaws Article X); one-year renewable terms. Typically three to seven members; hands-on, facilities or project experience welcome.</w:t>
      </w:r>
    </w:p>
    <w:p>
      <w:pPr>
        <w:pStyle w:val="ListParagraph"/>
        <w:numPr>
          <w:ilvl w:val="0"/>
          <w:numId w:val="2"/>
        </w:numPr>
        <w:spacing w:after="60"/>
      </w:pPr>
      <w:r>
        <w:rPr>
          <w:rFonts w:ascii="Calibri" w:cs="Calibri" w:eastAsia="Calibri" w:hAnsi="Calibri"/>
          <w:sz w:val="22"/>
          <w:szCs w:val="22"/>
        </w:rPr>
        <w:t xml:space="preserve">Reports to the Board liaison. No authorisation to spend - the committee only observes, reviews, and recommends; the Board decides and approves any expenditure or contract.</w:t>
      </w:r>
    </w:p>
    <w:p>
      <w:pPr>
        <w:pStyle w:val="ListParagraph"/>
        <w:numPr>
          <w:ilvl w:val="0"/>
          <w:numId w:val="2"/>
        </w:numPr>
        <w:spacing w:after="60"/>
      </w:pPr>
      <w:r>
        <w:rPr>
          <w:rFonts w:ascii="Calibri" w:cs="Calibri" w:eastAsia="Calibri" w:hAnsi="Calibri"/>
          <w:sz w:val="22"/>
          <w:szCs w:val="22"/>
        </w:rPr>
        <w:t xml:space="preserve">A representative attends the first part of each board meeting to report, or emails 'nothing to report'.</w:t>
      </w:r>
    </w:p>
    <w:p>
      <w:pPr>
        <w:pStyle w:val="ListParagraph"/>
        <w:numPr>
          <w:ilvl w:val="0"/>
          <w:numId w:val="2"/>
        </w:numPr>
        <w:spacing w:after="60"/>
      </w:pPr>
      <w:r>
        <w:rPr>
          <w:rFonts w:ascii="Calibri" w:cs="Calibri" w:eastAsia="Calibri" w:hAnsi="Calibri"/>
          <w:sz w:val="22"/>
          <w:szCs w:val="22"/>
        </w:rPr>
        <w:t xml:space="preserve">Members treat non-public information as confidential and step aside from any matter where they have a personal interest.</w:t>
      </w:r>
    </w:p>
    <w:p>
      <w:pPr>
        <w:pStyle w:val="Heading1"/>
        <w:spacing w:after="120" w:before="240"/>
      </w:pPr>
      <w:r>
        <w:br w:type="page"/>
      </w:r>
      <w:r>
        <w:rPr>
          <w:rFonts w:ascii="Calibri" w:cs="Calibri" w:eastAsia="Calibri" w:hAnsi="Calibri"/>
          <w:b/>
          <w:bCs/>
          <w:color w:val="1F3864"/>
          <w:sz w:val="28"/>
          <w:szCs w:val="28"/>
        </w:rPr>
        <w:t xml:space="preserve">Judiciary Committee</w:t>
      </w:r>
    </w:p>
    <w:p>
      <w:pPr>
        <w:spacing w:after="110"/>
      </w:pPr>
      <w:r>
        <w:rPr>
          <w:rFonts w:ascii="Calibri" w:cs="Calibri" w:eastAsia="Calibri" w:hAnsi="Calibri"/>
          <w:sz w:val="22"/>
          <w:szCs w:val="22"/>
        </w:rPr>
        <w:t xml:space="preserve">Our Bylaws-required neutral panel for resolving disputes without lawyers or courts (alternative dispute resolution - ADR). New Jersey law requires ADR to be offered before any fine can stand.</w:t>
      </w:r>
    </w:p>
    <w:p>
      <w:pPr>
        <w:pStyle w:val="Heading2"/>
        <w:spacing w:after="80" w:before="160"/>
      </w:pPr>
      <w:r>
        <w:rPr>
          <w:rFonts w:ascii="Calibri" w:cs="Calibri" w:eastAsia="Calibri" w:hAnsi="Calibri"/>
          <w:b/>
          <w:bCs/>
          <w:color w:val="2E5395"/>
          <w:sz w:val="23"/>
          <w:szCs w:val="23"/>
        </w:rPr>
        <w:t xml:space="preserve">What it does</w:t>
      </w:r>
    </w:p>
    <w:p>
      <w:pPr>
        <w:pStyle w:val="ListParagraph"/>
        <w:numPr>
          <w:ilvl w:val="0"/>
          <w:numId w:val="2"/>
        </w:numPr>
        <w:spacing w:after="60"/>
      </w:pPr>
      <w:r>
        <w:rPr>
          <w:rFonts w:ascii="Calibri" w:cs="Calibri" w:eastAsia="Calibri" w:hAnsi="Calibri"/>
          <w:sz w:val="22"/>
          <w:szCs w:val="22"/>
        </w:rPr>
        <w:t xml:space="preserve">Hears disputes between members, tenants, and/or the Board that fall outside the ARC's remit, following the process fixed in Bylaws Article XV: complaint in writing, copy to the other party within 7 days, response within 14, informal resolution first, and a formal hearing on 14 days' notice if needed.</w:t>
      </w:r>
    </w:p>
    <w:p>
      <w:pPr>
        <w:pStyle w:val="ListParagraph"/>
        <w:numPr>
          <w:ilvl w:val="0"/>
          <w:numId w:val="2"/>
        </w:numPr>
        <w:spacing w:after="60"/>
      </w:pPr>
      <w:r>
        <w:rPr>
          <w:rFonts w:ascii="Calibri" w:cs="Calibri" w:eastAsia="Calibri" w:hAnsi="Calibri"/>
          <w:sz w:val="22"/>
          <w:szCs w:val="22"/>
        </w:rPr>
        <w:t xml:space="preserve">Aims to decide promptly after a hearing; costs are common expenses.</w:t>
      </w:r>
    </w:p>
    <w:p>
      <w:pPr>
        <w:pStyle w:val="ListParagraph"/>
        <w:numPr>
          <w:ilvl w:val="0"/>
          <w:numId w:val="2"/>
        </w:numPr>
        <w:spacing w:after="60"/>
      </w:pPr>
      <w:r>
        <w:rPr>
          <w:rFonts w:ascii="Calibri" w:cs="Calibri" w:eastAsia="Calibri" w:hAnsi="Calibri"/>
          <w:sz w:val="22"/>
          <w:szCs w:val="22"/>
        </w:rPr>
        <w:t xml:space="preserve">May issue cease-and-desist requests and, on request, interpretations of the governing documents.</w:t>
      </w:r>
    </w:p>
    <w:p>
      <w:pPr>
        <w:pStyle w:val="ListParagraph"/>
        <w:numPr>
          <w:ilvl w:val="0"/>
          <w:numId w:val="2"/>
        </w:numPr>
        <w:spacing w:after="60"/>
      </w:pPr>
      <w:r>
        <w:rPr>
          <w:rFonts w:ascii="Calibri" w:cs="Calibri" w:eastAsia="Calibri" w:hAnsi="Calibri"/>
          <w:sz w:val="22"/>
          <w:szCs w:val="22"/>
        </w:rPr>
        <w:t xml:space="preserve">Operates with strict confidentiality and impartiality.</w:t>
      </w:r>
    </w:p>
    <w:p>
      <w:pPr>
        <w:pStyle w:val="Heading2"/>
        <w:spacing w:after="80" w:before="160"/>
      </w:pPr>
      <w:r>
        <w:rPr>
          <w:rFonts w:ascii="Calibri" w:cs="Calibri" w:eastAsia="Calibri" w:hAnsi="Calibri"/>
          <w:b/>
          <w:bCs/>
          <w:color w:val="2E5395"/>
          <w:sz w:val="23"/>
          <w:szCs w:val="23"/>
        </w:rPr>
        <w:t xml:space="preserve">How it works</w:t>
      </w:r>
    </w:p>
    <w:p>
      <w:pPr>
        <w:pStyle w:val="ListParagraph"/>
        <w:numPr>
          <w:ilvl w:val="0"/>
          <w:numId w:val="2"/>
        </w:numPr>
        <w:spacing w:after="60"/>
      </w:pPr>
      <w:r>
        <w:rPr>
          <w:rFonts w:ascii="Calibri" w:cs="Calibri" w:eastAsia="Calibri" w:hAnsi="Calibri"/>
          <w:sz w:val="22"/>
          <w:szCs w:val="22"/>
        </w:rPr>
        <w:t xml:space="preserve">Appointed by the Board (members of the Association, per Bylaws Article X); one-year renewable terms. Three or five members (odd number); no sitting Trustee may serve, keeping the panel neutral.</w:t>
      </w:r>
    </w:p>
    <w:p>
      <w:pPr>
        <w:pStyle w:val="ListParagraph"/>
        <w:numPr>
          <w:ilvl w:val="0"/>
          <w:numId w:val="2"/>
        </w:numPr>
        <w:spacing w:after="60"/>
      </w:pPr>
      <w:r>
        <w:rPr>
          <w:rFonts w:ascii="Calibri" w:cs="Calibri" w:eastAsia="Calibri" w:hAnsi="Calibri"/>
          <w:sz w:val="22"/>
          <w:szCs w:val="22"/>
        </w:rPr>
        <w:t xml:space="preserve">Reports to the Board (procedurally); its decisions are its own. The committee recommends; the Board decides. No authority to spend Association funds or sign contracts.</w:t>
      </w:r>
    </w:p>
    <w:p>
      <w:pPr>
        <w:pStyle w:val="ListParagraph"/>
        <w:numPr>
          <w:ilvl w:val="0"/>
          <w:numId w:val="2"/>
        </w:numPr>
        <w:spacing w:after="60"/>
      </w:pPr>
      <w:r>
        <w:rPr>
          <w:rFonts w:ascii="Calibri" w:cs="Calibri" w:eastAsia="Calibri" w:hAnsi="Calibri"/>
          <w:sz w:val="22"/>
          <w:szCs w:val="22"/>
        </w:rPr>
        <w:t xml:space="preserve">A representative attends the first part of each board meeting to report, or emails 'nothing to report'.</w:t>
      </w:r>
    </w:p>
    <w:p>
      <w:pPr>
        <w:pStyle w:val="ListParagraph"/>
        <w:numPr>
          <w:ilvl w:val="0"/>
          <w:numId w:val="2"/>
        </w:numPr>
        <w:spacing w:after="60"/>
      </w:pPr>
      <w:r>
        <w:rPr>
          <w:rFonts w:ascii="Calibri" w:cs="Calibri" w:eastAsia="Calibri" w:hAnsi="Calibri"/>
          <w:sz w:val="22"/>
          <w:szCs w:val="22"/>
        </w:rPr>
        <w:t xml:space="preserve">Members treat non-public information as confidential and step aside from any matter where they have a personal interest.</w:t>
      </w:r>
    </w:p>
    <w:p>
      <w:pPr>
        <w:pStyle w:val="Heading1"/>
        <w:spacing w:after="120" w:before="240"/>
      </w:pPr>
      <w:r>
        <w:br w:type="page"/>
      </w:r>
      <w:r>
        <w:rPr>
          <w:rFonts w:ascii="Calibri" w:cs="Calibri" w:eastAsia="Calibri" w:hAnsi="Calibri"/>
          <w:b/>
          <w:bCs/>
          <w:color w:val="1F3864"/>
          <w:sz w:val="28"/>
          <w:szCs w:val="28"/>
        </w:rPr>
        <w:t xml:space="preserve">Transition Committee</w:t>
      </w:r>
    </w:p>
    <w:p>
      <w:pPr>
        <w:spacing w:after="110"/>
      </w:pPr>
      <w:r>
        <w:rPr>
          <w:rFonts w:ascii="Calibri" w:cs="Calibri" w:eastAsia="Calibri" w:hAnsi="Calibri"/>
          <w:sz w:val="22"/>
          <w:szCs w:val="22"/>
        </w:rPr>
        <w:t xml:space="preserve">A time-limited committee with one job: make sure the developer (Sharbell) finishes and fixes what it is obliged to before being released.</w:t>
      </w:r>
    </w:p>
    <w:p>
      <w:pPr>
        <w:pStyle w:val="Heading2"/>
        <w:spacing w:after="80" w:before="160"/>
      </w:pPr>
      <w:r>
        <w:rPr>
          <w:rFonts w:ascii="Calibri" w:cs="Calibri" w:eastAsia="Calibri" w:hAnsi="Calibri"/>
          <w:b/>
          <w:bCs/>
          <w:color w:val="2E5395"/>
          <w:sz w:val="23"/>
          <w:szCs w:val="23"/>
        </w:rPr>
        <w:t xml:space="preserve">What it does</w:t>
      </w:r>
    </w:p>
    <w:p>
      <w:pPr>
        <w:pStyle w:val="ListParagraph"/>
        <w:numPr>
          <w:ilvl w:val="0"/>
          <w:numId w:val="2"/>
        </w:numPr>
        <w:spacing w:after="60"/>
      </w:pPr>
      <w:r>
        <w:rPr>
          <w:rFonts w:ascii="Calibri" w:cs="Calibri" w:eastAsia="Calibri" w:hAnsi="Calibri"/>
          <w:sz w:val="22"/>
          <w:szCs w:val="22"/>
        </w:rPr>
        <w:t xml:space="preserve">Per Bylaws Article XVI: three resident owners, elected by the owners (not appointed by the Board); vacancies filled by the resident-owner Trustees within 30 days.</w:t>
      </w:r>
    </w:p>
    <w:p>
      <w:pPr>
        <w:pStyle w:val="ListParagraph"/>
        <w:numPr>
          <w:ilvl w:val="0"/>
          <w:numId w:val="2"/>
        </w:numPr>
        <w:spacing w:after="60"/>
      </w:pPr>
      <w:r>
        <w:rPr>
          <w:rFonts w:ascii="Calibri" w:cs="Calibri" w:eastAsia="Calibri" w:hAnsi="Calibri"/>
          <w:sz w:val="22"/>
          <w:szCs w:val="22"/>
        </w:rPr>
        <w:t xml:space="preserve">Engages independent engineering and legal consultants of its own choosing, paid by the Association (the Board approves the firms and cost).</w:t>
      </w:r>
    </w:p>
    <w:p>
      <w:pPr>
        <w:pStyle w:val="ListParagraph"/>
        <w:numPr>
          <w:ilvl w:val="0"/>
          <w:numId w:val="2"/>
        </w:numPr>
        <w:spacing w:after="60"/>
      </w:pPr>
      <w:r>
        <w:rPr>
          <w:rFonts w:ascii="Calibri" w:cs="Calibri" w:eastAsia="Calibri" w:hAnsi="Calibri"/>
          <w:sz w:val="22"/>
          <w:szCs w:val="22"/>
        </w:rPr>
        <w:t xml:space="preserve">For each part of the common property the developer declares complete: obtains an engineer's inspection within 60 days, shares it with the developer within 10, joint-inspects, and negotiates remediation.</w:t>
      </w:r>
    </w:p>
    <w:p>
      <w:pPr>
        <w:pStyle w:val="ListParagraph"/>
        <w:numPr>
          <w:ilvl w:val="0"/>
          <w:numId w:val="2"/>
        </w:numPr>
        <w:spacing w:after="60"/>
      </w:pPr>
      <w:r>
        <w:rPr>
          <w:rFonts w:ascii="Calibri" w:cs="Calibri" w:eastAsia="Calibri" w:hAnsi="Calibri"/>
          <w:sz w:val="22"/>
          <w:szCs w:val="22"/>
        </w:rPr>
        <w:t xml:space="preserve">Recommends to the Board the terms on which the developer is released - nothing is signed away without this review.</w:t>
      </w:r>
    </w:p>
    <w:p>
      <w:pPr>
        <w:pStyle w:val="ListParagraph"/>
        <w:numPr>
          <w:ilvl w:val="0"/>
          <w:numId w:val="2"/>
        </w:numPr>
        <w:spacing w:after="60"/>
      </w:pPr>
      <w:r>
        <w:rPr>
          <w:rFonts w:ascii="Calibri" w:cs="Calibri" w:eastAsia="Calibri" w:hAnsi="Calibri"/>
          <w:sz w:val="22"/>
          <w:szCs w:val="22"/>
        </w:rPr>
        <w:t xml:space="preserve">Collects the handover items: structural plans, preventive maintenance documentation, warranties, as-builts, contracts, and developer-era financial audits. Current punch-list items include the pump-station auto-dialer.</w:t>
      </w:r>
    </w:p>
    <w:p>
      <w:pPr>
        <w:pStyle w:val="ListParagraph"/>
        <w:numPr>
          <w:ilvl w:val="0"/>
          <w:numId w:val="2"/>
        </w:numPr>
        <w:spacing w:after="60"/>
      </w:pPr>
      <w:r>
        <w:rPr>
          <w:rFonts w:ascii="Calibri" w:cs="Calibri" w:eastAsia="Calibri" w:hAnsi="Calibri"/>
          <w:sz w:val="22"/>
          <w:szCs w:val="22"/>
        </w:rPr>
        <w:t xml:space="preserve">Winds up when releases are complete and hands its records to the Shared Spaces Committee.</w:t>
      </w:r>
    </w:p>
    <w:p>
      <w:pPr>
        <w:pStyle w:val="Heading2"/>
        <w:spacing w:after="80" w:before="160"/>
      </w:pPr>
      <w:r>
        <w:rPr>
          <w:rFonts w:ascii="Calibri" w:cs="Calibri" w:eastAsia="Calibri" w:hAnsi="Calibri"/>
          <w:b/>
          <w:bCs/>
          <w:color w:val="2E5395"/>
          <w:sz w:val="23"/>
          <w:szCs w:val="23"/>
        </w:rPr>
        <w:t xml:space="preserve">How it works</w:t>
      </w:r>
    </w:p>
    <w:p>
      <w:pPr>
        <w:pStyle w:val="ListParagraph"/>
        <w:numPr>
          <w:ilvl w:val="0"/>
          <w:numId w:val="2"/>
        </w:numPr>
        <w:spacing w:after="60"/>
      </w:pPr>
      <w:r>
        <w:rPr>
          <w:rFonts w:ascii="Calibri" w:cs="Calibri" w:eastAsia="Calibri" w:hAnsi="Calibri"/>
          <w:sz w:val="22"/>
          <w:szCs w:val="22"/>
        </w:rPr>
        <w:t xml:space="preserve">NOT appointed by the Board: exactly three resident owners, elected by the owners, as the Bylaws (Article XVI) require. Vacancies are filled by the resident-owner Trustees within 30 days.</w:t>
      </w:r>
    </w:p>
    <w:p>
      <w:pPr>
        <w:pStyle w:val="ListParagraph"/>
        <w:numPr>
          <w:ilvl w:val="0"/>
          <w:numId w:val="2"/>
        </w:numPr>
        <w:spacing w:after="60"/>
      </w:pPr>
      <w:r>
        <w:rPr>
          <w:rFonts w:ascii="Calibri" w:cs="Calibri" w:eastAsia="Calibri" w:hAnsi="Calibri"/>
          <w:sz w:val="22"/>
          <w:szCs w:val="22"/>
        </w:rPr>
        <w:t xml:space="preserve">Time-bound, not renewable: the committee exists only for the duration of the transition and is wound up when the developer releases are complete. All contracts, agreements, reports, and records then transfer to the Shared Spaces Committee.</w:t>
      </w:r>
    </w:p>
    <w:p>
      <w:pPr>
        <w:pStyle w:val="ListParagraph"/>
        <w:numPr>
          <w:ilvl w:val="0"/>
          <w:numId w:val="2"/>
        </w:numPr>
        <w:spacing w:after="60"/>
      </w:pPr>
      <w:r>
        <w:rPr>
          <w:rFonts w:ascii="Calibri" w:cs="Calibri" w:eastAsia="Calibri" w:hAnsi="Calibri"/>
          <w:sz w:val="22"/>
          <w:szCs w:val="22"/>
        </w:rPr>
        <w:t xml:space="preserve">Reports to the Board. The committee negotiates and recommends; the Board approves the consultants, their costs, and any release of the developer.</w:t>
      </w:r>
    </w:p>
    <w:p>
      <w:pPr>
        <w:pStyle w:val="ListParagraph"/>
        <w:numPr>
          <w:ilvl w:val="0"/>
          <w:numId w:val="2"/>
        </w:numPr>
        <w:spacing w:after="60"/>
      </w:pPr>
      <w:r>
        <w:rPr>
          <w:rFonts w:ascii="Calibri" w:cs="Calibri" w:eastAsia="Calibri" w:hAnsi="Calibri"/>
          <w:sz w:val="22"/>
          <w:szCs w:val="22"/>
        </w:rPr>
        <w:t xml:space="preserve">Members treat non-public information as confidential and step aside from any matter where they have a personal interest.</w:t>
      </w:r>
    </w:p>
    <w:p>
      <w:pPr>
        <w:spacing w:after="110"/>
      </w:pPr>
      <w:r>
        <w:rPr>
          <w:rFonts w:ascii="Calibri" w:cs="Calibri" w:eastAsia="Calibri" w:hAnsi="Calibri"/>
          <w:sz w:val="22"/>
          <w:szCs w:val="22"/>
        </w:rPr>
        <w:t xml:space="preserve"/>
      </w:r>
    </w:p>
    <w:p>
      <w:pPr>
        <w:spacing w:after="110"/>
      </w:pPr>
      <w:r>
        <w:rPr>
          <w:rFonts w:ascii="Calibri" w:cs="Calibri" w:eastAsia="Calibri" w:hAnsi="Calibri"/>
          <w:i/>
          <w:iCs/>
          <w:color w:val="666666"/>
          <w:sz w:val="19"/>
          <w:szCs w:val="19"/>
        </w:rPr>
        <w:t xml:space="preserve">Adopted by resolution of the Board of Trustees on ____________, as an addendum to the Blue Book under Bylaws Article X. The full operating detail for each committee (procedures, checklists, legal references) is held in the committee's internal operating guide, available from the Board.</w:t>
      </w:r>
    </w:p>
    <w:sectPr>
      <w:pgSz w:w="12240" w:h="15840" w:orient="portrait"/>
      <w:pgMar w:top="1000" w:right="1250" w:bottom="10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2026-07-08T15:17:02.853Z</dcterms:created>
  <dcterms:modified xsi:type="dcterms:W3CDTF">2026-07-08T15:17:02.853Z</dcterms:modified>
</cp:coreProperties>
</file>

<file path=docProps/custom.xml><?xml version="1.0" encoding="utf-8"?>
<Properties xmlns="http://schemas.openxmlformats.org/officeDocument/2006/custom-properties" xmlns:vt="http://schemas.openxmlformats.org/officeDocument/2006/docPropsVTypes"/>
</file>