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1F3864"/>
          <w:sz w:val="34"/>
          <w:szCs w:val="34"/>
        </w:rPr>
        <w:t xml:space="preserve">Vintage at Hamilton HOA - Board Working Meeting</w:t>
      </w:r>
    </w:p>
    <w:p>
      <w:pPr>
        <w:spacing w:after="50"/>
        <w:jc w:val="center"/>
      </w:pPr>
      <w:r>
        <w:rPr>
          <w:rFonts w:ascii="Calibri" w:cs="Calibri" w:eastAsia="Calibri" w:hAnsi="Calibri"/>
          <w:color w:val="2E5395"/>
          <w:sz w:val="24"/>
          <w:szCs w:val="24"/>
        </w:rPr>
        <w:t xml:space="preserve">Meeting Summary &amp; Action Register - July 7, 2026, 6:00 PM (2h 10m)</w:t>
      </w:r>
    </w:p>
    <w:p>
      <w:pPr>
        <w:spacing w:after="240"/>
        <w:jc w:val="center"/>
      </w:pPr>
      <w:r>
        <w:rPr>
          <w:rFonts w:ascii="Calibri" w:cs="Calibri" w:eastAsia="Calibri" w:hAnsi="Calibri"/>
          <w:i/>
          <w:iCs/>
          <w:color w:val="666666"/>
          <w:sz w:val="18"/>
          <w:szCs w:val="18"/>
        </w:rPr>
        <w:t>DRAFT v3 (July 8, 2026) - board corrections applied; reconciled against the Otter summary (speakers: Keith Dyke, Bill and Wally - board; Al - RCP Management). Working session: no binding votes taken; decisions below are agreements in principle to be ratified where required. Remaining [?] items still need confirmation.</w:t>
      </w:r>
    </w:p>
    <w:p>
      <w:pPr>
        <w:pStyle w:val="Heading1"/>
        <w:spacing w:after="120" w:before="260"/>
      </w:pPr>
      <w:r>
        <w:rPr>
          <w:rFonts w:ascii="Calibri" w:cs="Calibri" w:eastAsia="Calibri" w:hAnsi="Calibri"/>
          <w:b/>
          <w:bCs/>
          <w:color w:val="1F3864"/>
          <w:sz w:val="28"/>
          <w:szCs w:val="28"/>
        </w:rPr>
        <w:t xml:space="preserve">1. Board Reorganization</w:t>
      </w:r>
    </w:p>
    <w:p>
      <w:pPr>
        <w:pStyle w:val="ListParagraph"/>
        <w:numPr>
          <w:ilvl w:val="0"/>
          <w:numId w:val="2"/>
        </w:numPr>
        <w:spacing w:after="60"/>
      </w:pPr>
      <w:r>
        <w:rPr>
          <w:rFonts w:ascii="Calibri" w:cs="Calibri" w:eastAsia="Calibri" w:hAnsi="Calibri"/>
          <w:b/>
          <w:bCs/>
          <w:sz w:val="22"/>
          <w:szCs w:val="22"/>
        </w:rPr>
        <w:t xml:space="preserve">Officers. </w:t>
      </w:r>
      <w:r>
        <w:rPr>
          <w:rFonts w:ascii="Calibri" w:cs="Calibri" w:eastAsia="Calibri" w:hAnsi="Calibri"/>
          <w:sz w:val="22"/>
          <w:szCs w:val="22"/>
        </w:rPr>
        <w:t xml:space="preserve">Five seats: President, VP, Treasurer, Secretary, plus the sponsor's at-large seat (Sharbell retains one seat until all homes close; Donna Miller of Sharbell's office has been acting as Secretary/minute-taker). Only President and VP must be board members per the governing documents.</w:t>
      </w:r>
    </w:p>
    <w:p>
      <w:pPr>
        <w:pStyle w:val="ListParagraph"/>
        <w:numPr>
          <w:ilvl w:val="0"/>
          <w:numId w:val="2"/>
        </w:numPr>
        <w:spacing w:after="60"/>
      </w:pPr>
      <w:r>
        <w:rPr>
          <w:rFonts w:ascii="Calibri" w:cs="Calibri" w:eastAsia="Calibri" w:hAnsi="Calibri"/>
          <w:b/>
          <w:bCs/>
          <w:sz w:val="22"/>
          <w:szCs w:val="22"/>
        </w:rPr>
        <w:t xml:space="preserve">President. </w:t>
      </w:r>
      <w:r>
        <w:rPr>
          <w:rFonts w:ascii="Calibri" w:cs="Calibri" w:eastAsia="Calibri" w:hAnsi="Calibri"/>
          <w:sz w:val="22"/>
          <w:szCs w:val="22"/>
        </w:rPr>
        <w:t xml:space="preserve">Bill confirmed as President for the coming year; sentiment that in future the top vote-getter should be offered the presidency. Officer designation recurs every year regardless of seat term lengths (3/2/1-year staggered terms per Blue Book).</w:t>
      </w:r>
    </w:p>
    <w:p>
      <w:pPr>
        <w:pStyle w:val="ListParagraph"/>
        <w:numPr>
          <w:ilvl w:val="0"/>
          <w:numId w:val="2"/>
        </w:numPr>
        <w:spacing w:after="60"/>
      </w:pPr>
      <w:r>
        <w:rPr>
          <w:rFonts w:ascii="Calibri" w:cs="Calibri" w:eastAsia="Calibri" w:hAnsi="Calibri"/>
          <w:b/>
          <w:bCs/>
          <w:sz w:val="22"/>
          <w:szCs w:val="22"/>
        </w:rPr>
        <w:t xml:space="preserve">Treasurer. </w:t>
      </w:r>
      <w:r>
        <w:rPr>
          <w:rFonts w:ascii="Calibri" w:cs="Calibri" w:eastAsia="Calibri" w:hAnsi="Calibri"/>
          <w:sz w:val="22"/>
          <w:szCs w:val="22"/>
        </w:rPr>
        <w:t xml:space="preserve">Sudhir proposed as Treasurer (financial background, prior finance committee involvement); Keith to confirm his willingness before the open meeting. Al recommended the Treasurer also act as Finance Committee liaison.</w:t>
      </w:r>
    </w:p>
    <w:p>
      <w:pPr>
        <w:pStyle w:val="ListParagraph"/>
        <w:numPr>
          <w:ilvl w:val="0"/>
          <w:numId w:val="2"/>
        </w:numPr>
        <w:spacing w:after="60"/>
      </w:pPr>
      <w:r>
        <w:rPr>
          <w:rFonts w:ascii="Calibri" w:cs="Calibri" w:eastAsia="Calibri" w:hAnsi="Calibri"/>
          <w:b/>
          <w:bCs/>
          <w:sz w:val="22"/>
          <w:szCs w:val="22"/>
        </w:rPr>
        <w:t xml:space="preserve">Secretary. </w:t>
      </w:r>
      <w:r>
        <w:rPr>
          <w:rFonts w:ascii="Calibri" w:cs="Calibri" w:eastAsia="Calibri" w:hAnsi="Calibri"/>
          <w:sz w:val="22"/>
          <w:szCs w:val="22"/>
        </w:rPr>
        <w:t xml:space="preserve">Donna Miller (Sharbell office, sponsor seat) confirmed to continue as Secretary, subject to checking she is willing. Officer slate to be formally ratified at a noticed meeting (working session took no votes).</w:t>
      </w:r>
    </w:p>
    <w:p>
      <w:pPr>
        <w:pStyle w:val="Heading1"/>
        <w:spacing w:after="120" w:before="260"/>
      </w:pPr>
      <w:r>
        <w:rPr>
          <w:rFonts w:ascii="Calibri" w:cs="Calibri" w:eastAsia="Calibri" w:hAnsi="Calibri"/>
          <w:b/>
          <w:bCs/>
          <w:color w:val="1F3864"/>
          <w:sz w:val="28"/>
          <w:szCs w:val="28"/>
        </w:rPr>
        <w:t xml:space="preserve">2. Committee Membership</w:t>
      </w:r>
    </w:p>
    <w:p>
      <w:pPr>
        <w:pStyle w:val="ListParagraph"/>
        <w:numPr>
          <w:ilvl w:val="0"/>
          <w:numId w:val="2"/>
        </w:numPr>
        <w:spacing w:after="60"/>
      </w:pPr>
      <w:r>
        <w:rPr>
          <w:rFonts w:ascii="Calibri" w:cs="Calibri" w:eastAsia="Calibri" w:hAnsi="Calibri"/>
          <w:b/>
          <w:bCs/>
          <w:sz w:val="22"/>
          <w:szCs w:val="22"/>
        </w:rPr>
        <w:t xml:space="preserve">Architecture (ARC). </w:t>
      </w:r>
      <w:r>
        <w:rPr>
          <w:rFonts w:ascii="Calibri" w:cs="Calibri" w:eastAsia="Calibri" w:hAnsi="Calibri"/>
          <w:sz w:val="22"/>
          <w:szCs w:val="22"/>
        </w:rPr>
        <w:t xml:space="preserve">Brian and Gail continue (at least one more year); committee-recommended additions: Claire, Rakesh, and Robert Raymond. One applicant not selected needs to be told gently.</w:t>
      </w:r>
    </w:p>
    <w:p>
      <w:pPr>
        <w:pStyle w:val="ListParagraph"/>
        <w:numPr>
          <w:ilvl w:val="0"/>
          <w:numId w:val="2"/>
        </w:numPr>
        <w:spacing w:after="60"/>
      </w:pPr>
      <w:r>
        <w:rPr>
          <w:rFonts w:ascii="Calibri" w:cs="Calibri" w:eastAsia="Calibri" w:hAnsi="Calibri"/>
          <w:b/>
          <w:bCs/>
          <w:sz w:val="22"/>
          <w:szCs w:val="22"/>
        </w:rPr>
        <w:t xml:space="preserve">Finance. </w:t>
      </w:r>
      <w:r>
        <w:rPr>
          <w:rFonts w:ascii="Calibri" w:cs="Calibri" w:eastAsia="Calibri" w:hAnsi="Calibri"/>
          <w:sz w:val="22"/>
          <w:szCs w:val="22"/>
        </w:rPr>
        <w:t xml:space="preserve">Jim Fink stays; Joe Eustace wants to stay (affirmation to be confirmed); Richard Lovering and Ganapthy Venmani recommended to be added (Richard recommended for finance over architecture). Julie is stepping down. Consider the general-interest volunteers for any remaining seat.</w:t>
      </w:r>
    </w:p>
    <w:p>
      <w:pPr>
        <w:pStyle w:val="ListParagraph"/>
        <w:numPr>
          <w:ilvl w:val="0"/>
          <w:numId w:val="2"/>
        </w:numPr>
        <w:spacing w:after="60"/>
      </w:pPr>
      <w:r>
        <w:rPr>
          <w:rFonts w:ascii="Calibri" w:cs="Calibri" w:eastAsia="Calibri" w:hAnsi="Calibri"/>
          <w:b/>
          <w:bCs/>
          <w:sz w:val="22"/>
          <w:szCs w:val="22"/>
        </w:rPr>
        <w:t xml:space="preserve">Social. </w:t>
      </w:r>
      <w:r>
        <w:rPr>
          <w:rFonts w:ascii="Calibri" w:cs="Calibri" w:eastAsia="Calibri" w:hAnsi="Calibri"/>
          <w:sz w:val="22"/>
          <w:szCs w:val="22"/>
        </w:rPr>
        <w:t xml:space="preserve">Continuing as reconfigured: Ellen, Taral et al.; recent additions Kathy Morris, Jill Pico, Louise Dyke. Mary, Ismat and Meena have left. New rule: members must attend at least 50% of meetings. Updated roster to be sent to the management company; Ella to gently inform Cheryl her request cannot be accepted (size limits).</w:t>
      </w:r>
    </w:p>
    <w:p>
      <w:pPr>
        <w:pStyle w:val="ListParagraph"/>
        <w:numPr>
          <w:ilvl w:val="0"/>
          <w:numId w:val="2"/>
        </w:numPr>
        <w:spacing w:after="60"/>
      </w:pPr>
      <w:r>
        <w:rPr>
          <w:rFonts w:ascii="Calibri" w:cs="Calibri" w:eastAsia="Calibri" w:hAnsi="Calibri"/>
          <w:b/>
          <w:bCs/>
          <w:sz w:val="22"/>
          <w:szCs w:val="22"/>
        </w:rPr>
        <w:t xml:space="preserve">Judiciary. </w:t>
      </w:r>
      <w:r>
        <w:rPr>
          <w:rFonts w:ascii="Calibri" w:cs="Calibri" w:eastAsia="Calibri" w:hAnsi="Calibri"/>
          <w:sz w:val="22"/>
          <w:szCs w:val="22"/>
        </w:rPr>
        <w:t xml:space="preserve">Does not exist; required by the Blue Book as the ADR body (must be offered before enforcement). Agreed: solicit volunteers at the next open meeting; odd number of members.</w:t>
      </w:r>
    </w:p>
    <w:p>
      <w:pPr>
        <w:pStyle w:val="ListParagraph"/>
        <w:numPr>
          <w:ilvl w:val="0"/>
          <w:numId w:val="2"/>
        </w:numPr>
        <w:spacing w:after="60"/>
      </w:pPr>
      <w:r>
        <w:rPr>
          <w:rFonts w:ascii="Calibri" w:cs="Calibri" w:eastAsia="Calibri" w:hAnsi="Calibri"/>
          <w:b/>
          <w:bCs/>
          <w:sz w:val="22"/>
          <w:szCs w:val="22"/>
        </w:rPr>
        <w:t xml:space="preserve">Transition. </w:t>
      </w:r>
      <w:r>
        <w:rPr>
          <w:rFonts w:ascii="Calibri" w:cs="Calibri" w:eastAsia="Calibri" w:hAnsi="Calibri"/>
          <w:sz w:val="22"/>
          <w:szCs w:val="22"/>
        </w:rPr>
        <w:t>Does not exist yet; transition expected November-December 2026 at the earliest (last home closing ~December). Start identifying willing owners now; the board approves the engineering firm, attorney, and costs when the time comes.</w:t>
      </w:r>
    </w:p>
    <w:p>
      <w:pPr>
        <w:pStyle w:val="ListParagraph"/>
        <w:numPr>
          <w:ilvl w:val="0"/>
          <w:numId w:val="2"/>
        </w:numPr>
        <w:spacing w:after="60"/>
      </w:pPr>
      <w:r>
        <w:rPr>
          <w:rFonts w:ascii="Calibri" w:cs="Calibri" w:eastAsia="Calibri" w:hAnsi="Calibri"/>
          <w:b/>
          <w:bCs/>
          <w:sz w:val="22"/>
          <w:szCs w:val="22"/>
        </w:rPr>
        <w:t xml:space="preserve">Buildings &amp; Grounds / Shared Spaces. </w:t>
      </w:r>
      <w:r>
        <w:rPr>
          <w:rFonts w:ascii="Calibri" w:cs="Calibri" w:eastAsia="Calibri" w:hAnsi="Calibri"/>
          <w:sz w:val="22"/>
          <w:szCs w:val="22"/>
        </w:rPr>
        <w:t xml:space="preserve">Tabled (per Al) until the board defines its responsibilities; concerns about volunteer load and board responsibility (board delegates action, not responsibility). Interest to be gauged at the next open meeting.</w:t>
      </w:r>
    </w:p>
    <w:p>
      <w:pPr>
        <w:pStyle w:val="ListParagraph"/>
        <w:numPr>
          <w:ilvl w:val="0"/>
          <w:numId w:val="2"/>
        </w:numPr>
        <w:spacing w:after="60"/>
      </w:pPr>
      <w:r>
        <w:rPr>
          <w:rFonts w:ascii="Calibri" w:cs="Calibri" w:eastAsia="Calibri" w:hAnsi="Calibri"/>
          <w:b/>
          <w:bCs/>
          <w:sz w:val="22"/>
          <w:szCs w:val="22"/>
        </w:rPr>
        <w:t xml:space="preserve">Charters. </w:t>
      </w:r>
      <w:r>
        <w:rPr>
          <w:rFonts w:ascii="Calibri" w:cs="Calibri" w:eastAsia="Calibri" w:hAnsi="Calibri"/>
          <w:sz w:val="22"/>
          <w:szCs w:val="22"/>
        </w:rPr>
        <w:t xml:space="preserve">Managing agent's guidelines confirmed to reference playgrounds/tennis courts we do not have; Keith's drafts judged too detailed, agent's too general. Agreed: converge on a user-friendly middle version and adopt as an addendum to the Blue Book (no member vote required). Beware: publishing expected hours (e.g., 4-6/month) may deter volunteers.</w:t>
      </w:r>
    </w:p>
    <w:p>
      <w:pPr>
        <w:pStyle w:val="ListParagraph"/>
        <w:numPr>
          <w:ilvl w:val="0"/>
          <w:numId w:val="2"/>
        </w:numPr>
        <w:spacing w:after="60"/>
      </w:pPr>
      <w:r>
        <w:rPr>
          <w:rFonts w:ascii="Calibri" w:cs="Calibri" w:eastAsia="Calibri" w:hAnsi="Calibri"/>
          <w:b/>
          <w:bCs/>
          <w:sz w:val="22"/>
          <w:szCs w:val="22"/>
        </w:rPr>
        <w:t xml:space="preserve">Liaisons. </w:t>
      </w:r>
      <w:r>
        <w:rPr>
          <w:rFonts w:ascii="Calibri" w:cs="Calibri" w:eastAsia="Calibri" w:hAnsi="Calibri"/>
          <w:sz w:val="22"/>
          <w:szCs w:val="22"/>
        </w:rPr>
        <w:t xml:space="preserve">Committee chairs/liaisons attend the first 20-30 minutes of each board meeting to report/present, or email 'nothing to report' and skip; brief committee summaries at open meetings. Board members have signed NDAs; liaisons attending only the open portion need not.</w:t>
      </w:r>
    </w:p>
    <w:p>
      <w:pPr>
        <w:pStyle w:val="Heading1"/>
        <w:spacing w:after="120" w:before="260"/>
      </w:pPr>
      <w:r>
        <w:rPr>
          <w:rFonts w:ascii="Calibri" w:cs="Calibri" w:eastAsia="Calibri" w:hAnsi="Calibri"/>
          <w:b/>
          <w:bCs/>
          <w:color w:val="1F3864"/>
          <w:sz w:val="28"/>
          <w:szCs w:val="28"/>
        </w:rPr>
        <w:t xml:space="preserve">3. Clubhouse Renovations</w:t>
      </w:r>
    </w:p>
    <w:p>
      <w:pPr>
        <w:pStyle w:val="ListParagraph"/>
        <w:numPr>
          <w:ilvl w:val="0"/>
          <w:numId w:val="2"/>
        </w:numPr>
        <w:spacing w:after="60"/>
      </w:pPr>
      <w:r>
        <w:rPr>
          <w:rFonts w:ascii="Calibri" w:cs="Calibri" w:eastAsia="Calibri" w:hAnsi="Calibri"/>
          <w:b/>
          <w:bCs/>
          <w:sz w:val="22"/>
          <w:szCs w:val="22"/>
        </w:rPr>
        <w:t xml:space="preserve">Clubhouse expansion + gym relocation. </w:t>
      </w:r>
      <w:r>
        <w:rPr>
          <w:rFonts w:ascii="Calibri" w:cs="Calibri" w:eastAsia="Calibri" w:hAnsi="Calibri"/>
          <w:sz w:val="22"/>
          <w:szCs w:val="22"/>
        </w:rPr>
        <w:t xml:space="preserve">Sharbell (Tom Troy) supportive and will bear the cost: open the wall, add doors to create a closable meeting room, relocate gym to the new building. Al queried the HVAC in the soffit; Bill confirmed Tom has verified it is not a problem. Sharbell moves furniture/equipment once done.</w:t>
      </w:r>
    </w:p>
    <w:p>
      <w:pPr>
        <w:pStyle w:val="ListParagraph"/>
        <w:numPr>
          <w:ilvl w:val="0"/>
          <w:numId w:val="2"/>
        </w:numPr>
        <w:spacing w:after="60"/>
      </w:pPr>
      <w:r>
        <w:rPr>
          <w:rFonts w:ascii="Calibri" w:cs="Calibri" w:eastAsia="Calibri" w:hAnsi="Calibri"/>
          <w:b/>
          <w:bCs/>
          <w:sz w:val="22"/>
          <w:szCs w:val="22"/>
        </w:rPr>
        <w:t xml:space="preserve">Storage building. </w:t>
      </w:r>
      <w:r>
        <w:rPr>
          <w:rFonts w:ascii="Calibri" w:cs="Calibri" w:eastAsia="Calibri" w:hAnsi="Calibri"/>
          <w:sz w:val="22"/>
          <w:szCs w:val="22"/>
        </w:rPr>
        <w:t xml:space="preserve">Sharbell will build it with matched materials/stone; agreed: the sponsor pays anything over $20,000, capping HOA cost at $20k (estimated impact ~$170 one-time assessment per home). KEY CONSTRAINT (managing agent): adding a building = new amenity = Declaration amendment requiring a two-thirds membership vote, and the ~$96k reserve fund (per reserve study) cannot fund a NEW asset - so funding would be a one-time special assessment (~$170/home, proposed for Q1 billing). Vote package: ONE combined vote (building + funding). Timeline: proposal from Tom this week; 14 days for members to receive documents + 14 days to respond; campaign beforehand. Alternative if vote fails: ~16x20 shed without permanent foundation (~$8-9k) which may avoid the Declaration amendment. Get Sharbell's commitment IN WRITING, ideally embedded in the transition agreement (sponsor pays everything above $20,000).</w:t>
      </w:r>
    </w:p>
    <w:p>
      <w:pPr>
        <w:pStyle w:val="Heading1"/>
        <w:spacing w:after="120" w:before="260"/>
      </w:pPr>
      <w:r>
        <w:rPr>
          <w:rFonts w:ascii="Calibri" w:cs="Calibri" w:eastAsia="Calibri" w:hAnsi="Calibri"/>
          <w:b/>
          <w:bCs/>
          <w:color w:val="1F3864"/>
          <w:sz w:val="28"/>
          <w:szCs w:val="28"/>
        </w:rPr>
        <w:t xml:space="preserve">4. Old Business / ARC Items</w:t>
      </w:r>
    </w:p>
    <w:p>
      <w:pPr>
        <w:pStyle w:val="ListParagraph"/>
        <w:numPr>
          <w:ilvl w:val="0"/>
          <w:numId w:val="2"/>
        </w:numPr>
        <w:spacing w:after="60"/>
      </w:pPr>
      <w:r>
        <w:rPr>
          <w:rFonts w:ascii="Calibri" w:cs="Calibri" w:eastAsia="Calibri" w:hAnsi="Calibri"/>
          <w:b/>
          <w:bCs/>
          <w:sz w:val="22"/>
          <w:szCs w:val="22"/>
        </w:rPr>
        <w:t xml:space="preserve">ARC backlog - deemed approval risk is LIVE. </w:t>
      </w:r>
      <w:r>
        <w:rPr>
          <w:rFonts w:ascii="Calibri" w:cs="Calibri" w:eastAsia="Calibri" w:hAnsi="Calibri"/>
          <w:sz w:val="22"/>
          <w:szCs w:val="22"/>
        </w:rPr>
        <w:t xml:space="preserve">Open applications have passed 60 days; under Declaration section 11.03 those applicants could claim automatic approval. Agreed: add an internal 30-45 day turnaround to the ARC terms of reference, use a request-for-more-time letter where needed, and log every pending application with its deadline immediately.</w:t>
      </w:r>
    </w:p>
    <w:p>
      <w:pPr>
        <w:pStyle w:val="ListParagraph"/>
        <w:numPr>
          <w:ilvl w:val="0"/>
          <w:numId w:val="2"/>
        </w:numPr>
        <w:spacing w:after="60"/>
      </w:pPr>
      <w:r>
        <w:rPr>
          <w:rFonts w:ascii="Calibri" w:cs="Calibri" w:eastAsia="Calibri" w:hAnsi="Calibri"/>
          <w:b/>
          <w:bCs/>
          <w:sz w:val="22"/>
          <w:szCs w:val="22"/>
        </w:rPr>
        <w:t xml:space="preserve">Pergola. </w:t>
      </w:r>
      <w:r>
        <w:rPr>
          <w:rFonts w:ascii="Calibri" w:cs="Calibri" w:eastAsia="Calibri" w:hAnsi="Calibri"/>
          <w:sz w:val="22"/>
          <w:szCs w:val="22"/>
        </w:rPr>
        <w:t xml:space="preserve">Approve with conditions: proper concrete footings (no bracket mounts to pavers), township approval/permit first, size no larger than requested (corner lot, ~8-8.5 ft), colour to match house siding palette (white/grey/blue/black discussed). Modern louvred design accepted - the roof adjusts to block sun from different angles and can close; side shades accepted on condition they are put up when not in use. Bill to send Gail's email with the specifications to Al to set the precedent; RCP to send the resident the conditional approval.</w:t>
      </w:r>
    </w:p>
    <w:p>
      <w:pPr>
        <w:pStyle w:val="ListParagraph"/>
        <w:numPr>
          <w:ilvl w:val="0"/>
          <w:numId w:val="2"/>
        </w:numPr>
        <w:spacing w:after="60"/>
      </w:pPr>
      <w:r>
        <w:rPr>
          <w:rFonts w:ascii="Calibri" w:cs="Calibri" w:eastAsia="Calibri" w:hAnsi="Calibri"/>
          <w:b/>
          <w:bCs/>
          <w:sz w:val="22"/>
          <w:szCs w:val="22"/>
        </w:rPr>
        <w:t xml:space="preserve">Wood-burning fireplace (masonry, EP Henry). </w:t>
      </w:r>
      <w:r>
        <w:rPr>
          <w:rFonts w:ascii="Calibri" w:cs="Calibri" w:eastAsia="Calibri" w:hAnsi="Calibri"/>
          <w:sz w:val="22"/>
          <w:szCs w:val="22"/>
        </w:rPr>
        <w:t xml:space="preserve">Approve with conditions: large corner lot, 20+ ft from anything; minimum setback of 15 ft from any combustible material (permanent structure or fence), spark screen/cap on chimney, fire extinguisher at hand, fully extinguish before leaving, township approval, and proof of homeowner's insurance coverage. Committee's recommended conditions to be confirmed and included in the conditional approval. These conditions also serve as the written standard for wood-burning fire pits (fire tables/propane generally acceptable).</w:t>
      </w:r>
    </w:p>
    <w:p>
      <w:pPr>
        <w:pStyle w:val="ListParagraph"/>
        <w:numPr>
          <w:ilvl w:val="0"/>
          <w:numId w:val="2"/>
        </w:numPr>
        <w:spacing w:after="60"/>
      </w:pPr>
      <w:r>
        <w:rPr>
          <w:rFonts w:ascii="Calibri" w:cs="Calibri" w:eastAsia="Calibri" w:hAnsi="Calibri"/>
          <w:b/>
          <w:bCs/>
          <w:sz w:val="22"/>
          <w:szCs w:val="22"/>
        </w:rPr>
        <w:t xml:space="preserve">Solar. </w:t>
      </w:r>
      <w:r>
        <w:rPr>
          <w:rFonts w:ascii="Calibri" w:cs="Calibri" w:eastAsia="Calibri" w:hAnsi="Calibri"/>
          <w:sz w:val="22"/>
          <w:szCs w:val="22"/>
        </w:rPr>
        <w:t xml:space="preserve">Approve - NJ law bars prohibiting rooftop solar (conditions only): wiring, conduit, and batteries must not be visible from outside the house (no surface-run pipes); inverters likewise not visible - micro-inverters attached to the panels are acceptable, but large inverters must be inside the residence; township approval required.</w:t>
      </w:r>
    </w:p>
    <w:p>
      <w:pPr>
        <w:pStyle w:val="ListParagraph"/>
        <w:numPr>
          <w:ilvl w:val="1"/>
          <w:numId w:val="2"/>
        </w:numPr>
        <w:spacing w:after="60"/>
      </w:pPr>
      <w:r>
        <w:rPr>
          <w:rFonts w:ascii="Calibri" w:cs="Calibri" w:eastAsia="Calibri" w:hAnsi="Calibri"/>
          <w:sz w:val="22"/>
          <w:szCs w:val="22"/>
        </w:rPr>
        <w:t xml:space="preserve">Of the two neighbouring applications, one is entangled with an unrelated occupancy/pets compliance issue - keep the solar decision separate from that matter.</w:t>
      </w:r>
    </w:p>
    <w:p>
      <w:pPr>
        <w:pStyle w:val="ListParagraph"/>
        <w:numPr>
          <w:ilvl w:val="0"/>
          <w:numId w:val="2"/>
        </w:numPr>
        <w:spacing w:after="60"/>
      </w:pPr>
      <w:r>
        <w:rPr>
          <w:rFonts w:ascii="Calibri" w:cs="Calibri" w:eastAsia="Calibri" w:hAnsi="Calibri"/>
          <w:b/>
          <w:bCs/>
          <w:sz w:val="22"/>
          <w:szCs w:val="22"/>
        </w:rPr>
        <w:t xml:space="preserve">Pump station cell dialer. </w:t>
      </w:r>
      <w:r>
        <w:rPr>
          <w:rFonts w:ascii="Calibri" w:cs="Calibri" w:eastAsia="Calibri" w:hAnsi="Calibri"/>
          <w:sz w:val="22"/>
          <w:szCs w:val="22"/>
        </w:rPr>
        <w:t xml:space="preserve">YES in principle (~$6,000 install + ~$450/yr monitoring). It auto-calls the maintenance service + management on alarms (current siren-only alarm went unnoticed for days). Push to Sharbell via transition: the dialer appears to have been an original requirement never installed - add to the transition punch list and ask Sharbell to fund/install; also remind residents not to flush wipes.</w:t>
      </w:r>
    </w:p>
    <w:p>
      <w:pPr>
        <w:pStyle w:val="ListParagraph"/>
        <w:numPr>
          <w:ilvl w:val="0"/>
          <w:numId w:val="2"/>
        </w:numPr>
        <w:spacing w:after="60"/>
      </w:pPr>
      <w:r>
        <w:rPr>
          <w:rFonts w:ascii="Calibri" w:cs="Calibri" w:eastAsia="Calibri" w:hAnsi="Calibri"/>
          <w:b/>
          <w:bCs/>
          <w:sz w:val="22"/>
          <w:szCs w:val="22"/>
        </w:rPr>
        <w:t xml:space="preserve">Pool/spa controls. </w:t>
      </w:r>
      <w:r>
        <w:rPr>
          <w:rFonts w:ascii="Calibri" w:cs="Calibri" w:eastAsia="Calibri" w:hAnsi="Calibri"/>
          <w:sz w:val="22"/>
          <w:szCs w:val="22"/>
        </w:rPr>
        <w:t xml:space="preserve">Someone raised the spa/pool heat to ~94F. First line of defence: lock away/enclose the controls (management to ask the pool company for options); camera only as secondary anti-vandalism measure (privacy/confrontation concerns). Pool company should refer confrontations to the HOA, not engage.</w:t>
      </w:r>
    </w:p>
    <w:p>
      <w:pPr>
        <w:pStyle w:val="ListParagraph"/>
        <w:numPr>
          <w:ilvl w:val="0"/>
          <w:numId w:val="2"/>
        </w:numPr>
        <w:spacing w:after="60"/>
      </w:pPr>
      <w:r>
        <w:rPr>
          <w:rFonts w:ascii="Calibri" w:cs="Calibri" w:eastAsia="Calibri" w:hAnsi="Calibri"/>
          <w:b/>
          <w:bCs/>
          <w:sz w:val="22"/>
          <w:szCs w:val="22"/>
        </w:rPr>
        <w:t xml:space="preserve">Lawn fungus. </w:t>
      </w:r>
      <w:r>
        <w:rPr>
          <w:rFonts w:ascii="Calibri" w:cs="Calibri" w:eastAsia="Calibri" w:hAnsi="Calibri"/>
          <w:sz w:val="22"/>
          <w:szCs w:val="22"/>
        </w:rPr>
        <w:t xml:space="preserve">Community-wide treatment (~$6k) REJECTED - only ~12 homes affected; owners to arrange/pay individually. Ask the landscaper for an individual-service rate and contact point. Communicate the standard included services + schedule to all residents (trimming ~June &amp; October, mulch before Mother's Day). Related SLA issue: weed-control visits missed several backyards while reported complete - capture as vendor performance evidence; build service levels into the contract.</w:t>
      </w:r>
    </w:p>
    <w:p>
      <w:pPr>
        <w:pStyle w:val="Heading1"/>
        <w:spacing w:after="120" w:before="260"/>
      </w:pPr>
      <w:r>
        <w:rPr>
          <w:rFonts w:ascii="Calibri" w:cs="Calibri" w:eastAsia="Calibri" w:hAnsi="Calibri"/>
          <w:b/>
          <w:bCs/>
          <w:color w:val="1F3864"/>
          <w:sz w:val="28"/>
          <w:szCs w:val="28"/>
        </w:rPr>
        <w:t xml:space="preserve">5. New Business / Governance</w:t>
      </w:r>
    </w:p>
    <w:p>
      <w:pPr>
        <w:pStyle w:val="ListParagraph"/>
        <w:numPr>
          <w:ilvl w:val="0"/>
          <w:numId w:val="2"/>
        </w:numPr>
        <w:spacing w:after="60"/>
      </w:pPr>
      <w:r>
        <w:rPr>
          <w:rFonts w:ascii="Calibri" w:cs="Calibri" w:eastAsia="Calibri" w:hAnsi="Calibri"/>
          <w:b/>
          <w:bCs/>
          <w:sz w:val="22"/>
          <w:szCs w:val="22"/>
        </w:rPr>
        <w:t xml:space="preserve">Annual audit. </w:t>
      </w:r>
      <w:r>
        <w:rPr>
          <w:rFonts w:ascii="Calibri" w:cs="Calibri" w:eastAsia="Calibri" w:hAnsi="Calibri"/>
          <w:sz w:val="22"/>
          <w:szCs w:val="22"/>
        </w:rPr>
        <w:t xml:space="preserve">Confirmed: books are audited every year by Feldman, Sloboski &amp; Masoni [spelling TBC] - satisfies Bylaws Art. VIII; board members receive financials by email when prepared, and board portal logins expose work-order and violation reports.</w:t>
      </w:r>
    </w:p>
    <w:p>
      <w:pPr>
        <w:pStyle w:val="ListParagraph"/>
        <w:numPr>
          <w:ilvl w:val="0"/>
          <w:numId w:val="2"/>
        </w:numPr>
        <w:spacing w:after="60"/>
      </w:pPr>
      <w:r>
        <w:rPr>
          <w:rFonts w:ascii="Calibri" w:cs="Calibri" w:eastAsia="Calibri" w:hAnsi="Calibri"/>
          <w:b/>
          <w:bCs/>
          <w:sz w:val="22"/>
          <w:szCs w:val="22"/>
        </w:rPr>
        <w:t xml:space="preserve">Meeting schedule. </w:t>
      </w:r>
      <w:r>
        <w:rPr>
          <w:rFonts w:ascii="Calibri" w:cs="Calibri" w:eastAsia="Calibri" w:hAnsi="Calibri"/>
          <w:sz w:val="22"/>
          <w:szCs w:val="22"/>
        </w:rPr>
        <w:t xml:space="preserve">Quarterly OPEN meetings: late September, December, March, June (June = annual election). Monthly board working sessions otherwise; no separate board meeting in an open-meeting month. Next working session: week of August 25. NOTE: the meeting schedule should already have been published (within 10 days of election) - publish the calendar promptly via email blast + portal calendar.</w:t>
      </w:r>
    </w:p>
    <w:p>
      <w:pPr>
        <w:pStyle w:val="ListParagraph"/>
        <w:numPr>
          <w:ilvl w:val="0"/>
          <w:numId w:val="2"/>
        </w:numPr>
        <w:spacing w:after="60"/>
      </w:pPr>
      <w:r>
        <w:rPr>
          <w:rFonts w:ascii="Calibri" w:cs="Calibri" w:eastAsia="Calibri" w:hAnsi="Calibri"/>
          <w:b/>
          <w:bCs/>
          <w:sz w:val="22"/>
          <w:szCs w:val="22"/>
        </w:rPr>
        <w:t xml:space="preserve">Action tracking. </w:t>
      </w:r>
      <w:r>
        <w:rPr>
          <w:rFonts w:ascii="Calibri" w:cs="Calibri" w:eastAsia="Calibri" w:hAnsi="Calibri"/>
          <w:sz w:val="22"/>
          <w:szCs w:val="22"/>
        </w:rPr>
        <w:t xml:space="preserve">Agreed: every meeting produces an action list included in the next board packet; AI transcription/summary used for capture. Al to confirm whether RCP's tracking is manual - if so, Keith will build tracking into the existing Vintage@Hamilton portal.</w:t>
      </w:r>
    </w:p>
    <w:p>
      <w:pPr>
        <w:pStyle w:val="ListParagraph"/>
        <w:numPr>
          <w:ilvl w:val="0"/>
          <w:numId w:val="2"/>
        </w:numPr>
        <w:spacing w:after="60"/>
      </w:pPr>
      <w:r>
        <w:rPr>
          <w:rFonts w:ascii="Calibri" w:cs="Calibri" w:eastAsia="Calibri" w:hAnsi="Calibri"/>
          <w:b/>
          <w:bCs/>
          <w:sz w:val="22"/>
          <w:szCs w:val="22"/>
        </w:rPr>
        <w:t xml:space="preserve">Management reports. </w:t>
      </w:r>
      <w:r>
        <w:rPr>
          <w:rFonts w:ascii="Calibri" w:cs="Calibri" w:eastAsia="Calibri" w:hAnsi="Calibri"/>
          <w:sz w:val="22"/>
          <w:szCs w:val="22"/>
        </w:rPr>
        <w:t xml:space="preserve">Managing agent confirmed access: work-order report and violation reports via portal; monthly financials emailed to board members. Keith will use these to review and report back on management effectiveness.</w:t>
      </w:r>
    </w:p>
    <w:p>
      <w:pPr>
        <w:pStyle w:val="Heading1"/>
        <w:spacing w:after="120" w:before="260"/>
      </w:pPr>
      <w:r>
        <w:rPr>
          <w:rFonts w:ascii="Calibri" w:cs="Calibri" w:eastAsia="Calibri" w:hAnsi="Calibri"/>
          <w:b/>
          <w:bCs/>
          <w:color w:val="1F3864"/>
          <w:sz w:val="28"/>
          <w:szCs w:val="28"/>
        </w:rPr>
        <w:t xml:space="preserve">6. Monitoring &amp; Reporting Gaps (rationale for improved tracking)</w:t>
      </w:r>
    </w:p>
    <w:p>
      <w:pPr>
        <w:spacing w:after="110"/>
      </w:pPr>
      <w:r>
        <w:rPr>
          <w:rFonts w:ascii="Calibri" w:cs="Calibri" w:eastAsia="Calibri" w:hAnsi="Calibri"/>
          <w:sz w:val="22"/>
          <w:szCs w:val="22"/>
        </w:rPr>
        <w:t xml:space="preserve">The board identified recurring monitoring gaps during the meeting. These justify improved tracking - whether via RCP's existing portal reporting or the community's own ticketing system:</w:t>
      </w:r>
    </w:p>
    <w:p>
      <w:pPr>
        <w:pStyle w:val="ListParagraph"/>
        <w:numPr>
          <w:ilvl w:val="0"/>
          <w:numId w:val="2"/>
        </w:numPr>
        <w:spacing w:after="60"/>
      </w:pPr>
      <w:r>
        <w:rPr>
          <w:rFonts w:ascii="Calibri" w:cs="Calibri" w:eastAsia="Calibri" w:hAnsi="Calibri"/>
          <w:b/>
          <w:bCs/>
          <w:sz w:val="22"/>
          <w:szCs w:val="22"/>
        </w:rPr>
        <w:t xml:space="preserve">ARC date exposure. </w:t>
      </w:r>
      <w:r>
        <w:rPr>
          <w:rFonts w:ascii="Calibri" w:cs="Calibri" w:eastAsia="Calibri" w:hAnsi="Calibri"/>
          <w:sz w:val="22"/>
          <w:szCs w:val="22"/>
        </w:rPr>
        <w:t xml:space="preserve">No systematic tracking of application dates; open items have already passed the 60-day deemed-approval threshold. Required: date tracking with escalating exposure flags at 30, 45, and 60 days for every ARC review.</w:t>
      </w:r>
    </w:p>
    <w:p>
      <w:pPr>
        <w:pStyle w:val="ListParagraph"/>
        <w:numPr>
          <w:ilvl w:val="0"/>
          <w:numId w:val="2"/>
        </w:numPr>
        <w:spacing w:after="60"/>
      </w:pPr>
      <w:r>
        <w:rPr>
          <w:rFonts w:ascii="Calibri" w:cs="Calibri" w:eastAsia="Calibri" w:hAnsi="Calibri"/>
          <w:b/>
          <w:bCs/>
          <w:sz w:val="22"/>
          <w:szCs w:val="22"/>
        </w:rPr>
        <w:t xml:space="preserve">Vendor delivery vs. SLA. </w:t>
      </w:r>
      <w:r>
        <w:rPr>
          <w:rFonts w:ascii="Calibri" w:cs="Calibri" w:eastAsia="Calibri" w:hAnsi="Calibri"/>
          <w:sz w:val="22"/>
          <w:szCs w:val="22"/>
        </w:rPr>
        <w:t xml:space="preserve">No clear visibility of vendor delivery against service levels - and in places no defined SLA at all (e.g., weed-control visits reported complete while multiple backyards were missed).</w:t>
      </w:r>
    </w:p>
    <w:p>
      <w:pPr>
        <w:pStyle w:val="ListParagraph"/>
        <w:numPr>
          <w:ilvl w:val="0"/>
          <w:numId w:val="2"/>
        </w:numPr>
        <w:spacing w:after="60"/>
      </w:pPr>
      <w:r>
        <w:rPr>
          <w:rFonts w:ascii="Calibri" w:cs="Calibri" w:eastAsia="Calibri" w:hAnsi="Calibri"/>
          <w:b/>
          <w:bCs/>
          <w:sz w:val="22"/>
          <w:szCs w:val="22"/>
        </w:rPr>
        <w:t xml:space="preserve">No penalty clauses. </w:t>
      </w:r>
      <w:r>
        <w:rPr>
          <w:rFonts w:ascii="Calibri" w:cs="Calibri" w:eastAsia="Calibri" w:hAnsi="Calibri"/>
          <w:sz w:val="22"/>
          <w:szCs w:val="22"/>
        </w:rPr>
        <w:t xml:space="preserve">Current vendor contracts lack penalty/remedy clauses for SLA breach, leaving the Association without leverage when service falls short.</w:t>
      </w:r>
    </w:p>
    <w:p>
      <w:pPr>
        <w:pStyle w:val="ListParagraph"/>
        <w:numPr>
          <w:ilvl w:val="0"/>
          <w:numId w:val="2"/>
        </w:numPr>
        <w:spacing w:after="60"/>
      </w:pPr>
      <w:r>
        <w:rPr>
          <w:rFonts w:ascii="Calibri" w:cs="Calibri" w:eastAsia="Calibri" w:hAnsi="Calibri"/>
          <w:b/>
          <w:bCs/>
          <w:sz w:val="22"/>
          <w:szCs w:val="22"/>
        </w:rPr>
        <w:t xml:space="preserve">No member closure confirmation. </w:t>
      </w:r>
      <w:r>
        <w:rPr>
          <w:rFonts w:ascii="Calibri" w:cs="Calibri" w:eastAsia="Calibri" w:hAnsi="Calibri"/>
          <w:sz w:val="22"/>
          <w:szCs w:val="22"/>
        </w:rPr>
        <w:t xml:space="preserve">Work orders are closed by the vendor/agent without the reporting resident confirming the issue is actually resolved.</w:t>
      </w:r>
    </w:p>
    <w:p>
      <w:pPr>
        <w:pStyle w:val="ListParagraph"/>
        <w:numPr>
          <w:ilvl w:val="0"/>
          <w:numId w:val="2"/>
        </w:numPr>
        <w:spacing w:after="60"/>
      </w:pPr>
      <w:r>
        <w:rPr>
          <w:rFonts w:ascii="Calibri" w:cs="Calibri" w:eastAsia="Calibri" w:hAnsi="Calibri"/>
          <w:b/>
          <w:bCs/>
          <w:sz w:val="22"/>
          <w:szCs w:val="22"/>
        </w:rPr>
        <w:t xml:space="preserve">Alarm/monitoring blind spots. </w:t>
      </w:r>
      <w:r>
        <w:rPr>
          <w:rFonts w:ascii="Calibri" w:cs="Calibri" w:eastAsia="Calibri" w:hAnsi="Calibri"/>
          <w:sz w:val="22"/>
          <w:szCs w:val="22"/>
        </w:rPr>
        <w:t xml:space="preserve">The pump-station alarm sounded for days before anyone acted (no auto-dialer); pool/spa controls were tampered with and no record exists of when or by whom.</w:t>
      </w:r>
    </w:p>
    <w:p>
      <w:pPr>
        <w:pStyle w:val="ListParagraph"/>
        <w:numPr>
          <w:ilvl w:val="0"/>
          <w:numId w:val="2"/>
        </w:numPr>
        <w:spacing w:after="60"/>
      </w:pPr>
      <w:r>
        <w:rPr>
          <w:rFonts w:ascii="Calibri" w:cs="Calibri" w:eastAsia="Calibri" w:hAnsi="Calibri"/>
          <w:b/>
          <w:bCs/>
          <w:sz w:val="22"/>
          <w:szCs w:val="22"/>
        </w:rPr>
        <w:t xml:space="preserve">Action tracking. </w:t>
      </w:r>
      <w:r>
        <w:rPr>
          <w:rFonts w:ascii="Calibri" w:cs="Calibri" w:eastAsia="Calibri" w:hAnsi="Calibri"/>
          <w:sz w:val="22"/>
          <w:szCs w:val="22"/>
        </w:rPr>
        <w:t xml:space="preserve">Meeting actions and third-party commitments (e.g., Sharbell's storage proposal and cost cap) have no system of record; the board agreed every meeting must produce a tracked action list.</w:t>
      </w:r>
    </w:p>
    <w:p>
      <w:pPr>
        <w:spacing w:after="110"/>
      </w:pPr>
      <w:r>
        <w:rPr>
          <w:rFonts w:ascii="Calibri" w:cs="Calibri" w:eastAsia="Calibri" w:hAnsi="Calibri"/>
          <w:sz w:val="22"/>
          <w:szCs w:val="22"/>
        </w:rPr>
        <w:t xml:space="preserve">Keith requested that RCP provide a monthly report covering these points; Al advised this reporting is available in the portal. Keith will verify what the portal actually provides against the list above and, if gaps remain, formally request RCP enhance their reporting (see actions 19-20).</w:t>
      </w:r>
    </w:p>
    <w:p>
      <w:pPr>
        <w:pStyle w:val="Heading1"/>
        <w:spacing w:after="120" w:before="260"/>
      </w:pPr>
      <w:r>
        <w:rPr>
          <w:rFonts w:ascii="Calibri" w:cs="Calibri" w:eastAsia="Calibri" w:hAnsi="Calibri"/>
          <w:b/>
          <w:bCs/>
          <w:color w:val="1F3864"/>
          <w:sz w:val="28"/>
          <w:szCs w:val="28"/>
        </w:rPr>
        <w:t>7. Action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60"/>
        <w:gridCol w:w="4850"/>
        <w:gridCol w:w="2100"/>
        <w:gridCol w:w="1750"/>
      </w:tblGrid>
      <w:tr>
        <w:tc>
          <w:tcPr>
            <w:tcW w:type="dxa" w:w="560"/>
            <w:shd w:fill="1F3864"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t>
            </w:r>
          </w:p>
        </w:tc>
        <w:tc>
          <w:tcPr>
            <w:tcW w:type="dxa" w:w="4850"/>
            <w:shd w:fill="1F3864"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Action</w:t>
            </w:r>
          </w:p>
        </w:tc>
        <w:tc>
          <w:tcPr>
            <w:tcW w:type="dxa" w:w="2100"/>
            <w:shd w:fill="1F3864"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Owner</w:t>
            </w:r>
          </w:p>
        </w:tc>
        <w:tc>
          <w:tcPr>
            <w:tcW w:type="dxa" w:w="1750"/>
            <w:shd w:fill="1F3864"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Target</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RCP to implement ARC application date tracking with flags and escalation at 30/45/60 days; log all pending applications now (any past 60 days = deemed approved); 30-45 day turnaround in ARC ToR</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(RCP)</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Immediately</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Pergola: Bill to send Gail's email with specifications to Al (sets the precedent); RCP to send the resident the conditional approval</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Bill then Al (RCP)</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This week</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Fireplace: confirm committee conditions; RCP to send conditional approval (15 ft from combustible material, screen/cap, extinguisher, township, insurance); doubles as the wood-burning fire pit standard</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Bill + ARC then Al (RCP)</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This week</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Solar: issue approvals with concealed-conduit / no-external-battery / township conditions</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Board + ARC</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This week</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Storage building: obtain Tom's written proposal with $20k cap; draft combined vote package (Declaration amendment + one-time assessment); evaluate shed alternative</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 Bill</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Proposal this week</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Get Sharbell storage commitment in writing, ideally within transition agreement</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Board + counsel</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Before transition</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Pool/spa: get pool company options to lock/enclose controls; camera as secondary</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Al/mgmt</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ASAP</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8</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Cell dialer: add to transition punch list; request Sharbell fund/install (original requirement); ~$6,000 install + ~$450/yr monitoring</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Board + mgmt</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Transition list now</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9</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Lawn fungus: no community treatment; obtain individual-service rates via Dohler; notify residents</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(RCP)</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 weeks</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Publish standard landscaping service list + schedule to residents; log missed-service SLA evidence</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(RCP)</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 weeks</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11</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Confirm Finance roster (Jim, Joe affirm, Richard, Ganapthy Venmani); ARC roster confirmed (Brian, Gail, Claire, Rakesh, Robert Raymond); send updated Social roster to management co; Ella to inform Cheryl kindly</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Keith / Ella</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 weeks</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Merge charter drafts (detailed vs general) into user-friendly Committee Handbook; adopt as Blue Book addendum</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Keith</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Next working mtg</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13</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Next open meeting agenda: Judiciary Committee volunteer call (odd number) + Buildings &amp; Grounds/Shared Spaces interest call</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Board</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Sept open mtg</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14</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Transition Committee: identify willing owners now; prep for owner election per Bylaws Art. XVI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Board</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Q3-Q4 2026</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Publish annual meeting calendar (open: late Sep, Dec, Mar, Jun; working: monthly; next working session week of Aug 25) - Al drafts, Keith reviews, email blast + portal</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(RCP) + Keith</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This week</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16</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Confirm Sudhir willing to serve as Treasurer and Donna Miller willing to continue as Secretary; formally ratify full officer slate at a properly noticed meeting</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Keith then Board</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Before/at Sept open mtg</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17</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Confirm managing agent (Donna) attendance at September open meeting</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Al/mgmt</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This week</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18</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Action tracking mechanism: RCP to confirm/provide; if manual, Keith builds tracking into the Vintage@Hamilton portal; action list in every board packet</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Al (RCP) / Keith</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Ongoing</w:t>
            </w:r>
          </w:p>
        </w:tc>
      </w:tr>
      <w:tr>
        <w:tc>
          <w:tcPr>
            <w:tcW w:type="dxa" w:w="56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19</w:t>
            </w:r>
          </w:p>
        </w:tc>
        <w:tc>
          <w:tcPr>
            <w:tcW w:type="dxa" w:w="48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Verify RCP portal reporting against the Section 6 monitoring list (ARC aging w/ 30/45/60-day flags, SLA delivery, closure confirmation)</w:t>
            </w:r>
          </w:p>
        </w:tc>
        <w:tc>
          <w:tcPr>
            <w:tcW w:type="dxa" w:w="210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Keith</w:t>
            </w:r>
          </w:p>
        </w:tc>
        <w:tc>
          <w:tcPr>
            <w:tcW w:type="dxa" w:w="1750"/>
            <w:shd w:fill="EEF2F8"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 weeks</w:t>
            </w:r>
          </w:p>
        </w:tc>
      </w:tr>
      <w:tr>
        <w:tc>
          <w:tcPr>
            <w:tcW w:type="dxa" w:w="5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20</w:t>
            </w:r>
          </w:p>
        </w:tc>
        <w:tc>
          <w:tcPr>
            <w:tcW w:type="dxa" w:w="48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If portal reporting falls short: formally request RCP provide a monthly service report covering the Section 6 items (and record any gaps)</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Keith + Board</w:t>
            </w:r>
          </w:p>
        </w:tc>
        <w:tc>
          <w:tcPr>
            <w:tcW w:type="dxa" w:w="17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Following mtg</w:t>
            </w:r>
          </w:p>
        </w:tc>
      </w:tr>
    </w:tbl>
    <w:p>
      <w:pPr>
        <w:spacing w:after="110"/>
      </w:pPr>
      <w:r>
        <w:rPr>
          <w:rFonts w:ascii="Calibri" w:cs="Calibri" w:eastAsia="Calibri" w:hAnsi="Calibri"/>
          <w:sz w:val="22"/>
          <w:szCs w:val="22"/>
        </w:rPr>
        <w:t xml:space="preserve"/>
      </w:r>
    </w:p>
    <w:p>
      <w:pPr>
        <w:spacing w:after="110"/>
      </w:pPr>
      <w:r>
        <w:rPr>
          <w:rFonts w:ascii="Calibri" w:cs="Calibri" w:eastAsia="Calibri" w:hAnsi="Calibri"/>
          <w:i/>
          <w:iCs/>
          <w:color w:val="666666"/>
          <w:sz w:val="18"/>
          <w:szCs w:val="18"/>
        </w:rPr>
        <w:t xml:space="preserve">Prepared by Claude from Keith's recording (Copilot transcript reconciled with Otter summary and speaker key: Keith, Bill, Wally - board; Al - RCP Management). Remaining [?] items to confirm before circulation.</w:t>
      </w:r>
    </w:p>
    <w:sectPr>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2026-07-08T14:59:46.948Z</dcterms:created>
  <dcterms:modified xsi:type="dcterms:W3CDTF">2026-07-08T14:59:46.949Z</dcterms:modified>
</cp:coreProperties>
</file>

<file path=docProps/custom.xml><?xml version="1.0" encoding="utf-8"?>
<Properties xmlns="http://schemas.openxmlformats.org/officeDocument/2006/custom-properties" xmlns:vt="http://schemas.openxmlformats.org/officeDocument/2006/docPropsVTypes"/>
</file>