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MED-113 - Denosumab</w:t>
      </w:r>
    </w:p>
    <w:p>
      <w:r>
        <w:rPr>
          <w:i/>
        </w:rPr>
        <w:t>Uses, mechanisms, benefits, side effects, interactions, monitoring, and safety related to denosumab.</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Denosumab, Bone resorption, Osteoporosis, RANKL, Hypocalcemia, Monoclonal antibody, Bone density, Fracture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Denosumab is a monoclonal antibody medication that targets and inhibits RANKL (receptor activator of nuclear factor kappa-B ligand), a key molecule involved in the formation, function, and survival of osteoclasts—cells responsible for bone resorption. By binding to RANKL, denosumab decreases bone breakdown and increases bone density, making it a vital therapy for conditions characterized by excessive bone loss, such as osteoporosis and bone metastases in cancer. Synonyms and related terms include Prolia® (brand name for osteoporosis), Xgeva® (brand name for bone metastases treatment), anti-RANKL antibody, and osteoclast inhibitor. Denosumab is administered via subcutaneous injection, typically every 6 months for osteoporosis. The drug's benefits include fracture risk reduction and improvement of bone mineral density; however, limitations include potential side effects like hypocalcemia, infections, osteonecrosis of the jaw (ONJ), and atypical femoral fractures. Safety monitoring includes checking calcium and vitamin D status before and during treatment, dental assessments to reduce ONJ risk, and vigilance for signs of infection. Denosumab does not accumulate in the bone, and discontinuation may lead to rapid bone loss and increased fracture risk, which necessitates careful management. Overall, denosumab represents a significant advancement in bone medicine that requires thoughtful use and monitoring to maximize benefits and minimize risks.</w:t>
      </w:r>
    </w:p>
    <w:p>
      <w:pPr>
        <w:pStyle w:val="Heading1"/>
      </w:pPr>
      <w:r>
        <w:t>Customer Questions Answered</w:t>
      </w:r>
    </w:p>
    <w:p>
      <w:pPr>
        <w:pStyle w:val="ListBullet"/>
      </w:pPr>
      <w:r>
        <w:t>What is denosumab and how does it work?</w:t>
      </w:r>
    </w:p>
    <w:p>
      <w:pPr>
        <w:pStyle w:val="ListBullet"/>
      </w:pPr>
      <w:r>
        <w:t>What conditions is denosumab prescribed for?</w:t>
      </w:r>
    </w:p>
    <w:p>
      <w:pPr>
        <w:pStyle w:val="ListBullet"/>
      </w:pPr>
      <w:r>
        <w:t>How effective is denosumab in preventing fractures?</w:t>
      </w:r>
    </w:p>
    <w:p>
      <w:pPr>
        <w:pStyle w:val="ListBullet"/>
      </w:pPr>
      <w:r>
        <w:t>What are the common side effects of denosumab?</w:t>
      </w:r>
    </w:p>
    <w:p>
      <w:pPr>
        <w:pStyle w:val="ListBullet"/>
      </w:pPr>
      <w:r>
        <w:t>Can denosumab cause low calcium levels?</w:t>
      </w:r>
    </w:p>
    <w:p>
      <w:pPr>
        <w:pStyle w:val="ListBullet"/>
      </w:pPr>
      <w:r>
        <w:t>How often is denosumab administered?</w:t>
      </w:r>
    </w:p>
    <w:p>
      <w:pPr>
        <w:pStyle w:val="ListBullet"/>
      </w:pPr>
      <w:r>
        <w:t>Are there any known drug interactions with denosumab?</w:t>
      </w:r>
    </w:p>
    <w:p>
      <w:pPr>
        <w:pStyle w:val="ListBullet"/>
      </w:pPr>
      <w:r>
        <w:t>What precautions should be taken before starting denosumab?</w:t>
      </w:r>
    </w:p>
    <w:p>
      <w:pPr>
        <w:pStyle w:val="ListBullet"/>
      </w:pPr>
      <w:r>
        <w:t>How is bone density monitored during denosumab therapy?</w:t>
      </w:r>
    </w:p>
    <w:p>
      <w:pPr>
        <w:pStyle w:val="ListBullet"/>
      </w:pPr>
      <w:r>
        <w:t>Can denosumab be used in children or pregnant women?</w:t>
      </w:r>
    </w:p>
    <w:p>
      <w:pPr>
        <w:pStyle w:val="ListBullet"/>
      </w:pPr>
      <w:r>
        <w:t>What should I do if I miss a dose of denosumab?</w:t>
      </w:r>
    </w:p>
    <w:p>
      <w:pPr>
        <w:pStyle w:val="ListBullet"/>
      </w:pPr>
      <w:r>
        <w:t>Are there any misconceptions about denosumab I should be aware of?</w:t>
      </w:r>
    </w:p>
    <w:p>
      <w:pPr>
        <w:pStyle w:val="Heading1"/>
      </w:pPr>
      <w:r>
        <w:t>Learning Objectives</w:t>
      </w:r>
    </w:p>
    <w:p>
      <w:pPr>
        <w:pStyle w:val="ListBullet"/>
      </w:pPr>
      <w:r>
        <w:t>Define denosumab and its mechanism of action in bone metabolism.</w:t>
      </w:r>
    </w:p>
    <w:p>
      <w:pPr>
        <w:pStyle w:val="ListBullet"/>
      </w:pPr>
      <w:r>
        <w:t>Identify clinical conditions for which denosumab is indicated.</w:t>
      </w:r>
    </w:p>
    <w:p>
      <w:pPr>
        <w:pStyle w:val="ListBullet"/>
      </w:pPr>
      <w:r>
        <w:t>Explain the pharmacological effects of denosumab on bone remodeling.</w:t>
      </w:r>
    </w:p>
    <w:p>
      <w:pPr>
        <w:pStyle w:val="ListBullet"/>
      </w:pPr>
      <w:r>
        <w:t>Recognize common and serious side effects associated with denosumab.</w:t>
      </w:r>
    </w:p>
    <w:p>
      <w:pPr>
        <w:pStyle w:val="ListBullet"/>
      </w:pPr>
      <w:r>
        <w:t>Discuss practical considerations for administration and monitoring.</w:t>
      </w:r>
    </w:p>
    <w:p>
      <w:pPr>
        <w:pStyle w:val="ListBullet"/>
      </w:pPr>
      <w:r>
        <w:t>Understand limitations and safety concerns relevant to denosumab therapy.</w:t>
      </w:r>
    </w:p>
    <w:p>
      <w:pPr>
        <w:pStyle w:val="ListBullet"/>
      </w:pPr>
      <w:r>
        <w:t>Address common misconceptions related to denosumab use.</w:t>
      </w:r>
    </w:p>
    <w:p>
      <w:pPr>
        <w:pStyle w:val="ListBullet"/>
      </w:pPr>
      <w:r>
        <w:t>Summarize evidence-based outcomes supporting denosumab in fracture prevention.</w:t>
      </w:r>
    </w:p>
    <w:p>
      <w:pPr>
        <w:pStyle w:val="Heading1"/>
      </w:pPr>
      <w:r>
        <w:t>Definition</w:t>
      </w:r>
    </w:p>
    <w:p>
      <w:r>
        <w:t>Denosumab is a fully human monoclonal antibody that binds to RANKL, preventing it from activating osteoclasts, thereby reducing bone resorption and increasing bone mass.</w:t>
      </w:r>
    </w:p>
    <w:p>
      <w:pPr>
        <w:pStyle w:val="Heading1"/>
      </w:pPr>
      <w:r>
        <w:t>Why This Matters</w:t>
      </w:r>
    </w:p>
    <w:p>
      <w:r>
        <w:t>Bone diseases like osteoporosis can lead to fractures that significantly impact quality of life. Denosumab is a key medication that slows bone loss and reduces fracture risk, improving patient outcomes if used properly and safely.</w:t>
      </w:r>
    </w:p>
    <w:p>
      <w:pPr>
        <w:pStyle w:val="Heading1"/>
      </w:pPr>
      <w:r>
        <w:t>What is Denosumab?</w:t>
      </w:r>
    </w:p>
    <w:p>
      <w:r>
        <w:t>Denosumab is a targeted biological medication classified as a monoclonal antibody. It specifically binds to and neutralizes RANKL (receptor activator of nuclear factor kappa-B ligand), a protein essential for the formation and activation of osteoclasts—the cells that break down bone. By inhibiting RANKL, denosumab slows bone degradation, shifting the balance toward bone formation and increasing bone density. This unique mechanism makes denosumab a central drug in treating bone loss conditions.</w:t>
      </w:r>
    </w:p>
    <w:p>
      <w:pPr>
        <w:pStyle w:val="Heading1"/>
      </w:pPr>
      <w:r>
        <w:t>Mechanism of Action of Denosumab</w:t>
      </w:r>
    </w:p>
    <w:p>
      <w:r>
        <w:t>Denosumab acts by mimicking osteoprotegerin (OPG), a natural 'decoy' receptor that binds RANKL, preventing it from activating the RANK receptor on osteoclasts and their precursors. Osteoclast activation leads to bone resorption; by blocking this signal, denosumab reduces the number and activity of osteoclasts. This pharmacological inhibition decreases bone turnover, leading to gains in bone mineral density and reducing fracture risk.</w:t>
      </w:r>
    </w:p>
    <w:p>
      <w:pPr>
        <w:pStyle w:val="Heading1"/>
      </w:pPr>
      <w:r>
        <w:t>Clinical Uses of Denosumab</w:t>
      </w:r>
    </w:p>
    <w:p>
      <w:r>
        <w:t>Denosumab is approved for several indications including postmenopausal osteoporosis, treatment-induced bone loss in cancer patients, bone metastases from solid tumors, giant cell tumor of bone, and prevention of skeletal-related events in multiple myeloma. In osteoporosis, denosumab reduces vertebral, non-vertebral, and hip fractures. In oncology, it helps prevent complications like fractures and spinal cord compression.</w:t>
      </w:r>
    </w:p>
    <w:p>
      <w:pPr>
        <w:pStyle w:val="Heading1"/>
      </w:pPr>
      <w:r>
        <w:t>Administration and Dosage</w:t>
      </w:r>
    </w:p>
    <w:p>
      <w:r>
        <w:t>Denosumab is administered by subcutaneous injection. For osteoporosis, a 60 mg dose is typically given every 6 months. For higher-risk bone complications in cancer, a 120 mg dose is administered every 4 weeks. The injections are usually given by a healthcare professional in a clinic or medical office setting. Patient adherence and timing are important to maintain therapeutic efficacy.</w:t>
      </w:r>
    </w:p>
    <w:p>
      <w:pPr>
        <w:pStyle w:val="Heading1"/>
      </w:pPr>
      <w:r>
        <w:t>Efficacy and Evidence Supporting Denosumab</w:t>
      </w:r>
    </w:p>
    <w:p>
      <w:r>
        <w:t>Multiple large randomized controlled trials have demonstrated denosumab’s efficacy in increasing bone mineral density and reducing fracture risk compared to placebo and some bisphosphonates. The FREEDOM trial, a landmark osteoporosis study, showed a 68% reduction in new vertebral fractures, 40% reduction in hip fractures, and 20% reduction in nonvertebral fractures after 3 years of treatment. Ongoing studies examine long-term outcomes and safety.</w:t>
      </w:r>
    </w:p>
    <w:p>
      <w:pPr>
        <w:pStyle w:val="Heading1"/>
      </w:pPr>
      <w:r>
        <w:t>Common Side Effects and Adverse Events</w:t>
      </w:r>
    </w:p>
    <w:p>
      <w:r>
        <w:t>Common side effects include back pain, musculoskeletal pain, and elevated cholesterol. Serious but less frequent adverse effects can include hypocalcemia, infections (especially skin and urinary tract), dermatologic reactions (eczema, rashes), atypical femoral fractures, and osteonecrosis of the jaw (ONJ). Risk factors for serious side effects include poor dental hygiene, dental procedures, kidney disease, and low calcium/vitamin D levels.</w:t>
      </w:r>
    </w:p>
    <w:p>
      <w:pPr>
        <w:pStyle w:val="Heading1"/>
      </w:pPr>
      <w:r>
        <w:t>Safety Considerations and Monitoring</w:t>
      </w:r>
    </w:p>
    <w:p>
      <w:r>
        <w:t>Before starting denosumab, patients should have adequate calcium and vitamin D levels and receive a dental exam to reduce ONJ risk. Serum calcium and renal function are monitored during therapy. Patients should report new thigh or groin pain promptly due to atypical fractures risk. Because bone turnover rebounds after discontinuation, transitioning to another osteoporosis treatment is recommended to maintain bone density.</w:t>
      </w:r>
    </w:p>
    <w:p>
      <w:pPr>
        <w:pStyle w:val="Heading1"/>
      </w:pPr>
      <w:r>
        <w:t>Drug Interactions and Contraindications</w:t>
      </w:r>
    </w:p>
    <w:p>
      <w:r>
        <w:t>Denosumab has limited direct drug interactions but should be used cautiously with other bone active agents. It is contraindicated in patients with hypocalcemia and is not recommended during pregnancy or breastfeeding. Immunosuppressive effects require caution in patients with recurrent infections. Co-administration with live vaccines is not advised due to potential immune suppression.</w:t>
      </w:r>
    </w:p>
    <w:p>
      <w:pPr>
        <w:pStyle w:val="Heading1"/>
      </w:pPr>
      <w:r>
        <w:t>Limitations of Denosumab Therapy</w:t>
      </w:r>
    </w:p>
    <w:p>
      <w:r>
        <w:t>Denosumab requires ongoing treatment to maintain benefits, as discontinuation can lead to rapid bone loss and fracture risk rebound. It is more expensive than some oral osteoporosis medications and requires injection by healthcare professionals. Long-term safety data beyond 10 years are limited. Some patients may not tolerate side effects or have contraindications.</w:t>
      </w:r>
    </w:p>
    <w:p>
      <w:pPr>
        <w:pStyle w:val="Heading1"/>
      </w:pPr>
      <w:r>
        <w:t>Misconceptions About Denosumab</w:t>
      </w:r>
    </w:p>
    <w:p>
      <w:r>
        <w:t>Some believe denosumab is a cure for osteoporosis; however, it is a management tool that requires continuous use. Others think it is interchangeable with bisphosphonates; while both reduce fractures, their mechanisms, administration, and side effect profiles differ importantly. It's also misunderstood that denosumab accumulates in bone; it does not – its effects stop rapidly after discontinuation.</w:t>
      </w:r>
    </w:p>
    <w:p>
      <w:pPr>
        <w:pStyle w:val="Heading1"/>
      </w:pPr>
      <w:r>
        <w:t>Practical Guidance for Patients</w:t>
      </w:r>
    </w:p>
    <w:p>
      <w:r>
        <w:t>Patients should maintain adequate calcium and vitamin D intake, adhere to injection schedules, and report symptoms like muscle cramps or dental pain. Dental hygiene is important to reduce ONJ risk. Inform your healthcare provider about all medications and supplements. Never stop denosumab without consulting a healthcare provider due to fracture risk rebound. Regular bone density testing helps track effectiveness.</w:t>
      </w:r>
    </w:p>
    <w:p>
      <w:pPr>
        <w:pStyle w:val="Heading1"/>
      </w:pPr>
      <w:r>
        <w:t>Practical Guidance</w:t>
      </w:r>
    </w:p>
    <w:p>
      <w:pPr>
        <w:pStyle w:val="ListBullet"/>
      </w:pPr>
      <w:r>
        <w:t>Ensure adequate dietary calcium (1000–1200 mg/day) and vitamin D supplementation before and during denosumab therapy.</w:t>
      </w:r>
    </w:p>
    <w:p>
      <w:pPr>
        <w:pStyle w:val="ListBullet"/>
      </w:pPr>
      <w:r>
        <w:t>Schedule denosumab injections every 6 months for osteoporosis without missing doses for sustained effectiveness.</w:t>
      </w:r>
    </w:p>
    <w:p>
      <w:pPr>
        <w:pStyle w:val="ListBullet"/>
      </w:pPr>
      <w:r>
        <w:t>Obtain dental evaluation and complete invasive dental procedures before initiating denosumab to reduce osteonecrosis of the jaw risks.</w:t>
      </w:r>
    </w:p>
    <w:p>
      <w:pPr>
        <w:pStyle w:val="ListBullet"/>
      </w:pPr>
      <w:r>
        <w:t>Report any new jaw pain, thigh pain, or symptoms suggestive of infection without delay to your healthcare provider.</w:t>
      </w:r>
    </w:p>
    <w:p>
      <w:pPr>
        <w:pStyle w:val="ListBullet"/>
      </w:pPr>
      <w:r>
        <w:t>Avoid stopping denosumab suddenly; if discontinuation is necessary, discuss transitioning strategies with your provider.</w:t>
      </w:r>
    </w:p>
    <w:p>
      <w:pPr>
        <w:pStyle w:val="Heading1"/>
      </w:pPr>
      <w:r>
        <w:t>Safety Notes</w:t>
      </w:r>
    </w:p>
    <w:p>
      <w:pPr>
        <w:pStyle w:val="ListBullet"/>
      </w:pPr>
      <w:r>
        <w:t>Check serum calcium and vitamin D levels before starting denosumab to avoid hypocalcemia risk.</w:t>
      </w:r>
    </w:p>
    <w:p>
      <w:pPr>
        <w:pStyle w:val="ListBullet"/>
      </w:pPr>
      <w:r>
        <w:t>Monitor calcium levels especially in patients with kidney impairment or malabsorption.</w:t>
      </w:r>
    </w:p>
    <w:p>
      <w:pPr>
        <w:pStyle w:val="ListBullet"/>
      </w:pPr>
      <w:r>
        <w:t>Watch for signs of infection, as immunomodulation from denosumab may increase infection susceptibility.</w:t>
      </w:r>
    </w:p>
    <w:p>
      <w:pPr>
        <w:pStyle w:val="ListBullet"/>
      </w:pPr>
      <w:r>
        <w:t>Provide patient education on maintaining dental hygiene and routine dental care.</w:t>
      </w:r>
    </w:p>
    <w:p>
      <w:pPr>
        <w:pStyle w:val="ListBullet"/>
      </w:pPr>
      <w:r>
        <w:t>Avoid use in pregnant or breastfeeding women due to insufficient safety data.</w:t>
      </w:r>
    </w:p>
    <w:p>
      <w:pPr>
        <w:pStyle w:val="Heading1"/>
      </w:pPr>
      <w:r>
        <w:t>Common Misconceptions</w:t>
      </w:r>
    </w:p>
    <w:p>
      <w:r>
        <w:rPr>
          <w:b/>
        </w:rPr>
        <w:t xml:space="preserve">Misconception: </w:t>
      </w:r>
      <w:r>
        <w:t>Denosumab cures osteoporosis permanently.</w:t>
      </w:r>
    </w:p>
    <w:p>
      <w:r>
        <w:rPr>
          <w:b/>
        </w:rPr>
        <w:t xml:space="preserve">Reality: </w:t>
      </w:r>
      <w:r>
        <w:t>Denosumab manages osteoporosis but continuous treatment is necessary to maintain bone density; stopping treatment can lead to rapid bone loss.</w:t>
      </w:r>
    </w:p>
    <w:p>
      <w:r>
        <w:rPr>
          <w:b/>
        </w:rPr>
        <w:t xml:space="preserve">Misconception: </w:t>
      </w:r>
      <w:r>
        <w:t>Denosumab is the same as bisphosphonates.</w:t>
      </w:r>
    </w:p>
    <w:p>
      <w:r>
        <w:rPr>
          <w:b/>
        </w:rPr>
        <w:t xml:space="preserve">Reality: </w:t>
      </w:r>
      <w:r>
        <w:t>Denosumab and bisphosphonates have different mechanisms, administration routes, durations of action, and side effect profiles.</w:t>
      </w:r>
    </w:p>
    <w:p>
      <w:r>
        <w:rPr>
          <w:b/>
        </w:rPr>
        <w:t xml:space="preserve">Misconception: </w:t>
      </w:r>
      <w:r>
        <w:t>Denosumab accumulates in the bone for long-term effect after stopping the drug.</w:t>
      </w:r>
    </w:p>
    <w:p>
      <w:r>
        <w:rPr>
          <w:b/>
        </w:rPr>
        <w:t xml:space="preserve">Reality: </w:t>
      </w:r>
      <w:r>
        <w:t>Denosumab's effect diminishes quickly after stopping because it does not incorporate into bone tissue.</w:t>
      </w:r>
    </w:p>
    <w:p>
      <w:pPr>
        <w:pStyle w:val="Heading1"/>
      </w:pPr>
      <w:r>
        <w:t>Clinical Pearls</w:t>
      </w:r>
    </w:p>
    <w:p>
      <w:pPr>
        <w:pStyle w:val="ListNumber"/>
      </w:pPr>
      <w:r>
        <w:t>Prompt dental evaluation before denosumab initiation reduces ONJ risk.</w:t>
      </w:r>
    </w:p>
    <w:p>
      <w:pPr>
        <w:pStyle w:val="ListNumber"/>
      </w:pPr>
      <w:r>
        <w:t>Monitoring calcium levels is vital to prevent hypocalcemia, especially in patients with renal impairment.</w:t>
      </w:r>
    </w:p>
    <w:p>
      <w:pPr>
        <w:pStyle w:val="ListNumber"/>
      </w:pPr>
      <w:r>
        <w:t>Patient adherence to injection schedules is critical for fracture prevention efficacy.</w:t>
      </w:r>
    </w:p>
    <w:p>
      <w:pPr>
        <w:pStyle w:val="ListNumber"/>
      </w:pPr>
      <w:r>
        <w:t>Discontinuing denosumab requires transitioning to another bone-preserving agent to avoid rebound fractures.</w:t>
      </w:r>
    </w:p>
    <w:p>
      <w:pPr>
        <w:pStyle w:val="ListNumber"/>
      </w:pPr>
      <w:r>
        <w:t>Recognize atypical thigh pain early as a warning sign of possible atypical femoral fracture.</w:t>
      </w:r>
    </w:p>
    <w:p>
      <w:pPr>
        <w:pStyle w:val="Heading1"/>
      </w:pPr>
      <w:r>
        <w:t>Key Takeaways</w:t>
      </w:r>
    </w:p>
    <w:p>
      <w:pPr>
        <w:pStyle w:val="ListBullet"/>
      </w:pPr>
      <w:r>
        <w:t>Denosumab is a monoclonal antibody against RANKL that inhibits bone resorption by osteoclasts.</w:t>
      </w:r>
    </w:p>
    <w:p>
      <w:pPr>
        <w:pStyle w:val="ListBullet"/>
      </w:pPr>
      <w:r>
        <w:t>It is used primarily for osteoporosis and prevention of skeletal complications from cancers.</w:t>
      </w:r>
    </w:p>
    <w:p>
      <w:pPr>
        <w:pStyle w:val="ListBullet"/>
      </w:pPr>
      <w:r>
        <w:t>Denosumab improves bone mineral density and reduces fracture risk significantly.</w:t>
      </w:r>
    </w:p>
    <w:p>
      <w:pPr>
        <w:pStyle w:val="ListBullet"/>
      </w:pPr>
      <w:r>
        <w:t>It is administered as a subcutaneous injection every 6 months for osteoporosis.</w:t>
      </w:r>
    </w:p>
    <w:p>
      <w:pPr>
        <w:pStyle w:val="ListBullet"/>
      </w:pPr>
      <w:r>
        <w:t>Common side effects include musculoskeletal pain and potential hypocalcemia.</w:t>
      </w:r>
    </w:p>
    <w:p>
      <w:pPr>
        <w:pStyle w:val="ListBullet"/>
      </w:pPr>
      <w:r>
        <w:t>Serious risks include osteonecrosis of the jaw and atypical femoral fractures.</w:t>
      </w:r>
    </w:p>
    <w:p>
      <w:pPr>
        <w:pStyle w:val="ListBullet"/>
      </w:pPr>
      <w:r>
        <w:t>Monitoring calcium, vitamin D, and dental health is essential during treatment.</w:t>
      </w:r>
    </w:p>
    <w:p>
      <w:pPr>
        <w:pStyle w:val="ListBullet"/>
      </w:pPr>
      <w:r>
        <w:t>Denosumab discontinuation should be managed carefully due to rebound bone loss risk.</w:t>
      </w:r>
    </w:p>
    <w:p>
      <w:pPr>
        <w:pStyle w:val="Heading1"/>
      </w:pPr>
      <w:r>
        <w:t>Glossary</w:t>
      </w:r>
    </w:p>
    <w:p>
      <w:r>
        <w:rPr>
          <w:b/>
        </w:rPr>
        <w:t xml:space="preserve">Denosumab: </w:t>
      </w:r>
      <w:r>
        <w:t>A monoclonal antibody drug that inhibits RANKL to reduce bone resorption and strengthen bone.</w:t>
      </w:r>
    </w:p>
    <w:p>
      <w:r>
        <w:rPr>
          <w:b/>
        </w:rPr>
        <w:t xml:space="preserve">RANKL: </w:t>
      </w:r>
      <w:r>
        <w:t>Receptor activator of nuclear factor kappa-B ligand, a protein that promotes osteoclast formation and activity.</w:t>
      </w:r>
    </w:p>
    <w:p>
      <w:r>
        <w:rPr>
          <w:b/>
        </w:rPr>
        <w:t xml:space="preserve">Osteoclast: </w:t>
      </w:r>
      <w:r>
        <w:t>A type of bone cell responsible for breaking down (resorbing) bone tissue.</w:t>
      </w:r>
    </w:p>
    <w:p>
      <w:r>
        <w:rPr>
          <w:b/>
        </w:rPr>
        <w:t xml:space="preserve">Bone resorption: </w:t>
      </w:r>
      <w:r>
        <w:t>The process by which osteoclasts break down bone and release minerals into the bloodstream.</w:t>
      </w:r>
    </w:p>
    <w:p>
      <w:r>
        <w:rPr>
          <w:b/>
        </w:rPr>
        <w:t xml:space="preserve">Osteoporosis: </w:t>
      </w:r>
      <w:r>
        <w:t>A condition characterized by weak and brittle bones, increasing fracture risk.</w:t>
      </w:r>
    </w:p>
    <w:p>
      <w:r>
        <w:rPr>
          <w:b/>
        </w:rPr>
        <w:t xml:space="preserve">Hypocalcemia: </w:t>
      </w:r>
      <w:r>
        <w:t>A condition of low calcium levels in the blood, which can cause muscle cramps and other symptoms.</w:t>
      </w:r>
    </w:p>
    <w:p>
      <w:r>
        <w:rPr>
          <w:b/>
        </w:rPr>
        <w:t xml:space="preserve">Monoclonal antibody: </w:t>
      </w:r>
      <w:r>
        <w:t>A laboratory-made protein designed to bind to specific targets such as RANKL.</w:t>
      </w:r>
    </w:p>
    <w:p>
      <w:r>
        <w:rPr>
          <w:b/>
        </w:rPr>
        <w:t xml:space="preserve">Osteonecrosis of the jaw (ONJ): </w:t>
      </w:r>
      <w:r>
        <w:t>A rare but serious side effect involving bone death in the jaw, often linked to dental procedures and bone drugs.</w:t>
      </w:r>
    </w:p>
    <w:p>
      <w:pPr>
        <w:pStyle w:val="Heading1"/>
      </w:pPr>
      <w:r>
        <w:t>Related Modules</w:t>
      </w:r>
    </w:p>
    <w:p>
      <w:pPr>
        <w:pStyle w:val="ListBullet"/>
      </w:pPr>
      <w:r>
        <w:t>MED-112-Bisphosphonates</w:t>
      </w:r>
    </w:p>
    <w:p>
      <w:pPr>
        <w:pStyle w:val="ListBullet"/>
      </w:pPr>
      <w:r>
        <w:t>MED-120-Osteoporosis-Management</w:t>
      </w:r>
    </w:p>
    <w:p>
      <w:pPr>
        <w:pStyle w:val="ListBullet"/>
      </w:pPr>
      <w:r>
        <w:t>MED-130-Calcium-VitaminD-Supplements</w:t>
      </w:r>
    </w:p>
    <w:p>
      <w:pPr>
        <w:pStyle w:val="Heading1"/>
      </w:pPr>
      <w:r>
        <w:t>Illustration Specifications</w:t>
      </w:r>
    </w:p>
    <w:p>
      <w:pPr>
        <w:pStyle w:val="Heading2"/>
      </w:pPr>
      <w:r>
        <w:t>DEN-ILL-001 - Denosumab Mechanism of Action</w:t>
      </w:r>
    </w:p>
    <w:p>
      <w:r>
        <w:t>Type: Diagram</w:t>
      </w:r>
    </w:p>
    <w:p>
      <w:r>
        <w:t>A graphical representation showing denosumab binding to RANKL, preventing osteoclast activation and bone resorption.</w:t>
      </w:r>
    </w:p>
    <w:p>
      <w:r>
        <w:t>Alt text: Diagram illustrating how denosumab blocks RANKL to inhibit osteoclast-mediated bone breakdown.</w:t>
      </w:r>
    </w:p>
    <w:p>
      <w:pPr>
        <w:pStyle w:val="Heading2"/>
      </w:pPr>
      <w:r>
        <w:t>DEN-ILL-002 - Bone Remodeling Process</w:t>
      </w:r>
    </w:p>
    <w:p>
      <w:r>
        <w:t>Type: Diagram</w:t>
      </w:r>
    </w:p>
    <w:p>
      <w:r>
        <w:t>Shows normal bone remodeling balance between osteoblasts (forming bone) and osteoclasts (resorbing bone) and how denosumab shifts this balance.</w:t>
      </w:r>
    </w:p>
    <w:p>
      <w:r>
        <w:t>Alt text: Illustration of bone remodeling cells and the impact of denosumab treatment.</w:t>
      </w:r>
    </w:p>
    <w:p>
      <w:pPr>
        <w:pStyle w:val="Heading2"/>
      </w:pPr>
      <w:r>
        <w:t>DEN-ILL-003 - Denosumab Injection Sites</w:t>
      </w:r>
    </w:p>
    <w:p>
      <w:r>
        <w:t>Type: Photograph</w:t>
      </w:r>
    </w:p>
    <w:p>
      <w:r>
        <w:t>Common anatomical sites for subcutaneous denosumab injections, including the upper arm, abdomen, and thigh.</w:t>
      </w:r>
    </w:p>
    <w:p>
      <w:r>
        <w:t>Alt text: Photo showing typical sites for subcutaneous injection of denosumab.</w:t>
      </w:r>
    </w:p>
    <w:p>
      <w:pPr>
        <w:pStyle w:val="Heading2"/>
      </w:pPr>
      <w:r>
        <w:t>DEN-ILL-004 - Potential Side Effects of Denosumab</w:t>
      </w:r>
    </w:p>
    <w:p>
      <w:r>
        <w:t>Type: Infographic</w:t>
      </w:r>
    </w:p>
    <w:p>
      <w:r>
        <w:t>Visual summary of common and serious denosumab-related side effects and monitoring recommendations.</w:t>
      </w:r>
    </w:p>
    <w:p>
      <w:r>
        <w:t>Alt text: Infographic listing denosumab side effects and safety tips.</w:t>
      </w:r>
    </w:p>
    <w:p>
      <w:pPr>
        <w:pStyle w:val="Heading1"/>
      </w:pPr>
      <w:r>
        <w:t>References</w:t>
      </w:r>
    </w:p>
    <w:p>
      <w:pPr>
        <w:pStyle w:val="ListBullet"/>
      </w:pPr>
      <w:r>
        <w:t>Denosumab for the Treatment of Osteoporosis | National Institute for Health and Care Excellence (NICE) | 2022 | CG146 | Unverified</w:t>
      </w:r>
    </w:p>
    <w:p>
      <w:pPr>
        <w:pStyle w:val="ListBullet"/>
      </w:pPr>
      <w:r>
        <w:t>Denosumab in Postmenopausal Osteoporosis | Freeman et al., The New England Journal of Medicine | 2010 | DOI:10.1056/NEJMoa0906473 | Unverified</w:t>
      </w:r>
    </w:p>
    <w:p>
      <w:pPr>
        <w:pStyle w:val="ListBullet"/>
      </w:pPr>
      <w:r>
        <w:t>Denosumab Safety and Efficacy in Cancer-Related Bone Disease | Body et al., Journal of Clinical Oncology | 2015 | DOI:10.1200/JCO.2014.58.4668 | Unverified</w:t>
      </w:r>
    </w:p>
    <w:p>
      <w:pPr>
        <w:pStyle w:val="ListBullet"/>
      </w:pPr>
      <w:r>
        <w:t>2019 American Association of Clinical Endocrinologists Guideline for Osteoporosis | AACE Osteoporosis Task Force | 2019 | DOI:10.4158/EP-2019-0151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