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MED-120 - Bone Medicine Safety</w:t>
      </w:r>
    </w:p>
    <w:p>
      <w:r>
        <w:rPr>
          <w:i/>
        </w:rPr>
        <w:t>Uses, mechanisms, benefits, side effects, interactions, monitoring, and safety related to bone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Prevention, Treatment, Monitoring</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bone health, osteoporosis, bisphosphonates, denosumab, teriparatide, bone medicine safety, side effects, drug interactions, bone density,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medicine safety encompasses understanding the use, mechanisms, benefits, and risks of pharmacological agents prescribed to maintain or improve bone health, especially in conditions such as osteoporosis. These medicines include bisphosphonates, denosumab, selective estrogen receptor modulators (SERMs), parathyroid hormone analogs like teriparatide, and hormone replacement therapies (HRT). Bisphosphonates work by inhibiting osteoclast-mediated bone resorption, leading to increased bone density. Denosumab, a monoclonal antibody, prevents osteoclast formation by targeting RANKL. TERIPARATIDE stimulates new bone formation via parathyroid hormone receptors. While these agents improve bone strength and reduce fracture risk, safety concerns include rare but severe adverse effects such as osteonecrosis of the jaw (ONJ) and atypical femoral fractures (AFF), especially with prolonged use. The term "bone medicine safety" also covers monitoring parameters like bone mineral density (BMD), biochemical markers, and potential drug-drug interactions, as many bone medicines can interact with other medications including calcium supplements, corticosteroids, or anticoagulants. Clinical decisions weigh benefits against risks, emphasizing the lowest effective duration and proper patient selection. Understanding these factors aids consumers and healthcare providers in optimizing therapy while minimizing complications. Despite strong evidence supporting these treatments, limitations remain regarding long-term safety and variability among individuals. This module details mechanisms, practical use, side effects, monitoring strategies, and safety considerations related to bone medicines to inform patients and caregivers.</w:t>
      </w:r>
    </w:p>
    <w:p>
      <w:pPr>
        <w:pStyle w:val="Heading1"/>
      </w:pPr>
      <w:r>
        <w:t>Customer Questions Answered</w:t>
      </w:r>
    </w:p>
    <w:p>
      <w:pPr>
        <w:pStyle w:val="ListBullet"/>
      </w:pPr>
      <w:r>
        <w:t>What are the common medications used for bone health?</w:t>
      </w:r>
    </w:p>
    <w:p>
      <w:pPr>
        <w:pStyle w:val="ListBullet"/>
      </w:pPr>
      <w:r>
        <w:t>How do bisphosphonates work to protect bones?</w:t>
      </w:r>
    </w:p>
    <w:p>
      <w:pPr>
        <w:pStyle w:val="ListBullet"/>
      </w:pPr>
      <w:r>
        <w:t>What are the potential side effects of bone medicines?</w:t>
      </w:r>
    </w:p>
    <w:p>
      <w:pPr>
        <w:pStyle w:val="ListBullet"/>
      </w:pPr>
      <w:r>
        <w:t>Can bone medicines interact with other drugs?</w:t>
      </w:r>
    </w:p>
    <w:p>
      <w:pPr>
        <w:pStyle w:val="ListBullet"/>
      </w:pPr>
      <w:r>
        <w:t>How is safety monitored during bone medicine treatment?</w:t>
      </w:r>
    </w:p>
    <w:p>
      <w:pPr>
        <w:pStyle w:val="ListBullet"/>
      </w:pPr>
      <w:r>
        <w:t>Are hormonal treatments safe for bone health?</w:t>
      </w:r>
    </w:p>
    <w:p>
      <w:pPr>
        <w:pStyle w:val="ListBullet"/>
      </w:pPr>
      <w:r>
        <w:t>What precautions should I take while on bone medicines?</w:t>
      </w:r>
    </w:p>
    <w:p>
      <w:pPr>
        <w:pStyle w:val="ListBullet"/>
      </w:pPr>
      <w:r>
        <w:t>How long should I stay on osteoporosis medications?</w:t>
      </w:r>
    </w:p>
    <w:p>
      <w:pPr>
        <w:pStyle w:val="ListBullet"/>
      </w:pPr>
      <w:r>
        <w:t>Can bone medicines cause jaw problems?</w:t>
      </w:r>
    </w:p>
    <w:p>
      <w:pPr>
        <w:pStyle w:val="ListBullet"/>
      </w:pPr>
      <w:r>
        <w:t>Are there natural alternatives to bone medicines?</w:t>
      </w:r>
    </w:p>
    <w:p>
      <w:pPr>
        <w:pStyle w:val="ListBullet"/>
      </w:pPr>
      <w:r>
        <w:t>What is the role of calcium and vitamin D with bone medicines?</w:t>
      </w:r>
    </w:p>
    <w:p>
      <w:pPr>
        <w:pStyle w:val="ListBullet"/>
      </w:pPr>
      <w:r>
        <w:t>Can bone medicines cause fractures?</w:t>
      </w:r>
    </w:p>
    <w:p>
      <w:pPr>
        <w:pStyle w:val="Heading1"/>
      </w:pPr>
      <w:r>
        <w:t>Learning Objectives</w:t>
      </w:r>
    </w:p>
    <w:p>
      <w:pPr>
        <w:pStyle w:val="ListBullet"/>
      </w:pPr>
      <w:r>
        <w:t>Define common bone medicines and their roles in bone health.</w:t>
      </w:r>
    </w:p>
    <w:p>
      <w:pPr>
        <w:pStyle w:val="ListBullet"/>
      </w:pPr>
      <w:r>
        <w:t>Describe the mechanisms by which bone medicines act on bone cells.</w:t>
      </w:r>
    </w:p>
    <w:p>
      <w:pPr>
        <w:pStyle w:val="ListBullet"/>
      </w:pPr>
      <w:r>
        <w:t>Identify common and rare side effects associated with bone medicines.</w:t>
      </w:r>
    </w:p>
    <w:p>
      <w:pPr>
        <w:pStyle w:val="ListBullet"/>
      </w:pPr>
      <w:r>
        <w:t>Explain potential drug interactions with bone medicines.</w:t>
      </w:r>
    </w:p>
    <w:p>
      <w:pPr>
        <w:pStyle w:val="ListBullet"/>
      </w:pPr>
      <w:r>
        <w:t>Outline monitoring strategies to ensure bone medicine safety.</w:t>
      </w:r>
    </w:p>
    <w:p>
      <w:pPr>
        <w:pStyle w:val="ListBullet"/>
      </w:pPr>
      <w:r>
        <w:t>Recognize misconceptions related to bone medicine use and safety.</w:t>
      </w:r>
    </w:p>
    <w:p>
      <w:pPr>
        <w:pStyle w:val="ListBullet"/>
      </w:pPr>
      <w:r>
        <w:t>Apply practical guidance for safe use of bone medicines.</w:t>
      </w:r>
    </w:p>
    <w:p>
      <w:pPr>
        <w:pStyle w:val="ListBullet"/>
      </w:pPr>
      <w:r>
        <w:t>Understand limitations and emerging evidence in bone medicine safety.</w:t>
      </w:r>
    </w:p>
    <w:p>
      <w:pPr>
        <w:pStyle w:val="Heading1"/>
      </w:pPr>
      <w:r>
        <w:t>Definition</w:t>
      </w:r>
    </w:p>
    <w:p>
      <w:r>
        <w:t>Bone medicine safety refers to the understanding and management of the effective and safe use of medications prescribed to maintain, improve, or restore bone health, particularly agents used in prevention and treatment of osteoporosis and other bone disorders. It includes knowledge of drug actions, adverse effects, interactions, monitoring, and patient-specific considerations to minimize risks and maximize therapeutic benefits.</w:t>
      </w:r>
    </w:p>
    <w:p>
      <w:pPr>
        <w:pStyle w:val="Heading1"/>
      </w:pPr>
      <w:r>
        <w:t>Why This Matters</w:t>
      </w:r>
    </w:p>
    <w:p>
      <w:r>
        <w:t>Osteoporosis and other bone diseases are common, especially with aging, and they significantly increase fracture risk, leading to disability and reduced quality of life. Bone medicines improve outcomes but carry potential side effects and interactions that can cause harm if not managed properly. Educating patients and caregivers on bone medicine safety empowers informed decisions, adherence to treatment, early recognition of complications, and better health outcomes.</w:t>
      </w:r>
    </w:p>
    <w:p>
      <w:pPr>
        <w:pStyle w:val="Heading1"/>
      </w:pPr>
      <w:r>
        <w:t>Overview of Bone Medicines</w:t>
      </w:r>
    </w:p>
    <w:p>
      <w:r>
        <w:t>Bone medicines include prescription drugs that help strengthen bones and reduce fracture risk. The major classes are bisphosphonates (e.g., alendronate, risedronate), denosumab, selective estrogen receptor modulators (SERMs, e.g., raloxifene), parathyroid hormone analogs (teriparatide), and hormone replacement therapies. Each acts through different mechanisms to either decrease bone breakdown or increase bone formation. These medicines target conditions such as osteoporosis, Paget's disease, and bone loss related to menopause or glucocorticoid use.</w:t>
      </w:r>
    </w:p>
    <w:p>
      <w:pPr>
        <w:pStyle w:val="Heading1"/>
      </w:pPr>
      <w:r>
        <w:t>Mechanisms of Action</w:t>
      </w:r>
    </w:p>
    <w:p>
      <w:r>
        <w:t>Bisphosphonates inhibit osteoclasts, the cells responsible for bone resorption, by binding to bone mineral and inducing osteoclast apoptosis, reducing bone loss. Denosumab is a monoclonal antibody against RANK ligand (RANKL), preventing maturation of osteoclasts. SERMs modulate estrogen receptors to exert bone-protective effects. Teriparatide is an anabolic agent mimicking parathyroid hormone, stimulating osteoblast activity to form new bone.</w:t>
      </w:r>
    </w:p>
    <w:p>
      <w:pPr>
        <w:pStyle w:val="Heading1"/>
      </w:pPr>
      <w:r>
        <w:t>Physiology of Bone Remodeling</w:t>
      </w:r>
    </w:p>
    <w:p>
      <w:r>
        <w:t>Bone remodeling is a continuous process involving bone resorption by osteoclasts and bone formation by osteoblasts. A balance is necessary for healthy bone density and strength. Aging, hormonal changes, or medications like steroids can disrupt this balance, leading to bone loss. Bone medicines restore equilibrium by inhibiting resorption or enhancing formation.</w:t>
      </w:r>
    </w:p>
    <w:p>
      <w:pPr>
        <w:pStyle w:val="Heading1"/>
      </w:pPr>
      <w:r>
        <w:t>Benefits of Bone Medicines</w:t>
      </w:r>
    </w:p>
    <w:p>
      <w:r>
        <w:t>Clinical trials have shown that bisphosphonates, denosumab, and teriparatide reduce vertebral, hip, and non-vertebral fractures significantly. These medicines improve bone mineral density (BMD) and strengthen bone architecture. HRT also reduces fracture risk but its use depends on patient-specific factors due to broader systemic effects.</w:t>
      </w:r>
    </w:p>
    <w:p>
      <w:pPr>
        <w:pStyle w:val="Heading1"/>
      </w:pPr>
      <w:r>
        <w:t>Common Side Effects and Risks</w:t>
      </w:r>
    </w:p>
    <w:p>
      <w:r>
        <w:t>Typical side effects may include gastrointestinal upset with oral bisphosphonates, injection site reactions with denosumab, and leg cramps or dizziness with teriparatide. Rare but serious risks include osteonecrosis of the jaw (ONJ), especially after dental procedures, and atypical femoral fractures (AFF) associated with long-term bisphosphonate use. Awareness and early detection of these risks are critical.</w:t>
      </w:r>
    </w:p>
    <w:p>
      <w:pPr>
        <w:pStyle w:val="Heading1"/>
      </w:pPr>
      <w:r>
        <w:t>Drug Interactions</w:t>
      </w:r>
    </w:p>
    <w:p>
      <w:r>
        <w:t>Bone medicines can interact with calcium supplements, antacids, and certain antibiotics by altering absorption. Corticosteroids may impair bone metabolism, requiring careful coordination. Denosumab may interact with immunosuppressants. Patients should inform healthcare providers of all medications to avoid adverse interactions.</w:t>
      </w:r>
    </w:p>
    <w:p>
      <w:pPr>
        <w:pStyle w:val="Heading1"/>
      </w:pPr>
      <w:r>
        <w:t>Monitoring Bone Medicine Safety</w:t>
      </w:r>
    </w:p>
    <w:p>
      <w:r>
        <w:t>Safety monitoring includes periodic bone mineral density testing using dual-energy X-ray absorptiometry (DEXA) scans, assessing biochemical markers of bone turnover, monitoring kidney function (especially for bisphosphonates), and evaluating for symptoms indicating adverse effects. Dental examination before and during therapy helps minimize ONJ risk. Treatment duration should be reassessed regularly.</w:t>
      </w:r>
    </w:p>
    <w:p>
      <w:pPr>
        <w:pStyle w:val="Heading1"/>
      </w:pPr>
      <w:r>
        <w:t>Limitations and Uncertainties</w:t>
      </w:r>
    </w:p>
    <w:p>
      <w:r>
        <w:t>Long-term safety data are limited for some agents, and individual responses vary. Rare adverse events require vigilance but are uncommon relative to benefits. Evidence on optimal treatment duration is evolving; "drug holidays" may be recommended to reduce risks. Emerging research continues to refine understanding of safety profiles.</w:t>
      </w:r>
    </w:p>
    <w:p>
      <w:pPr>
        <w:pStyle w:val="Heading1"/>
      </w:pPr>
      <w:r>
        <w:t>Common Misconceptions</w:t>
      </w:r>
    </w:p>
    <w:p>
      <w:r>
        <w:t>A frequent misconception is that bone medicines cause fractures, whereas they actually reduce fracture risk. Some believe therapy must be lifelong; however, treatment is tailored and sometimes paused. Others think natural supplements alone suffice, but evidence supports the effectiveness of approved bone medicines in reducing fractures.</w:t>
      </w:r>
    </w:p>
    <w:p>
      <w:pPr>
        <w:pStyle w:val="Heading1"/>
      </w:pPr>
      <w:r>
        <w:t>Practical Guidance for Patients</w:t>
      </w:r>
    </w:p>
    <w:p>
      <w:r>
        <w:t>Patients should take oral bisphosphonates on an empty stomach with water, remain upright for 30 minutes to minimize esophageal irritation, maintain adequate calcium and vitamin D intake, report any jaw pain or thigh discomfort promptly, and attend regular follow-up appointments. Adherence to prescribed regimens ensures maximum benefit and safety.</w:t>
      </w:r>
    </w:p>
    <w:p>
      <w:pPr>
        <w:pStyle w:val="Heading1"/>
      </w:pPr>
      <w:r>
        <w:t>Special Considerations in Hormonal Therapies</w:t>
      </w:r>
    </w:p>
    <w:p>
      <w:r>
        <w:t>Hormonal therapies like HRT and SERMs offer bone protection but carry risks including cardiovascular events and cancer, influencing patient selection and monitoring. Benefits should be weighed against these risks individually. These agents are not first-line for all patients but may be appropriate in specific contexts.</w:t>
      </w:r>
    </w:p>
    <w:p>
      <w:pPr>
        <w:pStyle w:val="Heading1"/>
      </w:pPr>
      <w:r>
        <w:t>Practical Guidance</w:t>
      </w:r>
    </w:p>
    <w:p>
      <w:pPr>
        <w:pStyle w:val="ListBullet"/>
      </w:pPr>
      <w:r>
        <w:t>Take oral bisphosphonates with a full glass of water on an empty stomach, remaining upright for 30 minutes to reduce esophageal irritation risk.</w:t>
      </w:r>
    </w:p>
    <w:p>
      <w:pPr>
        <w:pStyle w:val="ListBullet"/>
      </w:pPr>
      <w:r>
        <w:t>Ensure adequate calcium and vitamin D intake to support bone health during treatment.</w:t>
      </w:r>
    </w:p>
    <w:p>
      <w:pPr>
        <w:pStyle w:val="ListBullet"/>
      </w:pPr>
      <w:r>
        <w:t>Report jaw pain, tooth looseness, or new thigh or groin pain promptly to healthcare providers to evaluate for serious adverse events.</w:t>
      </w:r>
    </w:p>
    <w:p>
      <w:pPr>
        <w:pStyle w:val="ListBullet"/>
      </w:pPr>
      <w:r>
        <w:t>Inform all healthcare providers about all current medications to avoid interactions.</w:t>
      </w:r>
    </w:p>
    <w:p>
      <w:pPr>
        <w:pStyle w:val="ListBullet"/>
      </w:pPr>
      <w:r>
        <w:t>Attend all scheduled bone density and safety monitoring appointments.</w:t>
      </w:r>
    </w:p>
    <w:p>
      <w:pPr>
        <w:pStyle w:val="ListBullet"/>
      </w:pPr>
      <w:r>
        <w:t>Do not stop or change medications without consulting your prescriber.</w:t>
      </w:r>
    </w:p>
    <w:p>
      <w:pPr>
        <w:pStyle w:val="ListBullet"/>
      </w:pPr>
      <w:r>
        <w:t>Discuss treatment duration and potential drug holidays with your healthcare provider.</w:t>
      </w:r>
    </w:p>
    <w:p>
      <w:pPr>
        <w:pStyle w:val="ListBullet"/>
      </w:pPr>
      <w:r>
        <w:t>Avoid self-medicating with supplements as a substitute for prescribed bone medicines.</w:t>
      </w:r>
    </w:p>
    <w:p>
      <w:pPr>
        <w:pStyle w:val="Heading1"/>
      </w:pPr>
      <w:r>
        <w:t>Safety Notes</w:t>
      </w:r>
    </w:p>
    <w:p>
      <w:pPr>
        <w:pStyle w:val="ListBullet"/>
      </w:pPr>
      <w:r>
        <w:t>Bisphosphonates may cause esophageal irritation; follow administration instructions carefully.</w:t>
      </w:r>
    </w:p>
    <w:p>
      <w:pPr>
        <w:pStyle w:val="ListBullet"/>
      </w:pPr>
      <w:r>
        <w:t>Osteonecrosis of the jaw (ONJ) is a rare but serious side effect, particularly after dental surgery; dental exams are recommended before and during treatment.</w:t>
      </w:r>
    </w:p>
    <w:p>
      <w:pPr>
        <w:pStyle w:val="ListBullet"/>
      </w:pPr>
      <w:r>
        <w:t>Atypical femoral fractures (AFF) can occur with prolonged bisphosphonate use; report new thigh or groin pain immediately.</w:t>
      </w:r>
    </w:p>
    <w:p>
      <w:pPr>
        <w:pStyle w:val="ListBullet"/>
      </w:pPr>
      <w:r>
        <w:t>Denosumab may increase infection risk; report signs of infection promptly.</w:t>
      </w:r>
    </w:p>
    <w:p>
      <w:pPr>
        <w:pStyle w:val="ListBullet"/>
      </w:pPr>
      <w:r>
        <w:t>Hormonal therapies may increase risks for cardiovascular disease; monitoring is essential.</w:t>
      </w:r>
    </w:p>
    <w:p>
      <w:pPr>
        <w:pStyle w:val="Heading1"/>
      </w:pPr>
      <w:r>
        <w:t>Common Misconceptions</w:t>
      </w:r>
    </w:p>
    <w:p>
      <w:r>
        <w:rPr>
          <w:b/>
        </w:rPr>
        <w:t xml:space="preserve">Misconception: </w:t>
      </w:r>
      <w:r>
        <w:t>Bone medicines cause fractures and weaken bones.</w:t>
      </w:r>
    </w:p>
    <w:p>
      <w:r>
        <w:rPr>
          <w:b/>
        </w:rPr>
        <w:t xml:space="preserve">Reality: </w:t>
      </w:r>
      <w:r>
        <w:t>Clinical evidence shows that bone medicines reduce fracture risk by strengthening bone.</w:t>
      </w:r>
    </w:p>
    <w:p>
      <w:r>
        <w:rPr>
          <w:b/>
        </w:rPr>
        <w:t xml:space="preserve">Misconception: </w:t>
      </w:r>
      <w:r>
        <w:t>Once started, bone medicines must be taken forever.</w:t>
      </w:r>
    </w:p>
    <w:p>
      <w:r>
        <w:rPr>
          <w:b/>
        </w:rPr>
        <w:t xml:space="preserve">Reality: </w:t>
      </w:r>
      <w:r>
        <w:t>Treatment duration is individualized; some patients may take breaks or stop under medical supervision.</w:t>
      </w:r>
    </w:p>
    <w:p>
      <w:r>
        <w:rPr>
          <w:b/>
        </w:rPr>
        <w:t xml:space="preserve">Misconception: </w:t>
      </w:r>
      <w:r>
        <w:t>Natural supplements are sufficient to treat osteoporosis without medications.</w:t>
      </w:r>
    </w:p>
    <w:p>
      <w:r>
        <w:rPr>
          <w:b/>
        </w:rPr>
        <w:t xml:space="preserve">Reality: </w:t>
      </w:r>
      <w:r>
        <w:t>Supplements support bone health but do not replace the proven fracture risk reduction of bone medicines.</w:t>
      </w:r>
    </w:p>
    <w:p>
      <w:r>
        <w:rPr>
          <w:b/>
        </w:rPr>
        <w:t xml:space="preserve">Misconception: </w:t>
      </w:r>
      <w:r>
        <w:t>Bone medicines cause severe side effects in most patients.</w:t>
      </w:r>
    </w:p>
    <w:p>
      <w:r>
        <w:rPr>
          <w:b/>
        </w:rPr>
        <w:t xml:space="preserve">Reality: </w:t>
      </w:r>
      <w:r>
        <w:t>Most patients tolerate bone medicines well; serious side effects are rare with proper monitoring.</w:t>
      </w:r>
    </w:p>
    <w:p>
      <w:pPr>
        <w:pStyle w:val="Heading1"/>
      </w:pPr>
      <w:r>
        <w:t>Clinical Pearls</w:t>
      </w:r>
    </w:p>
    <w:p>
      <w:pPr>
        <w:pStyle w:val="ListNumber"/>
      </w:pPr>
      <w:r>
        <w:t>Ensure patient adherence by educating on proper administration technique for oral bisphosphonates.</w:t>
      </w:r>
    </w:p>
    <w:p>
      <w:pPr>
        <w:pStyle w:val="ListNumber"/>
      </w:pPr>
      <w:r>
        <w:t>Dental evaluation before treatment reduces the risk of osteonecrosis of the jaw (ONJ).</w:t>
      </w:r>
    </w:p>
    <w:p>
      <w:pPr>
        <w:pStyle w:val="ListNumber"/>
      </w:pPr>
      <w:r>
        <w:t>Monitor kidney function prior to bisphosphonate use as impaired renal function is a contraindication or requires dose adjustment.</w:t>
      </w:r>
    </w:p>
    <w:p>
      <w:pPr>
        <w:pStyle w:val="ListNumber"/>
      </w:pPr>
      <w:r>
        <w:t>Regularly reassess treatment necessity and consider drug holidays for long-term bisphosphonate users.</w:t>
      </w:r>
    </w:p>
    <w:p>
      <w:pPr>
        <w:pStyle w:val="ListNumber"/>
      </w:pPr>
      <w:r>
        <w:t>Educate patients on recognizing early symptoms of atypical femoral fractures (thigh/groin pain).</w:t>
      </w:r>
    </w:p>
    <w:p>
      <w:pPr>
        <w:pStyle w:val="Heading1"/>
      </w:pPr>
      <w:r>
        <w:t>Key Takeaways</w:t>
      </w:r>
    </w:p>
    <w:p>
      <w:pPr>
        <w:pStyle w:val="ListBullet"/>
      </w:pPr>
      <w:r>
        <w:t>Bone medicines include bisphosphonates, denosumab, SERMs, teriparatide, and hormone therapies targeting bone remodeling.</w:t>
      </w:r>
    </w:p>
    <w:p>
      <w:pPr>
        <w:pStyle w:val="ListBullet"/>
      </w:pPr>
      <w:r>
        <w:t>They act by decreasing bone resorption or increasing bone formation to reduce fracture risk.</w:t>
      </w:r>
    </w:p>
    <w:p>
      <w:pPr>
        <w:pStyle w:val="ListBullet"/>
      </w:pPr>
      <w:r>
        <w:t>Common side effects vary by drug but serious risks like osteonecrosis of the jaw and atypical femoral fractures are rare.</w:t>
      </w:r>
    </w:p>
    <w:p>
      <w:pPr>
        <w:pStyle w:val="ListBullet"/>
      </w:pPr>
      <w:r>
        <w:t>Drug interactions and comorbid conditions must be considered for safe use.</w:t>
      </w:r>
    </w:p>
    <w:p>
      <w:pPr>
        <w:pStyle w:val="ListBullet"/>
      </w:pPr>
      <w:r>
        <w:t>Regular monitoring of bone density, renal function, and symptoms ensures safety and effectiveness.</w:t>
      </w:r>
    </w:p>
    <w:p>
      <w:pPr>
        <w:pStyle w:val="ListBullet"/>
      </w:pPr>
      <w:r>
        <w:t>Proper administration and adherence maximize therapeutic benefits and minimize adverse events.</w:t>
      </w:r>
    </w:p>
    <w:p>
      <w:pPr>
        <w:pStyle w:val="ListBullet"/>
      </w:pPr>
      <w:r>
        <w:t>Treatment duration is individualized; long-term therapy requires ongoing risk-benefit assessment.</w:t>
      </w:r>
    </w:p>
    <w:p>
      <w:pPr>
        <w:pStyle w:val="ListBullet"/>
      </w:pPr>
      <w:r>
        <w:t>Patient education corrects misconceptions and supports safe, effective treatment.</w:t>
      </w:r>
    </w:p>
    <w:p>
      <w:pPr>
        <w:pStyle w:val="Heading1"/>
      </w:pPr>
      <w:r>
        <w:t>Glossary</w:t>
      </w:r>
    </w:p>
    <w:p>
      <w:r>
        <w:rPr>
          <w:b/>
        </w:rPr>
        <w:t xml:space="preserve">Bisphosphonates: </w:t>
      </w:r>
      <w:r>
        <w:t>A class of drugs that prevent bone loss by inhibiting osteoclast activity, used to treat osteoporosis.</w:t>
      </w:r>
    </w:p>
    <w:p>
      <w:r>
        <w:rPr>
          <w:b/>
        </w:rPr>
        <w:t xml:space="preserve">Denosumab: </w:t>
      </w:r>
      <w:r>
        <w:t>A monoclonal antibody that reduces bone resorption by inhibiting RANK ligand, a signal necessary for osteoclast formation.</w:t>
      </w:r>
    </w:p>
    <w:p>
      <w:r>
        <w:rPr>
          <w:b/>
        </w:rPr>
        <w:t xml:space="preserve">Osteoclasts: </w:t>
      </w:r>
      <w:r>
        <w:t>Bone cells responsible for breaking down (resorbing) bone tissue.</w:t>
      </w:r>
    </w:p>
    <w:p>
      <w:r>
        <w:rPr>
          <w:b/>
        </w:rPr>
        <w:t xml:space="preserve">Osteoblasts: </w:t>
      </w:r>
      <w:r>
        <w:t>Bone cells responsible for forming new bone tissue.</w:t>
      </w:r>
    </w:p>
    <w:p>
      <w:r>
        <w:rPr>
          <w:b/>
        </w:rPr>
        <w:t xml:space="preserve">Osteoporosis: </w:t>
      </w:r>
      <w:r>
        <w:t>A condition characterized by weak and brittle bones, increasing fracture risk.</w:t>
      </w:r>
    </w:p>
    <w:p>
      <w:r>
        <w:rPr>
          <w:b/>
        </w:rPr>
        <w:t xml:space="preserve">Selective Estrogen Receptor Modulators (SERMs): </w:t>
      </w:r>
      <w:r>
        <w:t>Drugs that mimic estrogen’s beneficial effects on bone without some of the risks linked to hormone therapy.</w:t>
      </w:r>
    </w:p>
    <w:p>
      <w:r>
        <w:rPr>
          <w:b/>
        </w:rPr>
        <w:t xml:space="preserve">Teriparatide: </w:t>
      </w:r>
      <w:r>
        <w:t>A parathyroid hormone analog used as an anabolic treatment that stimulates new bone formation.</w:t>
      </w:r>
    </w:p>
    <w:p>
      <w:r>
        <w:rPr>
          <w:b/>
        </w:rPr>
        <w:t xml:space="preserve">Bone Mineral Density (BMD): </w:t>
      </w:r>
      <w:r>
        <w:t>A measurement of the amount of mineral in bones, used to assess bone strength and fracture risk.</w:t>
      </w:r>
    </w:p>
    <w:p>
      <w:r>
        <w:rPr>
          <w:b/>
        </w:rPr>
        <w:t xml:space="preserve">Osteonecrosis of the Jaw (ONJ): </w:t>
      </w:r>
      <w:r>
        <w:t>A rare condition involving death of jawbone tissue, linked to certain bone medicines.</w:t>
      </w:r>
    </w:p>
    <w:p>
      <w:r>
        <w:rPr>
          <w:b/>
        </w:rPr>
        <w:t xml:space="preserve">Atypical Femoral Fractures (AFF): </w:t>
      </w:r>
      <w:r>
        <w:t>Rare fractures of the femur associated with prolonged bisphosphonate use, occurring with minimal trauma.</w:t>
      </w:r>
    </w:p>
    <w:p>
      <w:pPr>
        <w:pStyle w:val="Heading1"/>
      </w:pPr>
      <w:r>
        <w:t>Related Modules</w:t>
      </w:r>
    </w:p>
    <w:p>
      <w:pPr>
        <w:pStyle w:val="ListBullet"/>
      </w:pPr>
      <w:r>
        <w:t>MED-105 Osteoporosis</w:t>
      </w:r>
    </w:p>
    <w:p>
      <w:pPr>
        <w:pStyle w:val="ListBullet"/>
      </w:pPr>
      <w:r>
        <w:t>MED-130 Hormone Replacement Therapy</w:t>
      </w:r>
    </w:p>
    <w:p>
      <w:pPr>
        <w:pStyle w:val="ListBullet"/>
      </w:pPr>
      <w:r>
        <w:t>MED-115 Calcium and Vitamin D Supplementation</w:t>
      </w:r>
    </w:p>
    <w:p>
      <w:pPr>
        <w:pStyle w:val="Heading1"/>
      </w:pPr>
      <w:r>
        <w:t>Illustration Specifications</w:t>
      </w:r>
    </w:p>
    <w:p>
      <w:pPr>
        <w:pStyle w:val="Heading2"/>
      </w:pPr>
      <w:r>
        <w:t>ILLUS-BONE-01 - Bone Remodeling Cycle</w:t>
      </w:r>
    </w:p>
    <w:p>
      <w:r>
        <w:t>Type: Diagram</w:t>
      </w:r>
    </w:p>
    <w:p>
      <w:r>
        <w:t>Visual diagram illustrating the balance between osteoclast-mediated bone resorption and osteoblast-mediated bone formation in healthy bone remodeling.</w:t>
      </w:r>
    </w:p>
    <w:p>
      <w:r>
        <w:t>Alt text: Diagram showing osteoclasts breaking down bone and osteoblasts forming new bone.</w:t>
      </w:r>
    </w:p>
    <w:p>
      <w:pPr>
        <w:pStyle w:val="Heading2"/>
      </w:pPr>
      <w:r>
        <w:t>ILLUS-BONE-02 - Mechanism of Bisphosphonates</w:t>
      </w:r>
    </w:p>
    <w:p>
      <w:r>
        <w:t>Type: Mechanistic Diagram</w:t>
      </w:r>
    </w:p>
    <w:p>
      <w:r>
        <w:t>Illustration displaying how bisphosphonates bind to bone mineral and induce osteoclast apoptosis to reduce bone resorption.</w:t>
      </w:r>
    </w:p>
    <w:p>
      <w:r>
        <w:t>Alt text: Bisphosphonate molecules attaching to bone surface and osteoclast cell undergoing apoptosis.</w:t>
      </w:r>
    </w:p>
    <w:p>
      <w:pPr>
        <w:pStyle w:val="Heading2"/>
      </w:pPr>
      <w:r>
        <w:t>ILLUS-BONE-03 - Common Side Effects of Bone Medicines</w:t>
      </w:r>
    </w:p>
    <w:p>
      <w:r>
        <w:t>Type: Infographic</w:t>
      </w:r>
    </w:p>
    <w:p>
      <w:r>
        <w:t>Infographic summarizing typical and serious side effects associated with major classes of bone medicines for patient education.</w:t>
      </w:r>
    </w:p>
    <w:p>
      <w:r>
        <w:t>Alt text: Chart displaying side effects like GI upset, ONJ, and AFF associated with bone medications.</w:t>
      </w:r>
    </w:p>
    <w:p>
      <w:pPr>
        <w:pStyle w:val="Heading2"/>
      </w:pPr>
      <w:r>
        <w:t>ILLUS-BONE-04 - Monitoring Bone Health</w:t>
      </w:r>
    </w:p>
    <w:p>
      <w:r>
        <w:t>Type: Flowchart</w:t>
      </w:r>
    </w:p>
    <w:p>
      <w:r>
        <w:t>Flowchart outlining clinical monitoring strategies including bone mineral density testing, biochemical markers, and dental evaluations during bone medicine treatment.</w:t>
      </w:r>
    </w:p>
    <w:p>
      <w:r>
        <w:t>Alt text: Flowchart depicting steps of monitoring bone medicine safety such as DEXA scans and blood tests.</w:t>
      </w:r>
    </w:p>
    <w:p>
      <w:pPr>
        <w:pStyle w:val="Heading1"/>
      </w:pPr>
      <w:r>
        <w:t>References</w:t>
      </w:r>
    </w:p>
    <w:p>
      <w:pPr>
        <w:pStyle w:val="ListBullet"/>
      </w:pPr>
      <w:r>
        <w:t>2019 American College of Rheumatology Guideline for the Prevention and Treatment of Glucocorticoid-Induced Osteoporosis | American College of Rheumatology Guideline Committee | 2019 |  | Unverified</w:t>
      </w:r>
    </w:p>
    <w:p>
      <w:pPr>
        <w:pStyle w:val="ListBullet"/>
      </w:pPr>
      <w:r>
        <w:t>Osteoporosis in Postmenopausal Women: Treatment and Prevention | National Institute on Aging | 2021 | https://www.nia.nih.gov/health/osteoporosis | Unverified</w:t>
      </w:r>
    </w:p>
    <w:p>
      <w:pPr>
        <w:pStyle w:val="ListBullet"/>
      </w:pPr>
      <w:r>
        <w:t>Denosumab for the Prevention of Fractures in Postmenopausal Women with Osteoporosis | Cummings SR et al., NEJM | 2009 | DOI:10.1056/NEJMoa0809493 | Unverified</w:t>
      </w:r>
    </w:p>
    <w:p>
      <w:pPr>
        <w:pStyle w:val="ListBullet"/>
      </w:pPr>
      <w:r>
        <w:t>Safety of Long-Term Bisphosphonate Therapy for Osteoporosis | Whitaker M et al., NEJM | 2012 | DOI:10.1056/NEJMra1109485 | Unverified</w:t>
      </w:r>
    </w:p>
    <w:p>
      <w:pPr>
        <w:pStyle w:val="ListBullet"/>
      </w:pPr>
      <w:r>
        <w:t>Osteonecrosis of the Jaw and Bisphosphonate Use | Royal Osteoporosis Society | 2020 | https://theros.org.uk/healthcare-professionals/osteonecrosis-of-the-jaw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