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BEH-012 - Readiness to Change</w:t>
      </w:r>
    </w:p>
    <w:p>
      <w:r>
        <w:rPr>
          <w:i/>
        </w:rPr>
        <w:t>Evidence, mechanisms, and practical application of readiness to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Patients, Healthcare Providers, Behavioral Health Specialists,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Readiness to Change, Behavior Change, Motivation, Stages of Change, Health Behavior, Transtheoretical Model, Self-efficacy, Ambivalence, Motivational Interviewing, Behavioral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Readiness to change is a psychological and behavioral concept reflecting the extent to which an individual is prepared to initiate and sustain a change in health-related behaviors. It is a core construct in health psychology and behavior change theories, primarily rooted in the Transtheoretical Model (TTM), which outlines stages such as precontemplation, contemplation, preparation, action, and maintenance. Mechanistically, readiness involves cognitive, emotional, and motivational components that influence decision-making, self-efficacy beliefs, and perceived barriers or benefits to change. Readiness can be assessed through validated instruments like the Readiness to Change Questionnaire (RCQ) or through clinical interviews exploring an individual's motivation and confidence. Its practical relevance is significant in tailoring interventions: individuals more ready to change often respond better to action-oriented approaches, whereas those less ready may need motivational enhancement. Common synonyms or related terms include "motivation to change," "behavioral intention," and "change readiness." Limitations of readiness to change include variability over time, subjective interpretation, and the influence of external social and environmental factors, which means readiness is necessary but not sufficient alone for successful change. Safety in applying readiness concepts involves avoiding premature pressure on unready individuals, which can lead to resistance or relapse. Understanding and leveraging readiness to change enhances personalized behavior change strategies, improves engagement and outcomes, and supports sustainable health improvements.</w:t>
      </w:r>
    </w:p>
    <w:p>
      <w:pPr>
        <w:pStyle w:val="Heading1"/>
      </w:pPr>
      <w:r>
        <w:t>Customer Questions Answered</w:t>
      </w:r>
    </w:p>
    <w:p>
      <w:pPr>
        <w:pStyle w:val="ListBullet"/>
      </w:pPr>
      <w:r>
        <w:t>What does readiness to change mean in behavior change?</w:t>
      </w:r>
    </w:p>
    <w:p>
      <w:pPr>
        <w:pStyle w:val="ListBullet"/>
      </w:pPr>
      <w:r>
        <w:t>How is readiness to change measured?</w:t>
      </w:r>
    </w:p>
    <w:p>
      <w:pPr>
        <w:pStyle w:val="ListBullet"/>
      </w:pPr>
      <w:r>
        <w:t>What factors influence a person's readiness to change?</w:t>
      </w:r>
    </w:p>
    <w:p>
      <w:pPr>
        <w:pStyle w:val="ListBullet"/>
      </w:pPr>
      <w:r>
        <w:t>How does readiness to change affect health outcomes?</w:t>
      </w:r>
    </w:p>
    <w:p>
      <w:pPr>
        <w:pStyle w:val="ListBullet"/>
      </w:pPr>
      <w:r>
        <w:t>Can readiness to change be improved or increased?</w:t>
      </w:r>
    </w:p>
    <w:p>
      <w:pPr>
        <w:pStyle w:val="ListBullet"/>
      </w:pPr>
      <w:r>
        <w:t>What role does motivation play in readiness to change?</w:t>
      </w:r>
    </w:p>
    <w:p>
      <w:pPr>
        <w:pStyle w:val="ListBullet"/>
      </w:pPr>
      <w:r>
        <w:t>Are there different stages or levels of readiness?</w:t>
      </w:r>
    </w:p>
    <w:p>
      <w:pPr>
        <w:pStyle w:val="ListBullet"/>
      </w:pPr>
      <w:r>
        <w:t>How is the concept of readiness to change used in clinical practice?</w:t>
      </w:r>
    </w:p>
    <w:p>
      <w:pPr>
        <w:pStyle w:val="ListBullet"/>
      </w:pPr>
      <w:r>
        <w:t>What are the main theoretical models for readiness to change?</w:t>
      </w:r>
    </w:p>
    <w:p>
      <w:pPr>
        <w:pStyle w:val="ListBullet"/>
      </w:pPr>
      <w:r>
        <w:t>Can readiness to change predict success in quitting smoking or other habits?</w:t>
      </w:r>
    </w:p>
    <w:p>
      <w:pPr>
        <w:pStyle w:val="ListBullet"/>
      </w:pPr>
      <w:r>
        <w:t>What are common misconceptions about readiness to change?</w:t>
      </w:r>
    </w:p>
    <w:p>
      <w:pPr>
        <w:pStyle w:val="ListBullet"/>
      </w:pPr>
      <w:r>
        <w:t>Are there risks or safety concerns related to encouraging change in an unready individual?</w:t>
      </w:r>
    </w:p>
    <w:p>
      <w:pPr>
        <w:pStyle w:val="Heading1"/>
      </w:pPr>
      <w:r>
        <w:t>Learning Objectives</w:t>
      </w:r>
    </w:p>
    <w:p>
      <w:pPr>
        <w:pStyle w:val="ListBullet"/>
      </w:pPr>
      <w:r>
        <w:t>Define readiness to change and its key components.</w:t>
      </w:r>
    </w:p>
    <w:p>
      <w:pPr>
        <w:pStyle w:val="ListBullet"/>
      </w:pPr>
      <w:r>
        <w:t>Describe major theoretical models related to readiness to change, especially the Transtheoretical Model.</w:t>
      </w:r>
    </w:p>
    <w:p>
      <w:pPr>
        <w:pStyle w:val="ListBullet"/>
      </w:pPr>
      <w:r>
        <w:t>Explain mechanisms underlying readiness, including motivation and self-efficacy.</w:t>
      </w:r>
    </w:p>
    <w:p>
      <w:pPr>
        <w:pStyle w:val="ListBullet"/>
      </w:pPr>
      <w:r>
        <w:t>Identify tools and methods for assessing readiness to change.</w:t>
      </w:r>
    </w:p>
    <w:p>
      <w:pPr>
        <w:pStyle w:val="ListBullet"/>
      </w:pPr>
      <w:r>
        <w:t>Discuss the practical applications of readiness concepts in clinical and behavioral interventions.</w:t>
      </w:r>
    </w:p>
    <w:p>
      <w:pPr>
        <w:pStyle w:val="ListBullet"/>
      </w:pPr>
      <w:r>
        <w:t>Recognize limitations and contextual factors affecting readiness to change.</w:t>
      </w:r>
    </w:p>
    <w:p>
      <w:pPr>
        <w:pStyle w:val="ListBullet"/>
      </w:pPr>
      <w:r>
        <w:t>Clarify common misconceptions about readiness to change.</w:t>
      </w:r>
    </w:p>
    <w:p>
      <w:pPr>
        <w:pStyle w:val="ListBullet"/>
      </w:pPr>
      <w:r>
        <w:t>Understand safety considerations when working with varying readiness levels.</w:t>
      </w:r>
    </w:p>
    <w:p>
      <w:pPr>
        <w:pStyle w:val="Heading1"/>
      </w:pPr>
      <w:r>
        <w:t>Definition</w:t>
      </w:r>
    </w:p>
    <w:p>
      <w:r>
        <w:t>Readiness to change is the degree to which an individual is psychologically and behaviorally prepared to make a health-related behavior change, encompassing motivation, intention, confidence, and perceived ability to do so.</w:t>
      </w:r>
    </w:p>
    <w:p>
      <w:pPr>
        <w:pStyle w:val="Heading1"/>
      </w:pPr>
      <w:r>
        <w:t>Why This Matters</w:t>
      </w:r>
    </w:p>
    <w:p>
      <w:r>
        <w:t>Understanding readiness to change helps healthcare professionals and individuals tailor interventions to the person's current psychological state, enhancing the likelihood of successful and sustainable behavior change, reducing wasted effort or resistance, and improving health outcomes.</w:t>
      </w:r>
    </w:p>
    <w:p>
      <w:pPr>
        <w:pStyle w:val="Heading1"/>
      </w:pPr>
      <w:r>
        <w:t>Definition and Conceptual Overview of Readiness to Change</w:t>
      </w:r>
    </w:p>
    <w:p>
      <w:r>
        <w:t>Readiness to change is a multifaceted concept representing an individual's preparedness to modify behavior. It integrates cognitive awareness, emotional willingness, motivation, and behavioral intention toward adopting healthier habits or discontinuing harmful ones. This readiness is not binary but exists on a continuum or across stages, reflecting varying degrees of openness and commitment to change. The term is often interchangeable with 'motivation to change' or 'behavioral intention,' though readiness typically implies a more actionable state. Behavioral scientists primarily conceptualize readiness within the Transtheoretical Model, emphasizing that change unfolds through distinct, sequential stages rather than as an instantaneous event.</w:t>
      </w:r>
    </w:p>
    <w:p>
      <w:pPr>
        <w:pStyle w:val="Heading1"/>
      </w:pPr>
      <w:r>
        <w:t>Theoretical Models Underpinning Readiness to Change</w:t>
      </w:r>
    </w:p>
    <w:p>
      <w:r>
        <w:t>The Transtheoretical Model (TTM), developed by Prochaska and DiClemente, is the most influential framework for understanding readiness to change. It categorizes change into five stages: precontemplation (no intention to change), contemplation (considering change), preparation (planning change soon), action (actively changing), and maintenance (sustaining change). Other models include the Health Belief Model, which links readiness to perceptions of risk and benefits, and the Theory of Planned Behavior, which ties readiness to behavioral intentions influenced by attitudes, norms, and perceived control. These models provide theoretical bases for assessing and enhancing readiness in interventions.</w:t>
      </w:r>
    </w:p>
    <w:p>
      <w:pPr>
        <w:pStyle w:val="Heading1"/>
      </w:pPr>
      <w:r>
        <w:t>Mechanisms and Physiology Related to Readiness to Change</w:t>
      </w:r>
    </w:p>
    <w:p>
      <w:r>
        <w:t>Readiness to change involves intricate psychological mechanisms such as motivation, self-efficacy (belief in one's capacity to change), ambivalence (mixed feelings about change), and decision balance (weighing pros and cons). Neurobiological substrates implicated include prefrontal cortex networks responsible for executive function and self-regulation, limbic system activities related to reward processing and emotional responses, and dopaminergic pathways influencing motivation. Stress response and cognitive appraisal processes also modulate readiness by affecting emotional states and decision-making capabilities. Although direct physiological markers of readiness remain under investigation, these mechanisms collectively support the dynamic nature of readiness during behavior change.</w:t>
      </w:r>
    </w:p>
    <w:p>
      <w:pPr>
        <w:pStyle w:val="Heading1"/>
      </w:pPr>
      <w:r>
        <w:t>Assessment and Measurement of Readiness to Change</w:t>
      </w:r>
    </w:p>
    <w:p>
      <w:r>
        <w:t>Readiness to change is measured using a variety of validated tools and clinical assessment techniques. The Readiness to Change Questionnaire (RCQ) and the University of Rhode Island Change Assessment Scale (URICA) are commonly used self-report instruments that classify individuals into stages of change. Motivational interviewing techniques involve clinician-guided conversations to explore and enhance readiness. Behavioral intention scales and decisional balance sheets may also be applied. Assessment should be ongoing due to the mutable nature of readiness, and practitioners often combine quantitative and qualitative approaches to accurately gauge an individual's stage and motivational state.</w:t>
      </w:r>
    </w:p>
    <w:p>
      <w:pPr>
        <w:pStyle w:val="Heading1"/>
      </w:pPr>
      <w:r>
        <w:t>Practical Application of Readiness to Change in Clinical Settings</w:t>
      </w:r>
    </w:p>
    <w:p>
      <w:r>
        <w:t>In clinical and health promotion contexts, recognizing readiness to change guides the selection and timing of interventions. For those in the precontemplation stage, raising awareness and addressing ambivalence is critical, often employing motivational interviewing. Preparation and action stages call for supportive strategies such as goal-setting, skills training, and relapse prevention plans. Tailoring interventions to readiness levels improves patient engagement and treatment adherence. Additionally, readiness assessments help allocate resources efficiently and identify individuals requiring more intensive support or behavioral coaching.</w:t>
      </w:r>
    </w:p>
    <w:p>
      <w:pPr>
        <w:pStyle w:val="Heading1"/>
      </w:pPr>
      <w:r>
        <w:t>Evidence Supporting Readiness to Change as a Predictor of Behavior Change</w:t>
      </w:r>
    </w:p>
    <w:p>
      <w:r>
        <w:t>Empirical studies across diverse health behaviors—such as smoking cessation, physical activity adoption, dietary changes, and substance abuse treatment—demonstrate moderate to strong associations between higher readiness levels and successful behavior change. Meta-analyses support the utility of stage-based interventions aligned with readiness, yielding improved outcomes compared to non-tailored approaches. However, evidence also highlights variability, indicating readiness is a significant but not sole predictor of behavior change. Complex interactions with environmental, social, and psychological factors influence effectiveness, underscoring the necessity of comprehensive interventions.</w:t>
      </w:r>
    </w:p>
    <w:p>
      <w:pPr>
        <w:pStyle w:val="Heading1"/>
      </w:pPr>
      <w:r>
        <w:t>Limitations and Challenges in Applying Readiness to Change</w:t>
      </w:r>
    </w:p>
    <w:p>
      <w:r>
        <w:t>Several limitations affect readiness to change concepts and applications. Readiness is inherently dynamic, fluctuating with time and context, which complicates single-point assessments. Self-reported readiness may be biased by social desirability or lack of insight. Models like the TTM face criticism for oversimplifying complex behaviors and underestimating social determinants. Readiness alone does not guarantee sustained behavior change and must be integrated with skills development, environmental support, and coping strategies. Furthermore, evidence gaps exist regarding readiness application in diverse cultural and socio-economic populations, requiring cautious generalization.</w:t>
      </w:r>
    </w:p>
    <w:p>
      <w:pPr>
        <w:pStyle w:val="Heading1"/>
      </w:pPr>
      <w:r>
        <w:t>Common Misconceptions about Readiness to Change</w:t>
      </w:r>
    </w:p>
    <w:p>
      <w:r>
        <w:t>A frequent misconception is that individuals must reach a threshold of readiness before any change can occur; in reality, change can start even when readiness is low, often through external influences or immediate opportunities. Another is equating readiness exclusively with motivation, whereas readiness also involves confidence and planning. Some believe readiness is a fixed trait rather than a fluid state subject to intervention and evolution. Lastly, readiness to change is sometimes erroneously viewed as universally applicable without adjusting for individual differences or contextual factors, which limits effectiveness.</w:t>
      </w:r>
    </w:p>
    <w:p>
      <w:pPr>
        <w:pStyle w:val="Heading1"/>
      </w:pPr>
      <w:r>
        <w:t>Safety Considerations and Ethical Aspects</w:t>
      </w:r>
    </w:p>
    <w:p>
      <w:r>
        <w:t>Safety in employing readiness to change frameworks involves avoiding coercion or pressure to change before an individual is psychologically prepared, which can cause resistance, disengagement, or relapse. Ethical practice demands respecting autonomy and recognizing when to prioritize supportive rather than directive approaches. Monitoring emotional distress or adverse psychological reactions during readiness assessment is essential. Interventions should be culturally sensitive and individualized to avoid harm and ensure equitable access to supportive resources. Clinicians must balance encouragement with patience, fostering trust and resilience during the change process.</w:t>
      </w:r>
    </w:p>
    <w:p>
      <w:pPr>
        <w:pStyle w:val="Heading1"/>
      </w:pPr>
      <w:r>
        <w:t>Glossary of Key Terms Related to Readiness to Change</w:t>
      </w:r>
    </w:p>
    <w:p>
      <w:r>
        <w:t>Key terms related to readiness to change include motivation (the desire or willingness to change behavior), self-efficacy (belief in one's ability to succeed at change), ambivalence (mixed feelings about changing), stages of change (distinct phases individuals progress through during change), behavior intention (the cognitive decision to perform a behavior), and decisional balance (weighing pros and cons of change). Understanding these terms provides foundational language for discussing and applying readiness concepts in behavior change contexts.</w:t>
      </w:r>
    </w:p>
    <w:p>
      <w:pPr>
        <w:pStyle w:val="Heading1"/>
      </w:pPr>
      <w:r>
        <w:t>Illustrations Depicting Readiness to Change Concepts</w:t>
      </w:r>
    </w:p>
    <w:p>
      <w:r>
        <w:t>Visual representations can enhance understanding of readiness to change. Useful illustrations include a chart of the Transtheoretical Model's stages, a flow diagram of mechanisms like motivation and self-efficacy affecting readiness, sample assessment tools such as graphical scales for stage assessment, behavioral outcome data linked to readiness levels, and schematic of the neurobiological pathways involved in motivational processes. These visuals aid in communicating complex concepts to varied audiences and supporting educational efforts.</w:t>
      </w:r>
    </w:p>
    <w:p>
      <w:pPr>
        <w:pStyle w:val="Heading1"/>
      </w:pPr>
      <w:r>
        <w:t>Practical Guidance</w:t>
      </w:r>
    </w:p>
    <w:p>
      <w:pPr>
        <w:pStyle w:val="ListBullet"/>
      </w:pPr>
      <w:r>
        <w:t>Assess readiness to change regularly using validated tools to tailor interventions appropriately.</w:t>
      </w:r>
    </w:p>
    <w:p>
      <w:pPr>
        <w:pStyle w:val="ListBullet"/>
      </w:pPr>
      <w:r>
        <w:t>Use motivational interviewing techniques to explore and enhance readiness in ambivalent individuals.</w:t>
      </w:r>
    </w:p>
    <w:p>
      <w:pPr>
        <w:pStyle w:val="ListBullet"/>
      </w:pPr>
      <w:r>
        <w:t>Avoid pressuring individuals to change prematurely; respect their current stage.</w:t>
      </w:r>
    </w:p>
    <w:p>
      <w:pPr>
        <w:pStyle w:val="ListBullet"/>
      </w:pPr>
      <w:r>
        <w:t>Provide concrete support such as goal-setting and skill-building for those in preparation and action stages.</w:t>
      </w:r>
    </w:p>
    <w:p>
      <w:pPr>
        <w:pStyle w:val="ListBullet"/>
      </w:pPr>
      <w:r>
        <w:t>Incorporate social and environmental factors to support sustained change beyond readiness alone.</w:t>
      </w:r>
    </w:p>
    <w:p>
      <w:pPr>
        <w:pStyle w:val="ListBullet"/>
      </w:pPr>
      <w:r>
        <w:t>Use readiness assessments to prioritize resource allocation and personalize care plans.</w:t>
      </w:r>
    </w:p>
    <w:p>
      <w:pPr>
        <w:pStyle w:val="ListBullet"/>
      </w:pPr>
      <w:r>
        <w:t>Educate patients about the fluid nature of readiness, encouraging flexibility and persistence.</w:t>
      </w:r>
    </w:p>
    <w:p>
      <w:pPr>
        <w:pStyle w:val="ListBullet"/>
      </w:pPr>
      <w:r>
        <w:t>Remain sensitive to cultural, socioeconomic, and individual differences influencing readiness and change processes.</w:t>
      </w:r>
    </w:p>
    <w:p>
      <w:pPr>
        <w:pStyle w:val="Heading1"/>
      </w:pPr>
      <w:r>
        <w:t>Safety Notes</w:t>
      </w:r>
    </w:p>
    <w:p>
      <w:pPr>
        <w:pStyle w:val="ListBullet"/>
      </w:pPr>
      <w:r>
        <w:t>Do not coerce or unduly pressure individuals to change before they are ready to avoid psychological harm.</w:t>
      </w:r>
    </w:p>
    <w:p>
      <w:pPr>
        <w:pStyle w:val="ListBullet"/>
      </w:pPr>
      <w:r>
        <w:t>Monitor for emotional distress during readiness assessment and intervene if necessary.</w:t>
      </w:r>
    </w:p>
    <w:p>
      <w:pPr>
        <w:pStyle w:val="ListBullet"/>
      </w:pPr>
      <w:r>
        <w:t>Respect patient autonomy and informed consent throughout behavior change processes.</w:t>
      </w:r>
    </w:p>
    <w:p>
      <w:pPr>
        <w:pStyle w:val="ListBullet"/>
      </w:pPr>
      <w:r>
        <w:t>Tailor communication to avoid misunderstanding or alienation based on readiness level.</w:t>
      </w:r>
    </w:p>
    <w:p>
      <w:pPr>
        <w:pStyle w:val="ListBullet"/>
      </w:pPr>
      <w:r>
        <w:t>Ensure cultural competence when discussing readiness to change to maintain trust and efficacy.</w:t>
      </w:r>
    </w:p>
    <w:p>
      <w:pPr>
        <w:pStyle w:val="Heading1"/>
      </w:pPr>
      <w:r>
        <w:t>Common Misconceptions</w:t>
      </w:r>
    </w:p>
    <w:p>
      <w:r>
        <w:rPr>
          <w:b/>
        </w:rPr>
        <w:t xml:space="preserve">Misconception: </w:t>
      </w:r>
      <w:r>
        <w:t>Individuals must be fully ready before any change can occur.</w:t>
      </w:r>
    </w:p>
    <w:p>
      <w:r>
        <w:rPr>
          <w:b/>
        </w:rPr>
        <w:t xml:space="preserve">Reality: </w:t>
      </w:r>
      <w:r>
        <w:t>Change can begin even with low readiness, often catalyzed by external factors or immediate circumstances.</w:t>
      </w:r>
    </w:p>
    <w:p>
      <w:r>
        <w:rPr>
          <w:b/>
        </w:rPr>
        <w:t xml:space="preserve">Misconception: </w:t>
      </w:r>
      <w:r>
        <w:t>Readiness to change is the same as motivation.</w:t>
      </w:r>
    </w:p>
    <w:p>
      <w:r>
        <w:rPr>
          <w:b/>
        </w:rPr>
        <w:t xml:space="preserve">Reality: </w:t>
      </w:r>
      <w:r>
        <w:t>Readiness includes motivation but also confidence, planning, and intention to act.</w:t>
      </w:r>
    </w:p>
    <w:p>
      <w:r>
        <w:rPr>
          <w:b/>
        </w:rPr>
        <w:t xml:space="preserve">Misconception: </w:t>
      </w:r>
      <w:r>
        <w:t>Readiness is a fixed trait and cannot be modified.</w:t>
      </w:r>
    </w:p>
    <w:p>
      <w:r>
        <w:rPr>
          <w:b/>
        </w:rPr>
        <w:t xml:space="preserve">Reality: </w:t>
      </w:r>
      <w:r>
        <w:t>Readiness is dynamic and can be enhanced through interventions like motivational interviewing.</w:t>
      </w:r>
    </w:p>
    <w:p>
      <w:r>
        <w:rPr>
          <w:b/>
        </w:rPr>
        <w:t xml:space="preserve">Misconception: </w:t>
      </w:r>
      <w:r>
        <w:t>One-size-fits-all readiness interventions work equally for everyone.</w:t>
      </w:r>
    </w:p>
    <w:p>
      <w:r>
        <w:rPr>
          <w:b/>
        </w:rPr>
        <w:t xml:space="preserve">Reality: </w:t>
      </w:r>
      <w:r>
        <w:t>Readiness varies individually and contextually, requiring personalized approaches.</w:t>
      </w:r>
    </w:p>
    <w:p>
      <w:pPr>
        <w:pStyle w:val="Heading1"/>
      </w:pPr>
      <w:r>
        <w:t>Clinical Pearls</w:t>
      </w:r>
    </w:p>
    <w:p>
      <w:pPr>
        <w:pStyle w:val="ListNumber"/>
      </w:pPr>
      <w:r>
        <w:t>Regularly reassess readiness as it can fluctuate rapidly, impacting intervention success.</w:t>
      </w:r>
    </w:p>
    <w:p>
      <w:pPr>
        <w:pStyle w:val="ListNumber"/>
      </w:pPr>
      <w:r>
        <w:t>Motivational interviewing is an effective technique for enhancing readiness in ambivalent patients.</w:t>
      </w:r>
    </w:p>
    <w:p>
      <w:pPr>
        <w:pStyle w:val="ListNumber"/>
      </w:pPr>
      <w:r>
        <w:t>Tailoring behavioral interventions to readiness stage improves engagement and outcomes.</w:t>
      </w:r>
    </w:p>
    <w:p>
      <w:pPr>
        <w:pStyle w:val="ListNumber"/>
      </w:pPr>
      <w:r>
        <w:t>Avoid advancing interventions prematurely in unready individuals to prevent resistance.</w:t>
      </w:r>
    </w:p>
    <w:p>
      <w:pPr>
        <w:pStyle w:val="ListNumber"/>
      </w:pPr>
      <w:r>
        <w:t>Focus on building self-efficacy to boost readiness and maintain behavioral change.</w:t>
      </w:r>
    </w:p>
    <w:p>
      <w:pPr>
        <w:pStyle w:val="ListNumber"/>
      </w:pPr>
      <w:r>
        <w:t>Understand that external social supports are critical alongside individual readiness.</w:t>
      </w:r>
    </w:p>
    <w:p>
      <w:pPr>
        <w:pStyle w:val="ListNumber"/>
      </w:pPr>
      <w:r>
        <w:t>Use readiness assessments to inform, not dictate, clinical decision-making.</w:t>
      </w:r>
    </w:p>
    <w:p>
      <w:pPr>
        <w:pStyle w:val="ListNumber"/>
      </w:pPr>
      <w:r>
        <w:t>Educate patients on the non-linear and cyclical nature of readiness and change.</w:t>
      </w:r>
    </w:p>
    <w:p>
      <w:pPr>
        <w:pStyle w:val="Heading1"/>
      </w:pPr>
      <w:r>
        <w:t>Key Takeaways</w:t>
      </w:r>
    </w:p>
    <w:p>
      <w:pPr>
        <w:pStyle w:val="ListBullet"/>
      </w:pPr>
      <w:r>
        <w:t>Readiness to change is a continuum of cognitive, emotional, and motivational preparedness for behavior modification.</w:t>
      </w:r>
    </w:p>
    <w:p>
      <w:pPr>
        <w:pStyle w:val="ListBullet"/>
      </w:pPr>
      <w:r>
        <w:t>The Transtheoretical Model provides a widely accepted staging framework for readiness.</w:t>
      </w:r>
    </w:p>
    <w:p>
      <w:pPr>
        <w:pStyle w:val="ListBullet"/>
      </w:pPr>
      <w:r>
        <w:t>Motivation, self-efficacy, and decisional balance are core mechanisms influencing readiness.</w:t>
      </w:r>
    </w:p>
    <w:p>
      <w:pPr>
        <w:pStyle w:val="ListBullet"/>
      </w:pPr>
      <w:r>
        <w:t>Assessment tools like the RCQ help classify readiness levels for targeted intervention.</w:t>
      </w:r>
    </w:p>
    <w:p>
      <w:pPr>
        <w:pStyle w:val="ListBullet"/>
      </w:pPr>
      <w:r>
        <w:t>Tailored interventions respecting readiness improve efficacy and patient engagement.</w:t>
      </w:r>
    </w:p>
    <w:p>
      <w:pPr>
        <w:pStyle w:val="ListBullet"/>
      </w:pPr>
      <w:r>
        <w:t>Readiness is dynamic, influenced by internal states and external environments.</w:t>
      </w:r>
    </w:p>
    <w:p>
      <w:pPr>
        <w:pStyle w:val="ListBullet"/>
      </w:pPr>
      <w:r>
        <w:t>Misconceptions about readiness can hinder effective support and should be addressed.</w:t>
      </w:r>
    </w:p>
    <w:p>
      <w:pPr>
        <w:pStyle w:val="ListBullet"/>
      </w:pPr>
      <w:r>
        <w:t>Ethical and safety considerations include respecting autonomy and avoiding premature pressure.</w:t>
      </w:r>
    </w:p>
    <w:p>
      <w:pPr>
        <w:pStyle w:val="Heading1"/>
      </w:pPr>
      <w:r>
        <w:t>Glossary</w:t>
      </w:r>
    </w:p>
    <w:p>
      <w:r>
        <w:rPr>
          <w:b/>
        </w:rPr>
        <w:t xml:space="preserve">Readiness to Change: </w:t>
      </w:r>
      <w:r>
        <w:t>The psychological and behavioral state of being prepared to initiate and sustain a health behavior change.</w:t>
      </w:r>
    </w:p>
    <w:p>
      <w:r>
        <w:rPr>
          <w:b/>
        </w:rPr>
        <w:t xml:space="preserve">Transtheoretical Model (TTM): </w:t>
      </w:r>
      <w:r>
        <w:t>A model describing stages of change individuals go through when modifying behavior: precontemplation, contemplation, preparation, action, and maintenance.</w:t>
      </w:r>
    </w:p>
    <w:p>
      <w:r>
        <w:rPr>
          <w:b/>
        </w:rPr>
        <w:t xml:space="preserve">Motivation: </w:t>
      </w:r>
      <w:r>
        <w:t>The inner drive or desire that compels someone to initiate change.</w:t>
      </w:r>
    </w:p>
    <w:p>
      <w:r>
        <w:rPr>
          <w:b/>
        </w:rPr>
        <w:t xml:space="preserve">Self-efficacy: </w:t>
      </w:r>
      <w:r>
        <w:t>The belief in one’s capability to successfully perform behaviors required to produce desired outcomes.</w:t>
      </w:r>
    </w:p>
    <w:p>
      <w:r>
        <w:rPr>
          <w:b/>
        </w:rPr>
        <w:t xml:space="preserve">Ambivalence: </w:t>
      </w:r>
      <w:r>
        <w:t>Having mixed or contradictory feelings about changing a behavior.</w:t>
      </w:r>
    </w:p>
    <w:p>
      <w:r>
        <w:rPr>
          <w:b/>
        </w:rPr>
        <w:t xml:space="preserve">Behavioral Intention: </w:t>
      </w:r>
      <w:r>
        <w:t>A person’s stated plan or decision to perform a specific behavior in the near future.</w:t>
      </w:r>
    </w:p>
    <w:p>
      <w:r>
        <w:rPr>
          <w:b/>
        </w:rPr>
        <w:t xml:space="preserve">Decisional Balance: </w:t>
      </w:r>
      <w:r>
        <w:t>The process of weighing the pros and cons associated with changing behavior.</w:t>
      </w:r>
    </w:p>
    <w:p>
      <w:r>
        <w:rPr>
          <w:b/>
        </w:rPr>
        <w:t xml:space="preserve">Motivational Interviewing: </w:t>
      </w:r>
      <w:r>
        <w:t>A counseling approach designed to enhance motivation and resolve ambivalence to support readiness to change.</w:t>
      </w:r>
    </w:p>
    <w:p>
      <w:pPr>
        <w:pStyle w:val="Heading1"/>
      </w:pPr>
      <w:r>
        <w:t>Related Modules</w:t>
      </w:r>
    </w:p>
    <w:p>
      <w:pPr>
        <w:pStyle w:val="ListBullet"/>
      </w:pPr>
      <w:r>
        <w:t>BEH-005</w:t>
      </w:r>
    </w:p>
    <w:p>
      <w:pPr>
        <w:pStyle w:val="ListBullet"/>
      </w:pPr>
      <w:r>
        <w:t>BEH-009</w:t>
      </w:r>
    </w:p>
    <w:p>
      <w:pPr>
        <w:pStyle w:val="ListBullet"/>
      </w:pPr>
      <w:r>
        <w:t>BEH-014</w:t>
      </w:r>
    </w:p>
    <w:p>
      <w:pPr>
        <w:pStyle w:val="ListBullet"/>
      </w:pPr>
      <w:r>
        <w:t>BEH-020</w:t>
      </w:r>
    </w:p>
    <w:p>
      <w:pPr>
        <w:pStyle w:val="Heading1"/>
      </w:pPr>
      <w:r>
        <w:t>Illustration Specifications</w:t>
      </w:r>
    </w:p>
    <w:p>
      <w:pPr>
        <w:pStyle w:val="Heading2"/>
      </w:pPr>
      <w:r>
        <w:t>ILL-001 - Stages of Change Diagram</w:t>
      </w:r>
    </w:p>
    <w:p>
      <w:r>
        <w:t>Type: Flowchart</w:t>
      </w:r>
    </w:p>
    <w:p>
      <w:r>
        <w:t>A diagram illustrating the five stages of the Transtheoretical Model: precontemplation, contemplation, preparation, action, and maintenance.</w:t>
      </w:r>
    </w:p>
    <w:p>
      <w:r>
        <w:t>Alt text: Flowchart showing sequential stages from precontemplation to maintenance.</w:t>
      </w:r>
    </w:p>
    <w:p>
      <w:pPr>
        <w:pStyle w:val="Heading2"/>
      </w:pPr>
      <w:r>
        <w:t>ILL-002 - Readiness Mechanisms</w:t>
      </w:r>
    </w:p>
    <w:p>
      <w:r>
        <w:t>Type: Conceptual Diagram</w:t>
      </w:r>
    </w:p>
    <w:p>
      <w:r>
        <w:t>A schematic showing psychological and neurobiological mechanisms such as motivation, self-efficacy, and brain areas involved in readiness.</w:t>
      </w:r>
    </w:p>
    <w:p>
      <w:r>
        <w:t>Alt text: Diagram depicting brain areas and psychological factors influencing readiness to change.</w:t>
      </w:r>
    </w:p>
    <w:p>
      <w:pPr>
        <w:pStyle w:val="Heading2"/>
      </w:pPr>
      <w:r>
        <w:t>ILL-003 - Readiness Assessment Tools</w:t>
      </w:r>
    </w:p>
    <w:p>
      <w:r>
        <w:t>Type: Infographic</w:t>
      </w:r>
    </w:p>
    <w:p>
      <w:r>
        <w:t>An infographic presenting examples of readiness assessment tools like the RCQ and URICA with scoring interpretation.</w:t>
      </w:r>
    </w:p>
    <w:p>
      <w:r>
        <w:t>Alt text: Graphic showing questionnaire samples and readiness scoring guides.</w:t>
      </w:r>
    </w:p>
    <w:p>
      <w:pPr>
        <w:pStyle w:val="Heading2"/>
      </w:pPr>
      <w:r>
        <w:t>ILL-004 - Behavioral Outcomes vs. Readiness Levels</w:t>
      </w:r>
    </w:p>
    <w:p>
      <w:r>
        <w:t>Type: Bar Chart</w:t>
      </w:r>
    </w:p>
    <w:p>
      <w:r>
        <w:t>A bar chart comparing success rates in behavior change outcomes according to different readiness stages, based on meta-analytic data.</w:t>
      </w:r>
    </w:p>
    <w:p>
      <w:r>
        <w:t>Alt text: Bar chart comparing success percentages across readiness stages.</w:t>
      </w:r>
    </w:p>
    <w:p>
      <w:pPr>
        <w:pStyle w:val="Heading1"/>
      </w:pPr>
      <w:r>
        <w:t>References</w:t>
      </w:r>
    </w:p>
    <w:p>
      <w:pPr>
        <w:pStyle w:val="ListBullet"/>
      </w:pPr>
      <w:r>
        <w:t>Motivation and Stages of Change in Behavior Change Intervention Research | Prochaska JO, DiClemente CC | 1983 | Unverified | Unverified</w:t>
      </w:r>
    </w:p>
    <w:p>
      <w:pPr>
        <w:pStyle w:val="ListBullet"/>
      </w:pPr>
      <w:r>
        <w:t>The Transtheoretical Model and Stages of Change | DiClemente CC, Velasquez MM | 2002 | Unverified | Unverified</w:t>
      </w:r>
    </w:p>
    <w:p>
      <w:pPr>
        <w:pStyle w:val="ListBullet"/>
      </w:pPr>
      <w:r>
        <w:t>Assessing Readiness to Change: Implications for Health Promotion | Rollnick S, Heather N | 1992 | Unverified | Unverified</w:t>
      </w:r>
    </w:p>
    <w:p>
      <w:pPr>
        <w:pStyle w:val="ListBullet"/>
      </w:pPr>
      <w:r>
        <w:t>Motivational Interviewing: Helping People Change | Miller WR, Rollnick S | 2013 | Unverified | Unverified</w:t>
      </w:r>
    </w:p>
    <w:p>
      <w:pPr>
        <w:pStyle w:val="ListBullet"/>
      </w:pPr>
      <w:r>
        <w:t>Self-Efficacy and Health Behavior Change | Bandura A | 1997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