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AGE-032 - Osteopenia</w:t>
      </w:r>
    </w:p>
    <w:p>
      <w:r>
        <w:rPr>
          <w:i/>
        </w:rPr>
        <w:t>Prevention, evidence, practical actions, and safety related to osteopenia.</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Bone and Falls</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Older Adults, Caregivers, Healthcare Professionals</w:t>
            </w:r>
          </w:p>
        </w:tc>
      </w:tr>
      <w:tr>
        <w:tc>
          <w:tcPr>
            <w:tcW w:type="dxa" w:w="4968"/>
          </w:tcPr>
          <w:p>
            <w:r>
              <w:rPr>
                <w:b/>
              </w:rPr>
              <w:t>Reading level</w:t>
            </w:r>
          </w:p>
        </w:tc>
        <w:tc>
          <w:tcPr>
            <w:tcW w:type="dxa" w:w="4968"/>
          </w:tcPr>
          <w:p>
            <w:r>
              <w:t>Moderate</w:t>
            </w:r>
          </w:p>
        </w:tc>
      </w:tr>
      <w:tr>
        <w:tc>
          <w:tcPr>
            <w:tcW w:type="dxa" w:w="4968"/>
          </w:tcPr>
          <w:p>
            <w:r>
              <w:rPr>
                <w:b/>
              </w:rPr>
              <w:t>Keywords</w:t>
            </w:r>
          </w:p>
        </w:tc>
        <w:tc>
          <w:tcPr>
            <w:tcW w:type="dxa" w:w="4968"/>
          </w:tcPr>
          <w:p>
            <w:r>
              <w:t>Osteopenia, Bone Density, Bone Health, Prevention, Osteoporosis, Fracture Risk, Calcium, Vitamin D, Physical Activity, Bone Mineral Density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Osteopenia is a medical condition characterized by lower than normal bone mineral density (BMD) but not low enough to be classified as osteoporosis. It is often considered a precursor or early warning sign for osteoporosis, a condition associated with brittle bones and increased fracture risk. Osteopenia reflects a reduction in bone strength due to diminished bone mass and altered bone microarchitecture. Mechanistically, bone remodeling processes are imbalanced, with bone resorption outpacing bone formation. Bone mineral density is commonly assessed using dual-energy X-ray absorptiometry (DXA), and results are reported as T-scores; osteopenia corresponds to a T-score between -1.0 and -2.5. From a practical standpoint, identifying osteopenia is important to implement preventive strategies including lifestyle interventions such as optimizing calcium and vitamin D intake, engaging in weight-bearing and resistance exercise, and avoiding smoking and excessive alcohol consumption. These actions can slow bone loss and reduce fracture risk. Pharmaceutical treatment is generally reserved for individuals at high risk of progression to osteoporosis or fractures. Synonyms and related terms frequently used include 'low bone mass' and 'decreased bone density.' However, it is important to acknowledge limitations in diagnosis and intervention; not all with osteopenia will progress to osteoporosis or fractures, and some bone density variations occur naturally with aging. Safety considerations include avoiding excessive supplementation that may lead to adverse effects and tailoring exercise to individual capabilities. Overall, comprehensive management of osteopenia integrates evidence-based prevention and monitoring to support healthy aging and reduce fracture risk.</w:t>
      </w:r>
    </w:p>
    <w:p>
      <w:pPr>
        <w:pStyle w:val="Heading1"/>
      </w:pPr>
      <w:r>
        <w:t>Customer Questions Answered</w:t>
      </w:r>
    </w:p>
    <w:p>
      <w:pPr>
        <w:pStyle w:val="ListBullet"/>
      </w:pPr>
      <w:r>
        <w:t>What is osteopenia and how does it differ from osteoporosis?</w:t>
      </w:r>
    </w:p>
    <w:p>
      <w:pPr>
        <w:pStyle w:val="ListBullet"/>
      </w:pPr>
      <w:r>
        <w:t>What causes osteopenia?</w:t>
      </w:r>
    </w:p>
    <w:p>
      <w:pPr>
        <w:pStyle w:val="ListBullet"/>
      </w:pPr>
      <w:r>
        <w:t>How is osteopenia diagnosed?</w:t>
      </w:r>
    </w:p>
    <w:p>
      <w:pPr>
        <w:pStyle w:val="ListBullet"/>
      </w:pPr>
      <w:r>
        <w:t>What are the risks associated with osteopenia?</w:t>
      </w:r>
    </w:p>
    <w:p>
      <w:pPr>
        <w:pStyle w:val="ListBullet"/>
      </w:pPr>
      <w:r>
        <w:t>Can osteopenia be reversed or slowed down?</w:t>
      </w:r>
    </w:p>
    <w:p>
      <w:pPr>
        <w:pStyle w:val="ListBullet"/>
      </w:pPr>
      <w:r>
        <w:t>What lifestyle changes can help prevent osteopenia?</w:t>
      </w:r>
    </w:p>
    <w:p>
      <w:pPr>
        <w:pStyle w:val="ListBullet"/>
      </w:pPr>
      <w:r>
        <w:t>How does diet affect bone health and osteopenia?</w:t>
      </w:r>
    </w:p>
    <w:p>
      <w:pPr>
        <w:pStyle w:val="ListBullet"/>
      </w:pPr>
      <w:r>
        <w:t>What treatments are available for osteopenia?</w:t>
      </w:r>
    </w:p>
    <w:p>
      <w:pPr>
        <w:pStyle w:val="ListBullet"/>
      </w:pPr>
      <w:r>
        <w:t>Is medication necessary for osteopenia?</w:t>
      </w:r>
    </w:p>
    <w:p>
      <w:pPr>
        <w:pStyle w:val="ListBullet"/>
      </w:pPr>
      <w:r>
        <w:t>How does calcium and vitamin D supplementation influence osteopenia?</w:t>
      </w:r>
    </w:p>
    <w:p>
      <w:pPr>
        <w:pStyle w:val="ListBullet"/>
      </w:pPr>
      <w:r>
        <w:t>What types of exercise benefit people with osteopenia?</w:t>
      </w:r>
    </w:p>
    <w:p>
      <w:pPr>
        <w:pStyle w:val="ListBullet"/>
      </w:pPr>
      <w:r>
        <w:t>Are there any safety concerns with treating osteopenia?</w:t>
      </w:r>
    </w:p>
    <w:p>
      <w:pPr>
        <w:pStyle w:val="Heading1"/>
      </w:pPr>
      <w:r>
        <w:t>Learning Objectives</w:t>
      </w:r>
    </w:p>
    <w:p>
      <w:pPr>
        <w:pStyle w:val="ListBullet"/>
      </w:pPr>
      <w:r>
        <w:t>Understand the definition and clinical significance of osteopenia.</w:t>
      </w:r>
    </w:p>
    <w:p>
      <w:pPr>
        <w:pStyle w:val="ListBullet"/>
      </w:pPr>
      <w:r>
        <w:t>Explain the biological mechanisms leading to osteopenia.</w:t>
      </w:r>
    </w:p>
    <w:p>
      <w:pPr>
        <w:pStyle w:val="ListBullet"/>
      </w:pPr>
      <w:r>
        <w:t>Identify how osteopenia is diagnosed and measured.</w:t>
      </w:r>
    </w:p>
    <w:p>
      <w:pPr>
        <w:pStyle w:val="ListBullet"/>
      </w:pPr>
      <w:r>
        <w:t>Recognize lifestyle and dietary factors that impact osteopenia.</w:t>
      </w:r>
    </w:p>
    <w:p>
      <w:pPr>
        <w:pStyle w:val="ListBullet"/>
      </w:pPr>
      <w:r>
        <w:t>Describe evidence-based strategies to prevent progression of osteopenia.</w:t>
      </w:r>
    </w:p>
    <w:p>
      <w:pPr>
        <w:pStyle w:val="ListBullet"/>
      </w:pPr>
      <w:r>
        <w:t>Differentiate between osteopenia and osteoporosis.</w:t>
      </w:r>
    </w:p>
    <w:p>
      <w:pPr>
        <w:pStyle w:val="ListBullet"/>
      </w:pPr>
      <w:r>
        <w:t>Discuss the role and limitations of pharmaceutical treatments for osteopenia.</w:t>
      </w:r>
    </w:p>
    <w:p>
      <w:pPr>
        <w:pStyle w:val="ListBullet"/>
      </w:pPr>
      <w:r>
        <w:t>Understand common misconceptions and safety considerations related to osteopenia management.</w:t>
      </w:r>
    </w:p>
    <w:p>
      <w:pPr>
        <w:pStyle w:val="Heading1"/>
      </w:pPr>
      <w:r>
        <w:t>Definition</w:t>
      </w:r>
    </w:p>
    <w:p>
      <w:r>
        <w:t>Osteopenia is a condition defined by bone mineral density (BMD) that is lower than normal but not low enough to qualify as osteoporosis. It indicates mild bone loss and a potential increased risk for fractures but is distinct from more severe bone weakening found in osteoporosis.</w:t>
      </w:r>
    </w:p>
    <w:p>
      <w:pPr>
        <w:pStyle w:val="Heading1"/>
      </w:pPr>
      <w:r>
        <w:t>Why This Matters</w:t>
      </w:r>
    </w:p>
    <w:p>
      <w:r>
        <w:t>Early identification and management of osteopenia provide a critical opportunity to prevent or delay progression to osteoporosis and reduce the risk of fractures, which can cause significant morbidity, loss of independence, and higher healthcare costs in aging populations.</w:t>
      </w:r>
    </w:p>
    <w:p>
      <w:pPr>
        <w:pStyle w:val="Heading1"/>
      </w:pPr>
      <w:r>
        <w:t>What Is Osteopenia? Definition and Clinical Relevance</w:t>
      </w:r>
    </w:p>
    <w:p>
      <w:r>
        <w:t>Osteopenia refers to a state of reduced bone mineral density (BMD) that is often considered a precursor to osteoporosis. It is diagnosed when BMD measurements, typically obtained through dual-energy X-ray absorptiometry (DXA), yield T-scores between -1.0 and -2.5. Unlike osteoporosis, which involves critical bone weakening and broadly higher fracture risk, osteopenia represents a milder decrease in bone strength. Understanding osteopenia is clinically relevant because it allows earlier intervention to prevent progression to osteoporosis and related fractures.</w:t>
      </w:r>
    </w:p>
    <w:p>
      <w:pPr>
        <w:pStyle w:val="Heading1"/>
      </w:pPr>
      <w:r>
        <w:t>Bone Physiology and Mechanisms Underlying Osteopenia</w:t>
      </w:r>
    </w:p>
    <w:p>
      <w:r>
        <w:t>Bone is a dynamic tissue undergoing continuous remodeling via osteoclast-mediated resorption and osteoblast-mediated formation. Osteopenia occurs when this balance shifts toward increased bone resorption or decreased formation, resulting in net bone loss. Age-related hormonal changes (e.g., decreased estrogen in postmenopausal women), nutritional deficiencies, and certain medical conditions can disrupt this balance. Moreover, microarchitectural deterioration affects bone quality beyond density alone, influencing fracture risk.</w:t>
      </w:r>
    </w:p>
    <w:p>
      <w:pPr>
        <w:pStyle w:val="Heading1"/>
      </w:pPr>
      <w:r>
        <w:t>Diagnosis and Measurement: How Osteopenia Is Detected</w:t>
      </w:r>
    </w:p>
    <w:p>
      <w:r>
        <w:t>Osteopenia is primarily diagnosed through measurement of bone mineral density using dual-energy X-ray absorptiometry (DXA), the clinical gold standard. The DXA scan provides a T-score comparing the patient's BMD to a healthy young adult reference. Scores between -1.0 and -2.5 indicate osteopenia. Other tools may include fracture risk assessments like FRAX. However, BMD alone does not capture all fracture risk factors; clinical judgment is essential.</w:t>
      </w:r>
    </w:p>
    <w:p>
      <w:pPr>
        <w:pStyle w:val="Heading1"/>
      </w:pPr>
      <w:r>
        <w:t>Risk Factors That Contribute to Osteopenia</w:t>
      </w:r>
    </w:p>
    <w:p>
      <w:r>
        <w:t>Multiple factors increase the risk of developing osteopenia. Non-modifiable risks include aging, female sex, menopause, and family history of osteoporosis. Modifiable risks encompass inadequate dietary calcium and vitamin D, physical inactivity, smoking, excessive alcohol use, low body weight, and certain medications like corticosteroids. Chronic illnesses such as rheumatoid arthritis and gastrointestinal disorders affecting nutrient absorption may also contribute.</w:t>
      </w:r>
    </w:p>
    <w:p>
      <w:pPr>
        <w:pStyle w:val="Heading1"/>
      </w:pPr>
      <w:r>
        <w:t>Lifestyle Interventions: Nutrition and Exercise to Prevent Osteopenia</w:t>
      </w:r>
    </w:p>
    <w:p>
      <w:r>
        <w:t>A cornerstone of osteopenia prevention and management involves lifestyle changes that promote bone health. Adequate calcium intake (around 1000-1200 mg daily) and sufficient vitamin D (600-800 IU daily) support bone remodeling. Weight-bearing and resistance exercises stimulate bone formation and improve muscle strength, reducing fall and fracture risk. Avoidance of smoking and moderation of alcohol intake further protect bones. Consistency and personalization of these interventions are key for effectiveness.</w:t>
      </w:r>
    </w:p>
    <w:p>
      <w:pPr>
        <w:pStyle w:val="Heading1"/>
      </w:pPr>
      <w:r>
        <w:t>Pharmacological Treatments: When Are Medications Recommended?</w:t>
      </w:r>
    </w:p>
    <w:p>
      <w:r>
        <w:t>In general, pharmacological treatments for osteopenia are reserved for individuals at high fracture risk, such as those with previous fragility fractures, very low BMD near osteoporosis thresholds, or other risk factors. Approved medications include bisphosphonates, selective estrogen receptor modulators (SERMs), and others aimed at reducing bone resorption or stimulating formation. However, routine medication use for mild osteopenia without additional risk factors is not typically recommended because benefits may not outweigh risks.</w:t>
      </w:r>
    </w:p>
    <w:p>
      <w:pPr>
        <w:pStyle w:val="Heading1"/>
      </w:pPr>
      <w:r>
        <w:t>Differences and Similarities Between Osteopenia and Osteoporosis</w:t>
      </w:r>
    </w:p>
    <w:p>
      <w:r>
        <w:t>Osteopenia and osteoporosis are part of a spectrum of bone density loss. Osteopenia denotes mildly reduced bone density (T-score -1.0 to -2.5), whereas osteoporosis is diagnosed when T-score is at or below -2.5, indicating more severe mineral loss. Both conditions increase fracture risk but osteoporosis presents a significantly higher risk. Prevention strategies for both are similar but therapeutic urgency and treatment thresholds differ.</w:t>
      </w:r>
    </w:p>
    <w:p>
      <w:pPr>
        <w:pStyle w:val="Heading1"/>
      </w:pPr>
      <w:r>
        <w:t>Limitations and Uncertainties in Osteopenia Diagnosis and Prognosis</w:t>
      </w:r>
    </w:p>
    <w:p>
      <w:r>
        <w:t>While BMD is a convenient metric, it does not fully capture bone quality or fracture risk. Not all individuals with osteopenia will progress to osteoporosis or experience fractures. Inter-individual variation, measurement errors, and comorbidities complicate risk assessment. Emerging imaging modalities and biomarkers may improve risk stratification but are not yet standard. Therefore, clinical decisions should consider the overall patient context beyond BMD alone.</w:t>
      </w:r>
    </w:p>
    <w:p>
      <w:pPr>
        <w:pStyle w:val="Heading1"/>
      </w:pPr>
      <w:r>
        <w:t>Common Misconceptions About Osteopenia</w:t>
      </w:r>
    </w:p>
    <w:p>
      <w:r>
        <w:t>A frequent misconception is that osteopenia always progresses to osteoporosis; however, many individuals maintain stable bone density or improve with lifestyle changes. Another misunderstanding is equating osteopenia with unavoidable bone fragility—proper nutrition, exercise, and monitoring can greatly reduce risks. Some also mistakenly believe that medication is always necessary, though pharmacotherapy is typically reserved for higher-risk cases.</w:t>
      </w:r>
    </w:p>
    <w:p>
      <w:pPr>
        <w:pStyle w:val="Heading1"/>
      </w:pPr>
      <w:r>
        <w:t>Safety Considerations in Managing Osteopenia</w:t>
      </w:r>
    </w:p>
    <w:p>
      <w:r>
        <w:t>Management strategies for osteopenia are generally safe when appropriately applied. Excessive calcium supplementation carries risks such as kidney stones and cardiovascular concerns. Vitamin D overdosing can cause toxicity. Exercise should be tailored to individual physical capabilities to avoid injuries, especially in older adults. Medications when indicated require monitoring for side effects including gastrointestinal issues and rare skeletal complications. Patient education about safe practices promotes optimal outcomes.</w:t>
      </w:r>
    </w:p>
    <w:p>
      <w:pPr>
        <w:pStyle w:val="Heading1"/>
      </w:pPr>
      <w:r>
        <w:t>Monitoring and Follow-Up Strategies</w:t>
      </w:r>
    </w:p>
    <w:p>
      <w:r>
        <w:t>Regular monitoring of bone mineral density (usually every 1-2 years) helps assess progression or improvement of osteopenia. Clinical evaluation should include fracture risk assessment, review of lifestyle adherence, and medication side effect surveillance if applicable. Incorporating fall risk evaluations and addressing modifiable hazards is critical. Effective follow-up enables timely adjustment of interventions to maintain or improve bone health.</w:t>
      </w:r>
    </w:p>
    <w:p>
      <w:pPr>
        <w:pStyle w:val="Heading1"/>
      </w:pPr>
      <w:r>
        <w:t>Integrating Osteopenia Management into Healthy Aging</w:t>
      </w:r>
    </w:p>
    <w:p>
      <w:r>
        <w:t>Because osteopenia is common in aging populations, integrating its prevention and treatment within broader healthy aging practices is important. Encouraging physical activity, balanced diet, and management of chronic conditions supports overall musculoskeletal health. Education on bone health empowers individuals to take proactive steps. Early identification and interdisciplinary healthcare approaches can reduce the burden of fractures, preserving mobility and quality of life.</w:t>
      </w:r>
    </w:p>
    <w:p>
      <w:pPr>
        <w:pStyle w:val="Heading1"/>
      </w:pPr>
      <w:r>
        <w:t>Practical Guidance</w:t>
      </w:r>
    </w:p>
    <w:p>
      <w:pPr>
        <w:pStyle w:val="ListBullet"/>
      </w:pPr>
      <w:r>
        <w:t>Include a DXA bone density scan when risk factors for bone loss are present or during routine health assessments in older adults.</w:t>
      </w:r>
    </w:p>
    <w:p>
      <w:pPr>
        <w:pStyle w:val="ListBullet"/>
      </w:pPr>
      <w:r>
        <w:t>Encourage daily intake of calcium-rich foods such as dairy products, leafy greens, and fortified foods along with adequate vitamin D through sun exposure and diet.</w:t>
      </w:r>
    </w:p>
    <w:p>
      <w:pPr>
        <w:pStyle w:val="ListBullet"/>
      </w:pPr>
      <w:r>
        <w:t>Recommend regular weight-bearing and muscle-strengthening exercises tailored to individual capabilities, such as walking, resistance bands, and balance training.</w:t>
      </w:r>
    </w:p>
    <w:p>
      <w:pPr>
        <w:pStyle w:val="ListBullet"/>
      </w:pPr>
      <w:r>
        <w:t>Advise smoking cessation and moderate alcohol consumption as part of bone health management.</w:t>
      </w:r>
    </w:p>
    <w:p>
      <w:pPr>
        <w:pStyle w:val="ListBullet"/>
      </w:pPr>
      <w:r>
        <w:t>Use clinical risk assessment tools (e.g., FRAX) alongside DXA to inform decisions regarding pharmacologic treatment.</w:t>
      </w:r>
    </w:p>
    <w:p>
      <w:pPr>
        <w:pStyle w:val="ListBullet"/>
      </w:pPr>
      <w:r>
        <w:t>Discuss potential side effects and benefits of supplements and medications with patients to promote adherence and safety.</w:t>
      </w:r>
    </w:p>
    <w:p>
      <w:pPr>
        <w:pStyle w:val="ListBullet"/>
      </w:pPr>
      <w:r>
        <w:t>Monitor bone density and clinical risk factors periodically to evaluate intervention effectiveness and adjust management plans.</w:t>
      </w:r>
    </w:p>
    <w:p>
      <w:pPr>
        <w:pStyle w:val="ListBullet"/>
      </w:pPr>
      <w:r>
        <w:t>Promote fall prevention strategies including home safety assessments and assistive devices where appropriate.</w:t>
      </w:r>
    </w:p>
    <w:p>
      <w:pPr>
        <w:pStyle w:val="Heading1"/>
      </w:pPr>
      <w:r>
        <w:t>Safety Notes</w:t>
      </w:r>
    </w:p>
    <w:p>
      <w:pPr>
        <w:pStyle w:val="ListBullet"/>
      </w:pPr>
      <w:r>
        <w:t>Avoid excessive calcium supplementation beyond recommended daily allowances to reduce risk of kidney stones and cardiovascular issues.</w:t>
      </w:r>
    </w:p>
    <w:p>
      <w:pPr>
        <w:pStyle w:val="ListBullet"/>
      </w:pPr>
      <w:r>
        <w:t>Vitamin D supplementation should not exceed upper intake limits to prevent toxicity.</w:t>
      </w:r>
    </w:p>
    <w:p>
      <w:pPr>
        <w:pStyle w:val="ListBullet"/>
      </w:pPr>
      <w:r>
        <w:t>Exercise programs must be personalized to reduce risk of falls or musculoskeletal injury, especially in older or frail individuals.</w:t>
      </w:r>
    </w:p>
    <w:p>
      <w:pPr>
        <w:pStyle w:val="ListBullet"/>
      </w:pPr>
      <w:r>
        <w:t>Pharmacologic treatments require monitoring for adverse effects such as gastrointestinal discomfort or rare atypical fractures.</w:t>
      </w:r>
    </w:p>
    <w:p>
      <w:pPr>
        <w:pStyle w:val="ListBullet"/>
      </w:pPr>
      <w:r>
        <w:t>Ensure patients understand the importance of adherence to prescribed regimens and timely reporting of side effects.</w:t>
      </w:r>
    </w:p>
    <w:p>
      <w:pPr>
        <w:pStyle w:val="Heading1"/>
      </w:pPr>
      <w:r>
        <w:t>Common Misconceptions</w:t>
      </w:r>
    </w:p>
    <w:p>
      <w:r>
        <w:rPr>
          <w:b/>
        </w:rPr>
        <w:t xml:space="preserve">Misconception: </w:t>
      </w:r>
      <w:r>
        <w:t>Osteopenia always progresses to osteoporosis.</w:t>
      </w:r>
    </w:p>
    <w:p>
      <w:r>
        <w:rPr>
          <w:b/>
        </w:rPr>
        <w:t xml:space="preserve">Reality: </w:t>
      </w:r>
      <w:r>
        <w:t>Many people with osteopenia maintain stable bone density or improve with lifestyle interventions and do not develop osteoporosis.</w:t>
      </w:r>
    </w:p>
    <w:p>
      <w:r>
        <w:rPr>
          <w:b/>
        </w:rPr>
        <w:t xml:space="preserve">Misconception: </w:t>
      </w:r>
      <w:r>
        <w:t>Osteopenia means bones are very fragile and likely to break soon.</w:t>
      </w:r>
    </w:p>
    <w:p>
      <w:r>
        <w:rPr>
          <w:b/>
        </w:rPr>
        <w:t xml:space="preserve">Reality: </w:t>
      </w:r>
      <w:r>
        <w:t>Osteopenia indicates mild bone loss and increased risk but does not mean immediate or inevitable fractures.</w:t>
      </w:r>
    </w:p>
    <w:p>
      <w:r>
        <w:rPr>
          <w:b/>
        </w:rPr>
        <w:t xml:space="preserve">Misconception: </w:t>
      </w:r>
      <w:r>
        <w:t>Medication is always needed to treat osteopenia.</w:t>
      </w:r>
    </w:p>
    <w:p>
      <w:r>
        <w:rPr>
          <w:b/>
        </w:rPr>
        <w:t xml:space="preserve">Reality: </w:t>
      </w:r>
      <w:r>
        <w:t>Medications are usually recommended only for those at higher fracture risk; lifestyle measures are primary for many with osteopenia.</w:t>
      </w:r>
    </w:p>
    <w:p>
      <w:pPr>
        <w:pStyle w:val="Heading1"/>
      </w:pPr>
      <w:r>
        <w:t>Clinical Pearls</w:t>
      </w:r>
    </w:p>
    <w:p>
      <w:pPr>
        <w:pStyle w:val="ListNumber"/>
      </w:pPr>
      <w:r>
        <w:t>DXA scan T-score thresholds distinguish normal bone, osteopenia, and osteoporosis for diagnosis.</w:t>
      </w:r>
    </w:p>
    <w:p>
      <w:pPr>
        <w:pStyle w:val="ListNumber"/>
      </w:pPr>
      <w:r>
        <w:t>Calcium and vitamin D intake should be balanced and tailored based on dietary sources and sun exposure.</w:t>
      </w:r>
    </w:p>
    <w:p>
      <w:pPr>
        <w:pStyle w:val="ListNumber"/>
      </w:pPr>
      <w:r>
        <w:t>Weight-bearing and resistance exercise are key for stimulating bone formation and strength.</w:t>
      </w:r>
    </w:p>
    <w:p>
      <w:pPr>
        <w:pStyle w:val="ListNumber"/>
      </w:pPr>
      <w:r>
        <w:t>Smoking cessation and alcohol moderation are important modifiable factors for bone health.</w:t>
      </w:r>
    </w:p>
    <w:p>
      <w:pPr>
        <w:pStyle w:val="ListNumber"/>
      </w:pPr>
      <w:r>
        <w:t>Clinical risk assessment tools complement BMD measurements to guide treatment decisions.</w:t>
      </w:r>
    </w:p>
    <w:p>
      <w:pPr>
        <w:pStyle w:val="ListNumber"/>
      </w:pPr>
      <w:r>
        <w:t>Not all low bone density warrants pharmacologic intervention; individualized assessment is essential.</w:t>
      </w:r>
    </w:p>
    <w:p>
      <w:pPr>
        <w:pStyle w:val="ListNumber"/>
      </w:pPr>
      <w:r>
        <w:t>Monitoring bone density every 1-2 years provides feedback on management effectiveness.</w:t>
      </w:r>
    </w:p>
    <w:p>
      <w:pPr>
        <w:pStyle w:val="ListNumber"/>
      </w:pPr>
      <w:r>
        <w:t>Fall prevention measures are critical adjuncts to bone health to reduce fracture risk.</w:t>
      </w:r>
    </w:p>
    <w:p>
      <w:pPr>
        <w:pStyle w:val="Heading1"/>
      </w:pPr>
      <w:r>
        <w:t>Key Takeaways</w:t>
      </w:r>
    </w:p>
    <w:p>
      <w:pPr>
        <w:pStyle w:val="ListBullet"/>
      </w:pPr>
      <w:r>
        <w:t>Osteopenia is defined by bone mineral density T-scores between -1.0 and -2.5 and indicates mild bone loss.</w:t>
      </w:r>
    </w:p>
    <w:p>
      <w:pPr>
        <w:pStyle w:val="ListBullet"/>
      </w:pPr>
      <w:r>
        <w:t>It is a significant risk factor but not a disease guaranteeing fractures or osteoporosis progression.</w:t>
      </w:r>
    </w:p>
    <w:p>
      <w:pPr>
        <w:pStyle w:val="ListBullet"/>
      </w:pPr>
      <w:r>
        <w:t>Bone remodeling imbalance underlies osteopenia, influenced by aging, nutrition, and lifestyle.</w:t>
      </w:r>
    </w:p>
    <w:p>
      <w:pPr>
        <w:pStyle w:val="ListBullet"/>
      </w:pPr>
      <w:r>
        <w:t>Diagnosis relies on DXA scanning and clinical risk assessment tools like FRAX.</w:t>
      </w:r>
    </w:p>
    <w:p>
      <w:pPr>
        <w:pStyle w:val="ListBullet"/>
      </w:pPr>
      <w:r>
        <w:t>Adequate calcium and vitamin D, regular weight-bearing exercise, and lifestyle modifications help prevent progression.</w:t>
      </w:r>
    </w:p>
    <w:p>
      <w:pPr>
        <w:pStyle w:val="ListBullet"/>
      </w:pPr>
      <w:r>
        <w:t>Medications are reserved for high-risk individuals and require clinical evaluation.</w:t>
      </w:r>
    </w:p>
    <w:p>
      <w:pPr>
        <w:pStyle w:val="ListBullet"/>
      </w:pPr>
      <w:r>
        <w:t>Safety considerations include appropriate dosing of supplements and personalized exercise to avoid harm.</w:t>
      </w:r>
    </w:p>
    <w:p>
      <w:pPr>
        <w:pStyle w:val="ListBullet"/>
      </w:pPr>
      <w:r>
        <w:t>Regular monitoring and holistic management support healthy aging and reduced fracture risks.</w:t>
      </w:r>
    </w:p>
    <w:p>
      <w:pPr>
        <w:pStyle w:val="Heading1"/>
      </w:pPr>
      <w:r>
        <w:t>Glossary</w:t>
      </w:r>
    </w:p>
    <w:p>
      <w:r>
        <w:rPr>
          <w:b/>
        </w:rPr>
        <w:t xml:space="preserve">Osteopenia: </w:t>
      </w:r>
      <w:r>
        <w:t>Lower than normal bone mineral density, but not low enough to be classified as osteoporosis.</w:t>
      </w:r>
    </w:p>
    <w:p>
      <w:r>
        <w:rPr>
          <w:b/>
        </w:rPr>
        <w:t xml:space="preserve">Bone Mineral Density (BMD): </w:t>
      </w:r>
      <w:r>
        <w:t>A measurement of the concentration of minerals in the bones, used to assess bone strength.</w:t>
      </w:r>
    </w:p>
    <w:p>
      <w:r>
        <w:rPr>
          <w:b/>
        </w:rPr>
        <w:t xml:space="preserve">Dual-energy X-ray Absorptiometry (DXA): </w:t>
      </w:r>
      <w:r>
        <w:t>A scan that measures bone mineral density to diagnose osteopenia and osteoporosis.</w:t>
      </w:r>
    </w:p>
    <w:p>
      <w:r>
        <w:rPr>
          <w:b/>
        </w:rPr>
        <w:t xml:space="preserve">T-score: </w:t>
      </w:r>
      <w:r>
        <w:t>A score comparing a person’s bone density to that of a healthy young adult; used to classify bone status.</w:t>
      </w:r>
    </w:p>
    <w:p>
      <w:r>
        <w:rPr>
          <w:b/>
        </w:rPr>
        <w:t xml:space="preserve">Osteoporosis: </w:t>
      </w:r>
      <w:r>
        <w:t>A condition characterized by severe loss of bone density and increased risk of fractures.</w:t>
      </w:r>
    </w:p>
    <w:p>
      <w:r>
        <w:rPr>
          <w:b/>
        </w:rPr>
        <w:t xml:space="preserve">Bone Remodeling: </w:t>
      </w:r>
      <w:r>
        <w:t>The ongoing process where old bone tissue is replaced by new bone tissue.</w:t>
      </w:r>
    </w:p>
    <w:p>
      <w:r>
        <w:rPr>
          <w:b/>
        </w:rPr>
        <w:t xml:space="preserve">Fracture Risk Assessment Tool (FRAX): </w:t>
      </w:r>
      <w:r>
        <w:t>A calculator used to estimate an individual’s 10-year risk of bone fractures.</w:t>
      </w:r>
    </w:p>
    <w:p>
      <w:r>
        <w:rPr>
          <w:b/>
        </w:rPr>
        <w:t xml:space="preserve">Weight-bearing Exercise: </w:t>
      </w:r>
      <w:r>
        <w:t>Physical activities that make you move against gravity while staying upright, promoting bone strength.</w:t>
      </w:r>
    </w:p>
    <w:p>
      <w:pPr>
        <w:pStyle w:val="Heading1"/>
      </w:pPr>
      <w:r>
        <w:t>Related Modules</w:t>
      </w:r>
    </w:p>
    <w:p>
      <w:pPr>
        <w:pStyle w:val="ListBullet"/>
      </w:pPr>
      <w:r>
        <w:t>AGE-033-osteoporosis</w:t>
      </w:r>
    </w:p>
    <w:p>
      <w:pPr>
        <w:pStyle w:val="ListBullet"/>
      </w:pPr>
      <w:r>
        <w:t>AGE-034-falls-prevention</w:t>
      </w:r>
    </w:p>
    <w:p>
      <w:pPr>
        <w:pStyle w:val="ListBullet"/>
      </w:pPr>
      <w:r>
        <w:t>NUTR-027-vitamin-d</w:t>
      </w:r>
    </w:p>
    <w:p>
      <w:pPr>
        <w:pStyle w:val="ListBullet"/>
      </w:pPr>
      <w:r>
        <w:t>PHY-019-exercise-aging</w:t>
      </w:r>
    </w:p>
    <w:p>
      <w:pPr>
        <w:pStyle w:val="Heading1"/>
      </w:pPr>
      <w:r>
        <w:t>Illustration Specifications</w:t>
      </w:r>
    </w:p>
    <w:p>
      <w:pPr>
        <w:pStyle w:val="Heading2"/>
      </w:pPr>
      <w:r>
        <w:t>ILL-001 - Bone Remodeling Process</w:t>
      </w:r>
    </w:p>
    <w:p>
      <w:r>
        <w:t>Type: Diagram</w:t>
      </w:r>
    </w:p>
    <w:p>
      <w:r>
        <w:t>A detailed diagram showing the balance between osteoclast-mediated bone resorption and osteoblast-mediated bone formation.</w:t>
      </w:r>
    </w:p>
    <w:p>
      <w:r>
        <w:t>Alt text: Diagram illustrating bone remodeling with osteoclasts resorbing and osteoblasts forming bone.</w:t>
      </w:r>
    </w:p>
    <w:p>
      <w:pPr>
        <w:pStyle w:val="Heading2"/>
      </w:pPr>
      <w:r>
        <w:t>ILL-002 - DXA Scan T-score Interpretation</w:t>
      </w:r>
    </w:p>
    <w:p>
      <w:r>
        <w:t>Type: Infographic</w:t>
      </w:r>
    </w:p>
    <w:p>
      <w:r>
        <w:t>A visual chart explaining T-score ranges and their classification into normal, osteopenia, and osteoporosis categories.</w:t>
      </w:r>
    </w:p>
    <w:p>
      <w:r>
        <w:t>Alt text: Infographic showing bone density T-score ranges for normal, osteopenia, and osteoporosis.</w:t>
      </w:r>
    </w:p>
    <w:p>
      <w:pPr>
        <w:pStyle w:val="Heading2"/>
      </w:pPr>
      <w:r>
        <w:t>ILL-003 - Calcium and Vitamin D Sources</w:t>
      </w:r>
    </w:p>
    <w:p>
      <w:r>
        <w:t>Type: Graphic</w:t>
      </w:r>
    </w:p>
    <w:p>
      <w:r>
        <w:t>An illustration of dietary sources rich in calcium and vitamin D, including foods and sunlight exposure.</w:t>
      </w:r>
    </w:p>
    <w:p>
      <w:r>
        <w:t>Alt text: Graphic depicting foods like dairy, leafy greens, and sunlight symbolizing vitamin D synthesis.</w:t>
      </w:r>
    </w:p>
    <w:p>
      <w:pPr>
        <w:pStyle w:val="Heading2"/>
      </w:pPr>
      <w:r>
        <w:t>ILL-004 - Recommended Exercises for Bone Health</w:t>
      </w:r>
    </w:p>
    <w:p>
      <w:r>
        <w:t>Type: Photo Series</w:t>
      </w:r>
    </w:p>
    <w:p>
      <w:r>
        <w:t>Images depicting weight-bearing and resistance exercises beneficial for maintaining bone density in older adults.</w:t>
      </w:r>
    </w:p>
    <w:p>
      <w:r>
        <w:t>Alt text: Photos of older adults performing walking, resistance band exercise, and balance activities.</w:t>
      </w:r>
    </w:p>
    <w:p>
      <w:pPr>
        <w:pStyle w:val="Heading1"/>
      </w:pPr>
      <w:r>
        <w:t>References</w:t>
      </w:r>
    </w:p>
    <w:p>
      <w:pPr>
        <w:pStyle w:val="ListBullet"/>
      </w:pPr>
      <w:r>
        <w:t>Diagnosis and Management of Osteopenia and Osteoporosis | National Osteoporosis Foundation | 2022 | unverified | Unverified</w:t>
      </w:r>
    </w:p>
    <w:p>
      <w:pPr>
        <w:pStyle w:val="ListBullet"/>
      </w:pPr>
      <w:r>
        <w:t>Calcium and Vitamin D Supplementation and Bone Health | Institute of Medicine (US) | 2011 | unverified | Unverified</w:t>
      </w:r>
    </w:p>
    <w:p>
      <w:pPr>
        <w:pStyle w:val="ListBullet"/>
      </w:pPr>
      <w:r>
        <w:t>Exercise for Preventing and Treating Osteopenia and Osteoporosis in Older Adults | Cochrane Database Syst Rev | 2019 | unverified | Unverified</w:t>
      </w:r>
    </w:p>
    <w:p>
      <w:pPr>
        <w:pStyle w:val="ListBullet"/>
      </w:pPr>
      <w:r>
        <w:t>FRAX(R) Fracture Risk Assessment Tool | World Health Organization | 2008 | unverified | Unverified</w:t>
      </w:r>
    </w:p>
    <w:p>
      <w:pPr>
        <w:pStyle w:val="ListBullet"/>
      </w:pPr>
      <w:r>
        <w:t>Pharmacologic Management of Osteopenia: A Clinical Review | American Academy of Family Physicians | 2021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