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TEACHER-COACH AGREEMENT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Between KVegas Elite Inc, DBA Krown Academy (“School”) and the individual below (“Employee”).</w:t>
      </w:r>
    </w:p>
    <w:p>
      <w:pPr>
        <w:pStyle w:val="Heading1"/>
      </w:pPr>
      <w:r>
        <w:t xml:space="preserve">Employee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Position: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Roles (check all):    ☐ Teacher    ☐ Head Coach    ☐ Assistant Coach    ☐ Mentor    ☐ Sports Trainer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Date: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Type:    ☐ Full-Time    ☐ Part-Time    ☐ Stipend</w:t>
      </w:r>
    </w:p>
    <w:p>
      <w:pPr>
        <w:pStyle w:val="Heading1"/>
      </w:pPr>
      <w:r>
        <w:t xml:space="preserve">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Salary / Rate / Stipend: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 Frequency: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t xml:space="preserve">Dual-Role Expectations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Krown Academy, teachers serve as both classroom instructors and assistant coaches/mentors. This dual-role structure is core to our culture — students see the same trusted adults in the classroom, on the mat, and in mentoring sessions. The Employee agrees to fulfill both academic and athletic/mentoring duties as assigned by the Director.</w:t>
      </w:r>
    </w:p>
    <w:p>
      <w:pPr>
        <w:pStyle w:val="Heading1"/>
      </w:pPr>
      <w:r>
        <w:t xml:space="preserve">Academic Duties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 and guide student progress on Acellus digital curriculum. Provide direct instruction and small-group support. Administer daily exit tickets via Ticket Owl’d The Door. Maintain grade records and communicate with parents weekly.</w:t>
      </w:r>
    </w:p>
    <w:p>
      <w:pPr>
        <w:pStyle w:val="Heading1"/>
      </w:pPr>
      <w:r>
        <w:t xml:space="preserve">Athletic / Coaching Duties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Assist with wrestling practice or PE sessions. Supervise student-athletes during training and competition. Travel with team to tournaments including Prep Nationals. Maintain CPR/First Aid certification and complete concussion protocol training.</w:t>
      </w:r>
    </w:p>
    <w:p>
      <w:pPr>
        <w:pStyle w:val="Heading1"/>
      </w:pPr>
      <w:r>
        <w:t xml:space="preserve">Mentoring Duties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 as primary mentor for assigned students. Conduct weekly 1-on-1 mentor meetings. Participate in morning mindset sessions and group mentoring.</w:t>
      </w:r>
    </w:p>
    <w:p>
      <w:pPr>
        <w:pStyle w:val="Heading1"/>
      </w:pPr>
      <w:r>
        <w:t xml:space="preserve">Background Check &amp;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Employment contingent on background check. CPR/First Aid required. Report all injuries and safety concerns immediately.</w:t>
      </w:r>
    </w:p>
    <w:p>
      <w:pPr>
        <w:pStyle w:val="Heading1"/>
      </w:pPr>
      <w:r>
        <w:t xml:space="preserve">Confidentiality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Maintain confidentiality of student records, family information, and proprietary materials. Survives termination.</w:t>
      </w:r>
    </w:p>
    <w:p>
      <w:pPr>
        <w:pStyle w:val="Heading1"/>
      </w:pPr>
      <w:r>
        <w:t xml:space="preserve">At-Will Employment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At-will. 14 days notice. Immediate termination for cause.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Employee Signature                                                                  Date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Kendall Nelson, Director                                                          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2026-03-19T14:59:23.355Z</dcterms:created>
  <dcterms:modified xsi:type="dcterms:W3CDTF">2026-03-19T14:59:23.355Z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