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comments.xml" ContentType="application/vnd.openxmlformats-officedocument.wordprocessingml.comments+xml"/>
  <Override PartName="/word/media/image3.png" ContentType="image/png"/>
  <Override PartName="/word/media/image1.jpeg" ContentType="image/jpeg"/>
  <Override PartName="/word/media/image8.png" ContentType="image/png"/>
  <Override PartName="/word/media/image2.jpeg" ContentType="image/jpe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120" w:after="0"/>
        <w:jc w:val="right"/>
        <w:rPr>
          <w:rFonts w:ascii="Arial" w:hAnsi="Arial" w:cs="Arial"/>
          <w:sz w:val="20"/>
          <w:szCs w:val="20"/>
          <w:lang w:val="en-GB"/>
        </w:rPr>
      </w:pPr>
      <w:bookmarkStart w:id="0" w:name="_Hlk9330721"/>
      <w:bookmarkEnd w:id="0"/>
      <w:r>
        <w:drawing>
          <wp:anchor behindDoc="0" distT="0" distB="6350" distL="0" distR="114300" simplePos="0" locked="0" layoutInCell="1" allowOverlap="1" relativeHeight="4">
            <wp:simplePos x="0" y="0"/>
            <wp:positionH relativeFrom="margin">
              <wp:align>left</wp:align>
            </wp:positionH>
            <wp:positionV relativeFrom="paragraph">
              <wp:posOffset>635</wp:posOffset>
            </wp:positionV>
            <wp:extent cx="2936875" cy="1232535"/>
            <wp:effectExtent l="0" t="0" r="0" b="0"/>
            <wp:wrapTight wrapText="bothSides">
              <wp:wrapPolygon edited="0">
                <wp:start x="-26" y="0"/>
                <wp:lineTo x="-26" y="21351"/>
                <wp:lineTo x="21433" y="21351"/>
                <wp:lineTo x="21433" y="0"/>
                <wp:lineTo x="-26" y="0"/>
              </wp:wrapPolygon>
            </wp:wrapTight>
            <wp:docPr id="1" name="Imagem 1" descr="Resultado de imagem para university of manche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Resultado de imagem para university of manchester"/>
                    <pic:cNvPicPr>
                      <a:picLocks noChangeAspect="1" noChangeArrowheads="1"/>
                    </pic:cNvPicPr>
                  </pic:nvPicPr>
                  <pic:blipFill>
                    <a:blip r:embed="rId2"/>
                    <a:stretch>
                      <a:fillRect/>
                    </a:stretch>
                  </pic:blipFill>
                  <pic:spPr bwMode="auto">
                    <a:xfrm>
                      <a:off x="0" y="0"/>
                      <a:ext cx="2936875" cy="1232535"/>
                    </a:xfrm>
                    <a:prstGeom prst="rect">
                      <a:avLst/>
                    </a:prstGeom>
                  </pic:spPr>
                </pic:pic>
              </a:graphicData>
            </a:graphic>
          </wp:anchor>
        </w:drawing>
      </w:r>
      <w:r>
        <w:rPr>
          <w:rFonts w:cs="Arial" w:ascii="Arial" w:hAnsi="Arial"/>
          <w:sz w:val="20"/>
          <w:szCs w:val="20"/>
          <w:lang w:val="en-GB"/>
        </w:rPr>
        <w:t>1</w:t>
      </w:r>
      <w:r>
        <w:rPr>
          <w:rFonts w:cs="Arial" w:ascii="Arial" w:hAnsi="Arial"/>
          <w:sz w:val="20"/>
          <w:szCs w:val="20"/>
          <w:lang w:val="en-GB"/>
        </w:rPr>
        <w:t>0402542</w:t>
      </w:r>
    </w:p>
    <w:p>
      <w:pPr>
        <w:pStyle w:val="Normal"/>
        <w:spacing w:before="120" w:after="0"/>
        <w:jc w:val="right"/>
        <w:rPr>
          <w:rFonts w:ascii="Arial" w:hAnsi="Arial" w:cs="Arial"/>
          <w:sz w:val="20"/>
          <w:szCs w:val="20"/>
          <w:lang w:val="en-GB"/>
        </w:rPr>
      </w:pPr>
      <w:bookmarkStart w:id="1" w:name="_Hlk7000946"/>
      <w:bookmarkEnd w:id="1"/>
      <w:r>
        <w:rPr>
          <w:rFonts w:cs="Arial" w:ascii="Arial" w:hAnsi="Arial"/>
          <w:sz w:val="20"/>
          <w:szCs w:val="20"/>
          <w:lang w:val="en-GB"/>
        </w:rPr>
        <w:t>Erasmus Exchange Program</w:t>
      </w:r>
    </w:p>
    <w:p>
      <w:pPr>
        <w:pStyle w:val="Normal"/>
        <w:spacing w:before="120" w:after="0"/>
        <w:jc w:val="right"/>
        <w:rPr>
          <w:rFonts w:ascii="Arial" w:hAnsi="Arial" w:cs="Arial"/>
          <w:sz w:val="20"/>
          <w:szCs w:val="20"/>
          <w:lang w:val="en-GB"/>
        </w:rPr>
      </w:pPr>
      <w:r>
        <w:rPr>
          <w:rFonts w:cs="Arial" w:ascii="Arial" w:hAnsi="Arial"/>
          <w:sz w:val="20"/>
          <w:szCs w:val="20"/>
          <w:lang w:val="en-GB"/>
        </w:rPr>
        <w:t>Professor Andreas Prokop</w:t>
      </w:r>
    </w:p>
    <w:p>
      <w:pPr>
        <w:pStyle w:val="Normal"/>
        <w:spacing w:before="120" w:after="0"/>
        <w:jc w:val="right"/>
        <w:rPr>
          <w:rFonts w:ascii="Arial" w:hAnsi="Arial" w:cs="Arial"/>
          <w:lang w:val="en-GB"/>
        </w:rPr>
      </w:pPr>
      <w:r>
        <w:rPr>
          <w:rFonts w:cs="Arial" w:ascii="Arial" w:hAnsi="Arial"/>
          <w:lang w:val="en-GB"/>
        </w:rPr>
      </w:r>
    </w:p>
    <w:p>
      <w:pPr>
        <w:pStyle w:val="Normal"/>
        <w:spacing w:before="120" w:after="0"/>
        <w:jc w:val="right"/>
        <w:rPr>
          <w:rFonts w:ascii="Arial" w:hAnsi="Arial" w:cs="Arial"/>
          <w:lang w:val="en-GB"/>
        </w:rPr>
      </w:pPr>
      <w:r>
        <w:rPr>
          <w:rFonts w:cs="Arial" w:ascii="Arial" w:hAnsi="Arial"/>
          <w:lang w:val="en-GB"/>
        </w:rPr>
      </w:r>
    </w:p>
    <w:p>
      <w:pPr>
        <w:pStyle w:val="Normal"/>
        <w:spacing w:before="120" w:after="0"/>
        <w:jc w:val="center"/>
        <w:rPr>
          <w:rFonts w:ascii="Arial" w:hAnsi="Arial" w:cs="Arial"/>
          <w:lang w:val="en-GB"/>
        </w:rPr>
      </w:pPr>
      <w:r>
        <w:rPr>
          <w:rFonts w:cs="Arial" w:ascii="Arial" w:hAnsi="Arial"/>
          <w:lang w:val="en-GB"/>
        </w:rPr>
      </w:r>
    </w:p>
    <w:p>
      <w:pPr>
        <w:pStyle w:val="Normal"/>
        <w:spacing w:before="120" w:after="0"/>
        <w:jc w:val="center"/>
        <w:rPr>
          <w:rFonts w:ascii="Arial" w:hAnsi="Arial" w:cs="Arial"/>
          <w:lang w:val="en-GB"/>
        </w:rPr>
      </w:pPr>
      <w:r>
        <w:rPr>
          <w:rFonts w:cs="Arial" w:ascii="Arial" w:hAnsi="Arial"/>
          <w:lang w:val="en-GB"/>
        </w:rPr>
      </w:r>
    </w:p>
    <w:p>
      <w:pPr>
        <w:pStyle w:val="Normal"/>
        <w:spacing w:before="120" w:after="0"/>
        <w:jc w:val="center"/>
        <w:rPr>
          <w:rFonts w:ascii="Arial" w:hAnsi="Arial" w:cs="Arial"/>
          <w:b/>
          <w:b/>
          <w:bCs/>
          <w:sz w:val="32"/>
          <w:lang w:val="en-GB"/>
        </w:rPr>
      </w:pPr>
      <w:r>
        <w:rPr>
          <w:rFonts w:cs="Arial" w:ascii="Arial" w:hAnsi="Arial"/>
          <w:b/>
          <w:bCs/>
          <w:sz w:val="32"/>
          <w:lang w:val="en-GB"/>
        </w:rPr>
      </w:r>
    </w:p>
    <w:p>
      <w:pPr>
        <w:pStyle w:val="Normal"/>
        <w:spacing w:before="120" w:after="0"/>
        <w:jc w:val="center"/>
        <w:rPr>
          <w:rFonts w:ascii="Arial" w:hAnsi="Arial" w:cs="Arial"/>
          <w:b/>
          <w:b/>
          <w:lang w:val="en-GB"/>
        </w:rPr>
      </w:pPr>
      <w:r>
        <w:rPr>
          <w:rFonts w:cs="Arial" w:ascii="Arial" w:hAnsi="Arial"/>
          <w:b/>
          <w:lang w:val="en-GB"/>
        </w:rPr>
      </w:r>
    </w:p>
    <w:p>
      <w:pPr>
        <w:pStyle w:val="Normal"/>
        <w:spacing w:before="120" w:after="0"/>
        <w:jc w:val="center"/>
        <w:rPr>
          <w:rFonts w:ascii="Arial" w:hAnsi="Arial" w:cs="Arial"/>
          <w:b/>
          <w:b/>
          <w:sz w:val="40"/>
          <w:lang w:val="en-GB"/>
        </w:rPr>
      </w:pPr>
      <w:r>
        <w:rPr>
          <w:rFonts w:cs="Arial" w:ascii="Arial" w:hAnsi="Arial"/>
          <w:b/>
          <w:sz w:val="40"/>
          <w:lang w:val="en-GB"/>
        </w:rPr>
      </w:r>
    </w:p>
    <w:p>
      <w:pPr>
        <w:pStyle w:val="Normal"/>
        <w:spacing w:before="120" w:after="0"/>
        <w:jc w:val="center"/>
        <w:rPr>
          <w:rFonts w:ascii="Arial" w:hAnsi="Arial" w:cs="Arial"/>
          <w:b/>
          <w:b/>
          <w:sz w:val="40"/>
          <w:lang w:val="en-GB"/>
        </w:rPr>
      </w:pPr>
      <w:r>
        <w:rPr>
          <w:rFonts w:cs="Arial" w:ascii="Arial" w:hAnsi="Arial"/>
          <w:b/>
          <w:sz w:val="40"/>
          <w:lang w:val="en-GB"/>
        </w:rPr>
      </w:r>
    </w:p>
    <w:p>
      <w:pPr>
        <w:pStyle w:val="Normal"/>
        <w:spacing w:before="120" w:after="0"/>
        <w:jc w:val="center"/>
        <w:rPr>
          <w:rFonts w:ascii="Arial" w:hAnsi="Arial" w:cs="Arial"/>
          <w:b/>
          <w:b/>
          <w:sz w:val="40"/>
          <w:lang w:val="en-GB"/>
        </w:rPr>
      </w:pPr>
      <w:r>
        <w:rPr>
          <w:rFonts w:cs="Arial" w:ascii="Arial" w:hAnsi="Arial"/>
          <w:b/>
          <w:sz w:val="40"/>
          <w:lang w:val="en-GB"/>
        </w:rPr>
        <w:t xml:space="preserve">Seizure-like behaviours in </w:t>
      </w:r>
      <w:r>
        <w:rPr>
          <w:rFonts w:cs="Arial" w:ascii="Arial" w:hAnsi="Arial"/>
          <w:b/>
          <w:i/>
          <w:sz w:val="40"/>
          <w:lang w:val="en-GB"/>
        </w:rPr>
        <w:t>Drosophila</w:t>
      </w:r>
      <w:r>
        <w:rPr>
          <w:rFonts w:cs="Arial" w:ascii="Arial" w:hAnsi="Arial"/>
          <w:b/>
          <w:sz w:val="40"/>
          <w:lang w:val="en-GB"/>
        </w:rPr>
        <w:t xml:space="preserve"> induced by microtubule aberration</w:t>
      </w:r>
    </w:p>
    <w:p>
      <w:pPr>
        <w:pStyle w:val="Normal"/>
        <w:spacing w:before="120" w:after="0"/>
        <w:jc w:val="center"/>
        <w:rPr>
          <w:rFonts w:ascii="Arial" w:hAnsi="Arial" w:cs="Arial"/>
          <w:b/>
          <w:b/>
          <w:sz w:val="32"/>
          <w:lang w:val="en-GB"/>
        </w:rPr>
      </w:pPr>
      <w:r>
        <w:rPr>
          <w:rFonts w:cs="Arial" w:ascii="Arial" w:hAnsi="Arial"/>
          <w:b/>
          <w:sz w:val="32"/>
          <w:lang w:val="en-GB"/>
        </w:rPr>
      </w:r>
    </w:p>
    <w:p>
      <w:pPr>
        <w:pStyle w:val="Normal"/>
        <w:spacing w:before="120" w:after="0"/>
        <w:jc w:val="center"/>
        <w:rPr>
          <w:rFonts w:ascii="Arial" w:hAnsi="Arial" w:cs="Arial"/>
          <w:b/>
          <w:b/>
          <w:color w:val="FFFFFF" w:themeColor="background1"/>
          <w:sz w:val="32"/>
          <w:lang w:val="en-GB"/>
        </w:rPr>
      </w:pPr>
      <w:r>
        <w:rPr>
          <w:rFonts w:cs="Arial" w:ascii="Arial" w:hAnsi="Arial"/>
          <w:b/>
          <w:color w:val="FFFFFF" w:themeColor="background1"/>
          <w:sz w:val="32"/>
          <w:lang w:val="en-GB"/>
        </w:rPr>
      </w:r>
    </w:p>
    <w:p>
      <w:pPr>
        <w:pStyle w:val="Normal"/>
        <w:spacing w:before="120" w:after="0"/>
        <w:jc w:val="center"/>
        <w:rPr>
          <w:rFonts w:ascii="Arial" w:hAnsi="Arial" w:cs="Arial"/>
          <w:b/>
          <w:b/>
          <w:color w:val="FFFFFF" w:themeColor="background1"/>
          <w:sz w:val="32"/>
          <w:lang w:val="en-GB"/>
        </w:rPr>
      </w:pPr>
      <w:r>
        <w:rPr>
          <w:rFonts w:cs="Arial" w:ascii="Arial" w:hAnsi="Arial"/>
          <w:b/>
          <w:color w:val="FFFFFF" w:themeColor="background1"/>
          <w:sz w:val="32"/>
          <w:lang w:val="en-GB"/>
        </w:rPr>
      </w:r>
    </w:p>
    <w:p>
      <w:pPr>
        <w:pStyle w:val="Normal"/>
        <w:spacing w:before="120" w:after="0"/>
        <w:jc w:val="center"/>
        <w:rPr>
          <w:rFonts w:ascii="Arial" w:hAnsi="Arial" w:cs="Arial"/>
          <w:b/>
          <w:b/>
          <w:lang w:val="en-GB"/>
        </w:rPr>
      </w:pPr>
      <w:r>
        <w:rPr>
          <w:rFonts w:cs="Arial" w:ascii="Arial" w:hAnsi="Arial"/>
          <w:b/>
          <w:lang w:val="en-GB"/>
        </w:rPr>
      </w:r>
    </w:p>
    <w:p>
      <w:pPr>
        <w:pStyle w:val="Normal"/>
        <w:spacing w:before="120" w:after="0"/>
        <w:jc w:val="center"/>
        <w:rPr>
          <w:rFonts w:ascii="Arial" w:hAnsi="Arial" w:cs="Arial"/>
          <w:lang w:val="en-GB"/>
        </w:rPr>
      </w:pPr>
      <w:r>
        <w:rPr>
          <w:rFonts w:cs="Arial" w:ascii="Arial" w:hAnsi="Arial"/>
          <w:lang w:val="en-GB"/>
        </w:rPr>
        <w:drawing>
          <wp:anchor behindDoc="0" distT="0" distB="0" distL="114300" distR="114300" simplePos="0" locked="0" layoutInCell="1" allowOverlap="1" relativeHeight="6">
            <wp:simplePos x="0" y="0"/>
            <wp:positionH relativeFrom="margin">
              <wp:align>center</wp:align>
            </wp:positionH>
            <wp:positionV relativeFrom="paragraph">
              <wp:posOffset>13335</wp:posOffset>
            </wp:positionV>
            <wp:extent cx="3700145" cy="2552700"/>
            <wp:effectExtent l="0" t="0" r="0" b="0"/>
            <wp:wrapTight wrapText="bothSides">
              <wp:wrapPolygon edited="0">
                <wp:start x="-73" y="0"/>
                <wp:lineTo x="-73" y="21314"/>
                <wp:lineTo x="21452" y="21314"/>
                <wp:lineTo x="21452" y="0"/>
                <wp:lineTo x="-73" y="0"/>
              </wp:wrapPolygon>
            </wp:wrapTight>
            <wp:docPr id="2" name="Imagem 5" descr="Uma imagem com inseto, animal&#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5" descr="Uma imagem com inseto, animal&#10;&#10;Descrição gerada com confiança muito alta"/>
                    <pic:cNvPicPr>
                      <a:picLocks noChangeAspect="1" noChangeArrowheads="1"/>
                    </pic:cNvPicPr>
                  </pic:nvPicPr>
                  <pic:blipFill>
                    <a:blip r:embed="rId3"/>
                    <a:stretch>
                      <a:fillRect/>
                    </a:stretch>
                  </pic:blipFill>
                  <pic:spPr bwMode="auto">
                    <a:xfrm>
                      <a:off x="0" y="0"/>
                      <a:ext cx="3700145" cy="2552700"/>
                    </a:xfrm>
                    <a:prstGeom prst="rect">
                      <a:avLst/>
                    </a:prstGeom>
                  </pic:spPr>
                </pic:pic>
              </a:graphicData>
            </a:graphic>
          </wp:anchor>
        </w:drawing>
      </w:r>
    </w:p>
    <w:p>
      <w:pPr>
        <w:pStyle w:val="Normal"/>
        <w:spacing w:before="120" w:after="0"/>
        <w:jc w:val="center"/>
        <w:rPr>
          <w:rFonts w:ascii="Arial" w:hAnsi="Arial" w:cs="Arial"/>
          <w:lang w:val="en-GB"/>
        </w:rPr>
      </w:pPr>
      <w:r>
        <w:rPr>
          <w:rFonts w:cs="Arial" w:ascii="Arial" w:hAnsi="Arial"/>
          <w:lang w:val="en-GB"/>
        </w:rPr>
      </w:r>
    </w:p>
    <w:p>
      <w:pPr>
        <w:pStyle w:val="Normal"/>
        <w:spacing w:before="120" w:after="0"/>
        <w:jc w:val="center"/>
        <w:rPr>
          <w:rFonts w:ascii="Arial" w:hAnsi="Arial" w:cs="Arial"/>
          <w:lang w:val="en-GB"/>
        </w:rPr>
      </w:pPr>
      <w:r>
        <w:rPr>
          <w:rFonts w:cs="Arial" w:ascii="Arial" w:hAnsi="Arial"/>
          <w:lang w:val="en-GB"/>
        </w:rPr>
      </w:r>
    </w:p>
    <w:p>
      <w:pPr>
        <w:pStyle w:val="Normal"/>
        <w:spacing w:before="120" w:after="0"/>
        <w:jc w:val="center"/>
        <w:rPr>
          <w:rFonts w:ascii="Arial" w:hAnsi="Arial" w:cs="Arial"/>
          <w:lang w:val="en-GB"/>
        </w:rPr>
      </w:pPr>
      <w:r>
        <w:rPr>
          <w:rFonts w:cs="Arial" w:ascii="Arial" w:hAnsi="Arial"/>
          <w:lang w:val="en-GB"/>
        </w:rPr>
      </w:r>
    </w:p>
    <w:p>
      <w:pPr>
        <w:pStyle w:val="Normal"/>
        <w:spacing w:before="120" w:after="0"/>
        <w:jc w:val="center"/>
        <w:rPr>
          <w:rFonts w:ascii="Arial" w:hAnsi="Arial" w:cs="Arial"/>
          <w:lang w:val="en-GB"/>
        </w:rPr>
      </w:pPr>
      <w:r>
        <w:rPr>
          <w:rFonts w:cs="Arial" w:ascii="Arial" w:hAnsi="Arial"/>
          <w:lang w:val="en-GB"/>
        </w:rPr>
      </w:r>
    </w:p>
    <w:p>
      <w:pPr>
        <w:pStyle w:val="Normal"/>
        <w:spacing w:before="120" w:after="0"/>
        <w:jc w:val="center"/>
        <w:rPr>
          <w:rFonts w:ascii="Arial" w:hAnsi="Arial" w:cs="Arial"/>
          <w:lang w:val="en-GB"/>
        </w:rPr>
      </w:pPr>
      <w:r>
        <w:rPr>
          <w:rFonts w:cs="Arial" w:ascii="Arial" w:hAnsi="Arial"/>
          <w:lang w:val="en-GB"/>
        </w:rPr>
      </w:r>
    </w:p>
    <w:p>
      <w:pPr>
        <w:pStyle w:val="Normal"/>
        <w:spacing w:before="120" w:after="0"/>
        <w:jc w:val="center"/>
        <w:rPr>
          <w:rFonts w:ascii="Arial" w:hAnsi="Arial" w:cs="Arial"/>
          <w:lang w:val="en-GB"/>
        </w:rPr>
      </w:pPr>
      <w:r>
        <w:rPr>
          <w:rFonts w:cs="Arial" w:ascii="Arial" w:hAnsi="Arial"/>
          <w:lang w:val="en-GB"/>
        </w:rPr>
      </w:r>
    </w:p>
    <w:p>
      <w:pPr>
        <w:pStyle w:val="Normal"/>
        <w:spacing w:before="120" w:after="0"/>
        <w:jc w:val="center"/>
        <w:rPr>
          <w:rFonts w:ascii="Arial" w:hAnsi="Arial" w:cs="Arial"/>
          <w:lang w:val="en-GB"/>
        </w:rPr>
      </w:pPr>
      <w:r>
        <w:rPr>
          <w:rFonts w:cs="Arial" w:ascii="Arial" w:hAnsi="Arial"/>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spacing w:before="120" w:after="0"/>
        <w:rPr>
          <w:rFonts w:ascii="Arial" w:hAnsi="Arial" w:cs="Arial"/>
          <w:b/>
          <w:b/>
          <w:sz w:val="20"/>
          <w:szCs w:val="20"/>
          <w:u w:val="single"/>
          <w:lang w:val="en-GB"/>
        </w:rPr>
      </w:pPr>
      <w:r>
        <w:rPr>
          <w:rFonts w:cs="Arial" w:ascii="Arial" w:hAnsi="Arial"/>
          <w:b/>
          <w:sz w:val="20"/>
          <w:szCs w:val="20"/>
          <w:u w:val="single"/>
          <w:lang w:val="en-GB"/>
        </w:rPr>
        <w:t>Abstract</w:t>
      </w:r>
    </w:p>
    <w:p>
      <w:pPr>
        <w:pStyle w:val="Normal"/>
        <w:spacing w:lineRule="auto" w:line="360" w:before="120" w:after="0"/>
        <w:jc w:val="both"/>
        <w:rPr>
          <w:rFonts w:ascii="Arial" w:hAnsi="Arial" w:cs="Arial"/>
          <w:bCs/>
          <w:sz w:val="20"/>
          <w:szCs w:val="20"/>
          <w:lang w:val="en-GB"/>
        </w:rPr>
      </w:pPr>
      <w:r>
        <w:rPr>
          <w:rFonts w:cs="Arial" w:ascii="Arial" w:hAnsi="Arial"/>
          <w:sz w:val="20"/>
          <w:szCs w:val="20"/>
          <w:lang w:val="en-GB"/>
        </w:rPr>
        <w:t xml:space="preserve">Axons are the long cellular processes of neurons that act like electrical cables sending electrical messages to target neurons or cells. Axon development, structure, function and maintenance depend on the microtubule (MT) cytoskeleton, organised into parallel bundles by MT-regulatory proteins. Motor proteins, such as kinesins and dyneins are involved in the transport of cargo along these MT bundles. My study was based on previous findings that the </w:t>
      </w:r>
      <w:r>
        <w:rPr>
          <w:rFonts w:cs="Arial" w:ascii="Arial" w:hAnsi="Arial"/>
          <w:bCs/>
          <w:sz w:val="20"/>
          <w:szCs w:val="20"/>
          <w:lang w:val="en-GB"/>
        </w:rPr>
        <w:t xml:space="preserve">triple-heterozygous </w:t>
      </w:r>
      <w:r>
        <w:rPr>
          <w:rFonts w:cs="Arial" w:ascii="Arial" w:hAnsi="Arial"/>
          <w:i/>
          <w:sz w:val="20"/>
          <w:szCs w:val="20"/>
          <w:lang w:val="en-GB"/>
        </w:rPr>
        <w:t>Eb1</w:t>
      </w:r>
      <w:r>
        <w:rPr>
          <w:rFonts w:cs="Arial" w:ascii="Arial" w:hAnsi="Arial"/>
          <w:i/>
          <w:sz w:val="20"/>
          <w:szCs w:val="20"/>
          <w:vertAlign w:val="superscript"/>
          <w:lang w:val="en-GB"/>
        </w:rPr>
        <w:t>04524/+</w:t>
      </w:r>
      <w:r>
        <w:rPr>
          <w:rFonts w:cs="Arial" w:ascii="Arial" w:hAnsi="Arial"/>
          <w:i/>
          <w:sz w:val="20"/>
          <w:szCs w:val="20"/>
          <w:lang w:val="en-GB"/>
        </w:rPr>
        <w:t>msps</w:t>
      </w:r>
      <w:r>
        <w:rPr>
          <w:rFonts w:cs="Arial" w:ascii="Arial" w:hAnsi="Arial"/>
          <w:i/>
          <w:sz w:val="20"/>
          <w:szCs w:val="20"/>
          <w:vertAlign w:val="superscript"/>
          <w:lang w:val="en-GB"/>
        </w:rPr>
        <w:t>1/+</w:t>
      </w:r>
      <w:r>
        <w:rPr>
          <w:rFonts w:cs="Arial" w:ascii="Arial" w:hAnsi="Arial"/>
          <w:i/>
          <w:sz w:val="20"/>
          <w:szCs w:val="20"/>
          <w:lang w:val="en-GB"/>
        </w:rPr>
        <w:t>tau</w:t>
      </w:r>
      <w:r>
        <w:rPr>
          <w:rFonts w:cs="Arial" w:ascii="Arial" w:hAnsi="Arial"/>
          <w:i/>
          <w:sz w:val="20"/>
          <w:szCs w:val="20"/>
          <w:vertAlign w:val="superscript"/>
          <w:lang w:val="en-GB"/>
        </w:rPr>
        <w:t>ko/+</w:t>
      </w:r>
      <w:r>
        <w:rPr>
          <w:rFonts w:cs="Arial" w:ascii="Arial" w:hAnsi="Arial"/>
          <w:bCs/>
          <w:sz w:val="20"/>
          <w:szCs w:val="20"/>
          <w:lang w:val="en-GB"/>
        </w:rPr>
        <w:t xml:space="preserve"> </w:t>
      </w:r>
      <w:r>
        <w:rPr>
          <w:rFonts w:cs="Arial" w:ascii="Arial" w:hAnsi="Arial"/>
          <w:sz w:val="20"/>
          <w:szCs w:val="20"/>
          <w:lang w:val="en-GB"/>
        </w:rPr>
        <w:t xml:space="preserve">mutation affecting three very different MT-regulators and causing MT bundle aberrations in neurons of the fruit fly </w:t>
      </w:r>
      <w:r>
        <w:rPr>
          <w:rFonts w:cs="Arial" w:ascii="Arial" w:hAnsi="Arial"/>
          <w:i/>
          <w:sz w:val="20"/>
          <w:szCs w:val="20"/>
          <w:lang w:val="en-GB"/>
        </w:rPr>
        <w:t>Drosophila</w:t>
      </w:r>
      <w:r>
        <w:rPr>
          <w:rFonts w:cs="Arial" w:ascii="Arial" w:hAnsi="Arial"/>
          <w:sz w:val="20"/>
          <w:szCs w:val="20"/>
          <w:lang w:val="en-GB"/>
        </w:rPr>
        <w:t xml:space="preserve">, also </w:t>
      </w:r>
      <w:commentRangeStart w:id="0"/>
      <w:r>
        <w:rPr>
          <w:rFonts w:cs="Arial" w:ascii="Arial" w:hAnsi="Arial"/>
          <w:sz w:val="20"/>
          <w:szCs w:val="20"/>
          <w:lang w:val="en-GB"/>
        </w:rPr>
        <w:t>induce</w:t>
      </w:r>
      <w:r>
        <w:rPr>
          <w:rFonts w:cs="Arial" w:ascii="Arial" w:hAnsi="Arial"/>
          <w:sz w:val="20"/>
          <w:szCs w:val="20"/>
          <w:lang w:val="en-GB"/>
        </w:rPr>
      </w:r>
      <w:commentRangeEnd w:id="0"/>
      <w:r>
        <w:commentReference w:id="0"/>
      </w:r>
      <w:r>
        <w:rPr>
          <w:rFonts w:cs="Arial" w:ascii="Arial" w:hAnsi="Arial"/>
          <w:sz w:val="20"/>
          <w:szCs w:val="20"/>
          <w:lang w:val="en-GB"/>
        </w:rPr>
        <w:t xml:space="preserve"> epilepsy-like conditions. This opens up novel pathways to understand potential new causes underlying this common neurological disease affecting millions of people worldwide. The initial hypothesis for my project was that MT aberration might impair the transport of typical channel proteins linked to epilepsy, based on previous reports that mice lacking the </w:t>
      </w:r>
      <w:r>
        <w:rPr>
          <w:rFonts w:cs="Arial" w:ascii="Arial" w:hAnsi="Arial"/>
          <w:bCs/>
          <w:sz w:val="20"/>
          <w:szCs w:val="20"/>
          <w:lang w:val="en-GB"/>
        </w:rPr>
        <w:t>motor protein KIF5A show reduced GABA</w:t>
      </w:r>
      <w:r>
        <w:rPr>
          <w:rFonts w:cs="Arial" w:ascii="Arial" w:hAnsi="Arial"/>
          <w:bCs/>
          <w:sz w:val="20"/>
          <w:szCs w:val="20"/>
          <w:vertAlign w:val="subscript"/>
          <w:lang w:val="en-GB"/>
        </w:rPr>
        <w:t>A</w:t>
      </w:r>
      <w:r>
        <w:rPr>
          <w:rFonts w:cs="Arial" w:ascii="Arial" w:hAnsi="Arial"/>
          <w:bCs/>
          <w:sz w:val="20"/>
          <w:szCs w:val="20"/>
          <w:lang w:val="en-GB"/>
        </w:rPr>
        <w:t xml:space="preserve"> receptor transport and display epilepsy (Nakajima et al., 2012, Neuron 76, 945ff.).</w:t>
      </w:r>
      <w:r>
        <w:rPr>
          <w:rFonts w:cs="Arial" w:ascii="Arial" w:hAnsi="Arial"/>
          <w:sz w:val="20"/>
          <w:szCs w:val="20"/>
          <w:lang w:val="en-GB"/>
        </w:rPr>
        <w:t xml:space="preserve"> Inducing seizure with electroshocks and measuring recovery time as a readout for the severity of the condition,  I could demonstrate that</w:t>
      </w:r>
      <w:r>
        <w:rPr>
          <w:rFonts w:cs="Arial" w:ascii="Arial" w:hAnsi="Arial"/>
          <w:bCs/>
          <w:sz w:val="20"/>
          <w:szCs w:val="20"/>
          <w:lang w:val="en-GB"/>
        </w:rPr>
        <w:t xml:space="preserve"> </w:t>
      </w:r>
      <w:r>
        <w:rPr>
          <w:rFonts w:cs="Arial" w:ascii="Arial" w:hAnsi="Arial"/>
          <w:i/>
          <w:sz w:val="20"/>
          <w:szCs w:val="20"/>
          <w:lang w:val="en-GB"/>
        </w:rPr>
        <w:t>Eb1</w:t>
      </w:r>
      <w:r>
        <w:rPr>
          <w:rFonts w:cs="Arial" w:ascii="Arial" w:hAnsi="Arial"/>
          <w:i/>
          <w:sz w:val="20"/>
          <w:szCs w:val="20"/>
          <w:vertAlign w:val="superscript"/>
          <w:lang w:val="en-GB"/>
        </w:rPr>
        <w:t>04524/+</w:t>
      </w:r>
      <w:r>
        <w:rPr>
          <w:rFonts w:cs="Arial" w:ascii="Arial" w:hAnsi="Arial"/>
          <w:i/>
          <w:sz w:val="20"/>
          <w:szCs w:val="20"/>
          <w:lang w:val="en-GB"/>
        </w:rPr>
        <w:t>msps</w:t>
      </w:r>
      <w:r>
        <w:rPr>
          <w:rFonts w:cs="Arial" w:ascii="Arial" w:hAnsi="Arial"/>
          <w:i/>
          <w:sz w:val="20"/>
          <w:szCs w:val="20"/>
          <w:vertAlign w:val="superscript"/>
          <w:lang w:val="en-GB"/>
        </w:rPr>
        <w:t>1/+</w:t>
      </w:r>
      <w:r>
        <w:rPr>
          <w:rFonts w:cs="Arial" w:ascii="Arial" w:hAnsi="Arial"/>
          <w:i/>
          <w:sz w:val="20"/>
          <w:szCs w:val="20"/>
          <w:lang w:val="en-GB"/>
        </w:rPr>
        <w:t>tau</w:t>
      </w:r>
      <w:r>
        <w:rPr>
          <w:rFonts w:cs="Arial" w:ascii="Arial" w:hAnsi="Arial"/>
          <w:i/>
          <w:sz w:val="20"/>
          <w:szCs w:val="20"/>
          <w:vertAlign w:val="superscript"/>
          <w:lang w:val="en-GB"/>
        </w:rPr>
        <w:t>ko/+</w:t>
      </w:r>
      <w:r>
        <w:rPr>
          <w:rFonts w:cs="Arial" w:ascii="Arial" w:hAnsi="Arial"/>
          <w:bCs/>
          <w:sz w:val="20"/>
          <w:szCs w:val="20"/>
          <w:lang w:val="en-GB"/>
        </w:rPr>
        <w:t xml:space="preserve"> mutant larvae suffer from a seizure-like condition. The condition was significantly improved when applying commercial anti-epileptic drugs (AEDs), indicating</w:t>
      </w:r>
      <w:r>
        <w:rPr>
          <w:rFonts w:cs="Arial" w:ascii="Arial" w:hAnsi="Arial"/>
          <w:bCs/>
          <w:sz w:val="20"/>
          <w:szCs w:val="20"/>
          <w:lang w:val="en-GB"/>
        </w:rPr>
        <w:commentReference w:id="1"/>
      </w:r>
      <w:r>
        <w:rPr>
          <w:rFonts w:cs="Arial" w:ascii="Arial" w:hAnsi="Arial"/>
          <w:bCs/>
          <w:sz w:val="20"/>
          <w:szCs w:val="20"/>
          <w:lang w:val="en-GB"/>
        </w:rPr>
        <w:t xml:space="preserve"> typical epilepsy mechanisms to be involved. Furthermore, my experiments suggest MTs to be causative: the </w:t>
      </w:r>
      <w:r>
        <w:rPr>
          <w:rFonts w:cs="Arial" w:ascii="Arial" w:hAnsi="Arial"/>
          <w:i/>
          <w:sz w:val="20"/>
          <w:szCs w:val="20"/>
          <w:lang w:val="en-GB"/>
        </w:rPr>
        <w:t>Eb1</w:t>
      </w:r>
      <w:r>
        <w:rPr>
          <w:rFonts w:cs="Arial" w:ascii="Arial" w:hAnsi="Arial"/>
          <w:i/>
          <w:sz w:val="20"/>
          <w:szCs w:val="20"/>
          <w:vertAlign w:val="superscript"/>
          <w:lang w:val="en-GB"/>
        </w:rPr>
        <w:t>04524/+</w:t>
      </w:r>
      <w:r>
        <w:rPr>
          <w:rFonts w:cs="Arial" w:ascii="Arial" w:hAnsi="Arial"/>
          <w:i/>
          <w:sz w:val="20"/>
          <w:szCs w:val="20"/>
          <w:lang w:val="en-GB"/>
        </w:rPr>
        <w:t>msps</w:t>
      </w:r>
      <w:r>
        <w:rPr>
          <w:rFonts w:cs="Arial" w:ascii="Arial" w:hAnsi="Arial"/>
          <w:i/>
          <w:sz w:val="20"/>
          <w:szCs w:val="20"/>
          <w:vertAlign w:val="superscript"/>
          <w:lang w:val="en-GB"/>
        </w:rPr>
        <w:t>1/+</w:t>
      </w:r>
      <w:r>
        <w:rPr>
          <w:rFonts w:cs="Arial" w:ascii="Arial" w:hAnsi="Arial"/>
          <w:i/>
          <w:sz w:val="20"/>
          <w:szCs w:val="20"/>
          <w:lang w:val="en-GB"/>
        </w:rPr>
        <w:t>tau</w:t>
      </w:r>
      <w:r>
        <w:rPr>
          <w:rFonts w:cs="Arial" w:ascii="Arial" w:hAnsi="Arial"/>
          <w:i/>
          <w:sz w:val="20"/>
          <w:szCs w:val="20"/>
          <w:vertAlign w:val="superscript"/>
          <w:lang w:val="en-GB"/>
        </w:rPr>
        <w:t>ko/+</w:t>
      </w:r>
      <w:r>
        <w:rPr>
          <w:rFonts w:cs="Arial" w:ascii="Arial" w:hAnsi="Arial"/>
          <w:bCs/>
          <w:sz w:val="20"/>
          <w:szCs w:val="20"/>
          <w:lang w:val="en-GB"/>
        </w:rPr>
        <w:t xml:space="preserve"> mutant phenotype was improved by the MT-stabilising drug Epothilone B, and I could show that other conditions affecting MT regulation (tau</w:t>
      </w:r>
      <w:r>
        <w:rPr>
          <w:rFonts w:cs="Arial" w:ascii="Arial" w:hAnsi="Arial"/>
          <w:bCs/>
          <w:sz w:val="20"/>
          <w:szCs w:val="20"/>
          <w:vertAlign w:val="superscript"/>
          <w:lang w:val="en-GB"/>
        </w:rPr>
        <w:t>-/-</w:t>
      </w:r>
      <w:r>
        <w:rPr>
          <w:rFonts w:cs="Arial" w:ascii="Arial" w:hAnsi="Arial"/>
          <w:bCs/>
          <w:sz w:val="20"/>
          <w:szCs w:val="20"/>
          <w:lang w:val="en-GB"/>
        </w:rPr>
        <w:t>, Efa6</w:t>
      </w:r>
      <w:r>
        <w:rPr>
          <w:rFonts w:cs="Arial" w:ascii="Arial" w:hAnsi="Arial"/>
          <w:bCs/>
          <w:sz w:val="20"/>
          <w:szCs w:val="20"/>
          <w:vertAlign w:val="superscript"/>
          <w:lang w:val="en-GB"/>
        </w:rPr>
        <w:t>-/-</w:t>
      </w:r>
      <w:r>
        <w:rPr>
          <w:rFonts w:cs="Arial" w:ascii="Arial" w:hAnsi="Arial"/>
          <w:bCs/>
          <w:sz w:val="20"/>
          <w:szCs w:val="20"/>
          <w:lang w:val="en-GB"/>
        </w:rPr>
        <w:t xml:space="preserve">, pan-neuronal knock-down of Eb1) likewise cause seizure-like phenotypes. Knock-down of Eb1 in different neuron classes pinpointed </w:t>
      </w:r>
      <w:commentRangeStart w:id="2"/>
      <w:r>
        <w:rPr>
          <w:rFonts w:cs="Arial" w:ascii="Arial" w:hAnsi="Arial"/>
          <w:bCs/>
          <w:sz w:val="20"/>
          <w:szCs w:val="20"/>
          <w:lang w:val="en-GB"/>
        </w:rPr>
        <w:t>motorneurons</w:t>
      </w:r>
      <w:r>
        <w:rPr>
          <w:rFonts w:cs="Arial" w:ascii="Arial" w:hAnsi="Arial"/>
          <w:bCs/>
          <w:sz w:val="20"/>
          <w:szCs w:val="20"/>
          <w:lang w:val="en-GB"/>
        </w:rPr>
      </w:r>
      <w:commentRangeEnd w:id="2"/>
      <w:r>
        <w:commentReference w:id="2"/>
      </w:r>
      <w:r>
        <w:rPr>
          <w:rFonts w:cs="Arial" w:ascii="Arial" w:hAnsi="Arial"/>
          <w:bCs/>
          <w:sz w:val="20"/>
          <w:szCs w:val="20"/>
          <w:lang w:val="en-GB"/>
        </w:rPr>
        <w:t xml:space="preserve"> as the essential cells responsible for seizure induction. Furthermore, I found that loss of kinesin-1 (Khc) and -3 (Unc-104) and of the GABA</w:t>
      </w:r>
      <w:r>
        <w:rPr>
          <w:rFonts w:cs="Arial" w:ascii="Arial" w:hAnsi="Arial"/>
          <w:bCs/>
          <w:sz w:val="20"/>
          <w:szCs w:val="20"/>
          <w:vertAlign w:val="subscript"/>
          <w:lang w:val="en-GB"/>
        </w:rPr>
        <w:t>A</w:t>
      </w:r>
      <w:r>
        <w:rPr>
          <w:rFonts w:cs="Arial" w:ascii="Arial" w:hAnsi="Arial"/>
          <w:bCs/>
          <w:sz w:val="20"/>
          <w:szCs w:val="20"/>
          <w:lang w:val="en-GB"/>
        </w:rPr>
        <w:t xml:space="preserve"> receptor (Rdl) all cause seizure-like conditions, </w:t>
      </w:r>
      <w:commentRangeStart w:id="3"/>
      <w:r>
        <w:rPr>
          <w:rFonts w:cs="Arial" w:ascii="Arial" w:hAnsi="Arial"/>
          <w:bCs/>
          <w:sz w:val="20"/>
          <w:szCs w:val="20"/>
          <w:lang w:val="en-GB"/>
        </w:rPr>
        <w:t>consistent</w:t>
      </w:r>
      <w:r>
        <w:rPr>
          <w:rFonts w:cs="Arial" w:ascii="Arial" w:hAnsi="Arial"/>
          <w:bCs/>
          <w:sz w:val="20"/>
          <w:szCs w:val="20"/>
          <w:lang w:val="en-GB"/>
        </w:rPr>
      </w:r>
      <w:commentRangeEnd w:id="3"/>
      <w:r>
        <w:commentReference w:id="3"/>
      </w:r>
      <w:r>
        <w:rPr>
          <w:rFonts w:cs="Arial" w:ascii="Arial" w:hAnsi="Arial"/>
          <w:bCs/>
          <w:sz w:val="20"/>
          <w:szCs w:val="20"/>
          <w:lang w:val="en-GB"/>
        </w:rPr>
        <w:t xml:space="preserve"> with my original hypothesis. However, further experiments failed to deliver ultimate proof: Firstly, only the </w:t>
      </w:r>
      <w:r>
        <w:rPr>
          <w:rFonts w:cs="Arial" w:ascii="Arial" w:hAnsi="Arial"/>
          <w:bCs/>
          <w:i/>
          <w:sz w:val="20"/>
          <w:szCs w:val="20"/>
          <w:lang w:val="en-GB"/>
        </w:rPr>
        <w:t>Rdl</w:t>
      </w:r>
      <w:r>
        <w:rPr>
          <w:rFonts w:cs="Arial" w:ascii="Arial" w:hAnsi="Arial"/>
          <w:bCs/>
          <w:sz w:val="20"/>
          <w:szCs w:val="20"/>
          <w:lang w:val="en-GB"/>
        </w:rPr>
        <w:t xml:space="preserve"> mutation in heterozygosis showed a genetic interaction with </w:t>
      </w:r>
      <w:r>
        <w:rPr>
          <w:rFonts w:cs="Arial" w:ascii="Arial" w:hAnsi="Arial"/>
          <w:i/>
          <w:sz w:val="20"/>
          <w:szCs w:val="20"/>
          <w:lang w:val="en-GB"/>
        </w:rPr>
        <w:t>msps</w:t>
      </w:r>
      <w:r>
        <w:rPr>
          <w:rFonts w:cs="Arial" w:ascii="Arial" w:hAnsi="Arial"/>
          <w:i/>
          <w:sz w:val="20"/>
          <w:szCs w:val="20"/>
          <w:vertAlign w:val="superscript"/>
          <w:lang w:val="en-GB"/>
        </w:rPr>
        <w:t>1/+</w:t>
      </w:r>
      <w:r>
        <w:rPr>
          <w:rFonts w:cs="Arial" w:ascii="Arial" w:hAnsi="Arial"/>
          <w:i/>
          <w:sz w:val="20"/>
          <w:szCs w:val="20"/>
          <w:lang w:val="en-GB"/>
        </w:rPr>
        <w:t>tau</w:t>
      </w:r>
      <w:r>
        <w:rPr>
          <w:rFonts w:cs="Arial" w:ascii="Arial" w:hAnsi="Arial"/>
          <w:i/>
          <w:sz w:val="20"/>
          <w:szCs w:val="20"/>
          <w:vertAlign w:val="superscript"/>
          <w:lang w:val="en-GB"/>
        </w:rPr>
        <w:t>ko/+</w:t>
      </w:r>
      <w:r>
        <w:rPr>
          <w:rFonts w:cs="Arial" w:ascii="Arial" w:hAnsi="Arial"/>
          <w:bCs/>
          <w:sz w:val="20"/>
          <w:szCs w:val="20"/>
          <w:lang w:val="en-GB"/>
        </w:rPr>
        <w:t xml:space="preserve">, but not the two kinesin mutations. Secondly, Rdl localisation in dendrites of </w:t>
      </w:r>
      <w:commentRangeStart w:id="4"/>
      <w:r>
        <w:rPr>
          <w:rFonts w:cs="Arial" w:ascii="Arial" w:hAnsi="Arial"/>
          <w:bCs/>
          <w:sz w:val="20"/>
          <w:szCs w:val="20"/>
          <w:lang w:val="en-GB"/>
        </w:rPr>
        <w:t>motorneurons</w:t>
      </w:r>
      <w:r>
        <w:rPr>
          <w:rFonts w:cs="Arial" w:ascii="Arial" w:hAnsi="Arial"/>
          <w:bCs/>
          <w:sz w:val="20"/>
          <w:szCs w:val="20"/>
          <w:lang w:val="en-GB"/>
        </w:rPr>
      </w:r>
      <w:commentRangeEnd w:id="4"/>
      <w:r>
        <w:commentReference w:id="4"/>
      </w:r>
      <w:r>
        <w:rPr>
          <w:rFonts w:cs="Arial" w:ascii="Arial" w:hAnsi="Arial"/>
          <w:bCs/>
          <w:sz w:val="20"/>
          <w:szCs w:val="20"/>
          <w:lang w:val="en-GB"/>
        </w:rPr>
        <w:t xml:space="preserve"> seemed unaffected in </w:t>
      </w:r>
      <w:r>
        <w:rPr>
          <w:rFonts w:cs="Arial" w:ascii="Arial" w:hAnsi="Arial"/>
          <w:i/>
          <w:sz w:val="20"/>
          <w:szCs w:val="20"/>
          <w:lang w:val="en-GB"/>
        </w:rPr>
        <w:t>Eb1</w:t>
      </w:r>
      <w:r>
        <w:rPr>
          <w:rFonts w:cs="Arial" w:ascii="Arial" w:hAnsi="Arial"/>
          <w:i/>
          <w:sz w:val="20"/>
          <w:szCs w:val="20"/>
          <w:vertAlign w:val="superscript"/>
          <w:lang w:val="en-GB"/>
        </w:rPr>
        <w:t>04524/+</w:t>
      </w:r>
      <w:r>
        <w:rPr>
          <w:rFonts w:cs="Arial" w:ascii="Arial" w:hAnsi="Arial"/>
          <w:i/>
          <w:sz w:val="20"/>
          <w:szCs w:val="20"/>
          <w:lang w:val="en-GB"/>
        </w:rPr>
        <w:t>msps</w:t>
      </w:r>
      <w:r>
        <w:rPr>
          <w:rFonts w:cs="Arial" w:ascii="Arial" w:hAnsi="Arial"/>
          <w:i/>
          <w:sz w:val="20"/>
          <w:szCs w:val="20"/>
          <w:vertAlign w:val="superscript"/>
          <w:lang w:val="en-GB"/>
        </w:rPr>
        <w:t>1/+</w:t>
      </w:r>
      <w:r>
        <w:rPr>
          <w:rFonts w:cs="Arial" w:ascii="Arial" w:hAnsi="Arial"/>
          <w:i/>
          <w:sz w:val="20"/>
          <w:szCs w:val="20"/>
          <w:lang w:val="en-GB"/>
        </w:rPr>
        <w:t>tau</w:t>
      </w:r>
      <w:r>
        <w:rPr>
          <w:rFonts w:cs="Arial" w:ascii="Arial" w:hAnsi="Arial"/>
          <w:i/>
          <w:sz w:val="20"/>
          <w:szCs w:val="20"/>
          <w:vertAlign w:val="superscript"/>
          <w:lang w:val="en-GB"/>
        </w:rPr>
        <w:t>ko/+</w:t>
      </w:r>
      <w:r>
        <w:rPr>
          <w:rFonts w:cs="Arial" w:ascii="Arial" w:hAnsi="Arial"/>
          <w:bCs/>
          <w:sz w:val="20"/>
          <w:szCs w:val="20"/>
          <w:lang w:val="en-GB"/>
        </w:rPr>
        <w:t xml:space="preserve">. In conclusion, my work builds a strong case for MTs aberrations as a potential cause for epilepsy, but the underlying mechanisms remain </w:t>
      </w:r>
      <w:commentRangeStart w:id="5"/>
      <w:r>
        <w:rPr>
          <w:rFonts w:cs="Arial" w:ascii="Arial" w:hAnsi="Arial"/>
          <w:bCs/>
          <w:sz w:val="20"/>
          <w:szCs w:val="20"/>
          <w:lang w:val="en-GB"/>
        </w:rPr>
        <w:t>open</w:t>
      </w:r>
      <w:r>
        <w:rPr>
          <w:rFonts w:cs="Arial" w:ascii="Arial" w:hAnsi="Arial"/>
          <w:bCs/>
          <w:sz w:val="20"/>
          <w:szCs w:val="20"/>
          <w:lang w:val="en-GB"/>
        </w:rPr>
      </w:r>
      <w:commentRangeEnd w:id="5"/>
      <w:r>
        <w:commentReference w:id="5"/>
      </w:r>
      <w:r>
        <w:rPr>
          <w:rFonts w:cs="Arial" w:ascii="Arial" w:hAnsi="Arial"/>
          <w:bCs/>
          <w:sz w:val="20"/>
          <w:szCs w:val="20"/>
          <w:lang w:val="en-GB"/>
        </w:rPr>
        <w:t>.</w:t>
      </w:r>
      <w:bookmarkStart w:id="2" w:name="_Hlk9323465"/>
      <w:bookmarkEnd w:id="2"/>
    </w:p>
    <w:p>
      <w:pPr>
        <w:pStyle w:val="ListParagraph"/>
        <w:numPr>
          <w:ilvl w:val="0"/>
          <w:numId w:val="1"/>
        </w:numPr>
        <w:spacing w:before="120" w:after="0"/>
        <w:rPr>
          <w:rFonts w:ascii="Arial" w:hAnsi="Arial" w:cs="Arial"/>
          <w:b/>
          <w:b/>
          <w:sz w:val="20"/>
          <w:szCs w:val="20"/>
          <w:u w:val="single"/>
          <w:lang w:val="en-GB"/>
        </w:rPr>
      </w:pPr>
      <w:r>
        <w:rPr>
          <w:rFonts w:cs="Arial" w:ascii="Arial" w:hAnsi="Arial"/>
          <w:b/>
          <w:sz w:val="20"/>
          <w:szCs w:val="20"/>
          <w:u w:val="single"/>
          <w:lang w:val="en-GB"/>
        </w:rPr>
        <w:t>Introduction</w:t>
      </w:r>
    </w:p>
    <w:p>
      <w:pPr>
        <w:pStyle w:val="Normal"/>
        <w:spacing w:lineRule="auto" w:line="360" w:before="120" w:after="0"/>
        <w:jc w:val="both"/>
        <w:rPr/>
      </w:pPr>
      <w:r>
        <w:rPr>
          <w:rFonts w:cs="Arial" w:ascii="Arial" w:hAnsi="Arial"/>
          <w:sz w:val="20"/>
          <w:szCs w:val="20"/>
          <w:lang w:val="en-GB"/>
        </w:rPr>
        <w:t xml:space="preserve">Epilepsy is the sudden and repeated appearance of seizures including convulsive movements and even loss of consciousness </w:t>
      </w:r>
      <w:r>
        <w:fldChar w:fldCharType="begin"/>
      </w:r>
      <w:r>
        <w:rPr/>
        <w:instrText>ADDIN EN.CITE &lt;EndNote&gt;&lt;Cite&gt;&lt;Author&gt;Cobb&lt;/Author&gt;&lt;Year&gt;1932&lt;/Year&gt;&lt;RecNum&gt;75&lt;/RecNum&gt;&lt;DisplayText&gt;(Cobb, 1932)&lt;/DisplayText&gt;&lt;record&gt;&lt;rec-number&gt;75&lt;/rec-number&gt;&lt;foreign-keys&gt;&lt;key app="EN" db-id="vedta2ppje59fceprax5xvwqzxt2awx0xd99"&gt;75&lt;/key&gt;&lt;/foreign-keys&gt;&lt;ref-type name="Journal Article"&gt;17&lt;/ref-type&gt;&lt;contributors&gt;&lt;authors&gt;&lt;author&gt;Cobb, STANLEY&lt;/author&gt;&lt;/authors&gt;&lt;/contributors&gt;&lt;titles&gt;&lt;title&gt;CAUSES OF EPILEPSY&lt;/title&gt;&lt;secondary-title&gt;Archives of Neurology &amp;amp; Psychiatry&lt;/secondary-title&gt;&lt;/titles&gt;&lt;periodical&gt;&lt;full-title&gt;Archives of Neurology &amp;amp; Psychiatry&lt;/full-title&gt;&lt;/periodical&gt;&lt;pages&gt;1245-1263&lt;/pages&gt;&lt;volume&gt;27&lt;/volume&gt;&lt;number&gt;5&lt;/number&gt;&lt;dates&gt;&lt;year&gt;1932&lt;/year&gt;&lt;/dates&gt;&lt;isbn&gt;0096-6754&lt;/isbn&gt;&lt;urls&gt;&lt;related-urls&gt;&lt;url&gt;https://doi.org/10.1001/archneurpsyc.1932.02230170261009&lt;/url&gt;&lt;/related-urls&gt;&lt;/urls&gt;&lt;electronic-resource-num&gt;10.1001/archneurpsyc.1932.02230170261009&lt;/electronic-resource-num&gt;&lt;access-date&gt;4/30/2019&lt;/access-date&gt;&lt;/record&gt;&lt;/Cite&gt;&lt;/EndNote&gt;</w:instrText>
      </w:r>
      <w:r>
        <w:rPr/>
        <w:fldChar w:fldCharType="separate"/>
      </w:r>
      <w:bookmarkStart w:id="3" w:name="__Fieldmark__84_4090835577"/>
      <w:r>
        <w:rPr/>
      </w:r>
      <w:r>
        <w:rPr>
          <w:rFonts w:cs="Arial" w:ascii="Arial" w:hAnsi="Arial"/>
          <w:sz w:val="20"/>
          <w:szCs w:val="20"/>
          <w:lang w:val="en-GB"/>
        </w:rPr>
        <w:t>(Cobb, 1932)</w:t>
      </w:r>
      <w:r>
        <w:rPr/>
      </w:r>
      <w:r>
        <w:rPr/>
        <w:fldChar w:fldCharType="end"/>
      </w:r>
      <w:hyperlink w:anchor="_ENREF_10" w:tgtFrame="Cobb, 1932 #75">
        <w:bookmarkEnd w:id="3"/>
        <w:r>
          <w:rPr>
            <w:rFonts w:cs="Arial" w:ascii="Arial" w:hAnsi="Arial"/>
            <w:sz w:val="20"/>
            <w:szCs w:val="20"/>
            <w:lang w:val="en-GB"/>
          </w:rPr>
          <w:t xml:space="preserve">. Seizures are either generalised, from both hemisphere of the brain or partial, beginning in one or more parts of one hemisphere of the brain </w:t>
        </w:r>
      </w:hyperlink>
      <w:r>
        <w:fldChar w:fldCharType="begin"/>
      </w:r>
      <w:r>
        <w:rPr/>
        <w:instrText>ADDIN EN.CITE &lt;EndNote&gt;&lt;Cite&gt;&lt;Author&gt;Loscher&lt;/Author&gt;&lt;Year&gt;2002&lt;/Year&gt;&lt;RecNum&gt;27&lt;/RecNum&gt;&lt;DisplayText&gt;(Loscher, 2002)&lt;/DisplayText&gt;&lt;record&gt;&lt;rec-number&gt;27&lt;/rec-number&gt;&lt;foreign-keys&gt;&lt;key app="EN" db-id="vedta2ppje59fceprax5xvwqzxt2awx0xd99"&gt;27&lt;/key&gt;&lt;/foreign-keys&gt;&lt;ref-type name="Journal Article"&gt;17&lt;/ref-type&gt;&lt;contributors&gt;&lt;authors&gt;&lt;author&gt;Loscher, W.&lt;/author&gt;&lt;/authors&gt;&lt;/contributors&gt;&lt;auth-address&gt;Dept of Pharmacology, Toxicology and Pharmacy, School of Veterinary Medicine, Buenteweg 17, D-30551 Hannover, Germany. wolfgang.loescher@tiho-hannover.de&lt;/auth-address&gt;&lt;titles&gt;&lt;title&gt;Current status and future directions in the pharmacotherapy of epilepsy&lt;/title&gt;&lt;secondary-title&gt;Trends Pharmacol Sci&lt;/secondary-title&gt;&lt;/titles&gt;&lt;periodical&gt;&lt;full-title&gt;Trends Pharmacol Sci&lt;/full-title&gt;&lt;/periodical&gt;&lt;pages&gt;113-8&lt;/pages&gt;&lt;volume&gt;23&lt;/volume&gt;&lt;number&gt;3&lt;/number&gt;&lt;edition&gt;2002/03/07&lt;/edition&gt;&lt;keywords&gt;&lt;keyword&gt;ATP Binding Cassette Transporter, Subfamily B, Member 1/genetics&lt;/keyword&gt;&lt;keyword&gt;Anticonvulsants/*therapeutic use&lt;/keyword&gt;&lt;keyword&gt;Drug Design&lt;/keyword&gt;&lt;keyword&gt;Drug Resistance, Multiple&lt;/keyword&gt;&lt;keyword&gt;Epilepsy/*drug therapy/genetics/prevention &amp;amp; control&lt;/keyword&gt;&lt;keyword&gt;Humans&lt;/keyword&gt;&lt;keyword&gt;Mutation&lt;/keyword&gt;&lt;/keywords&gt;&lt;dates&gt;&lt;year&gt;2002&lt;/year&gt;&lt;pub-dates&gt;&lt;date&gt;Mar&lt;/date&gt;&lt;/pub-dates&gt;&lt;/dates&gt;&lt;isbn&gt;0165-6147 (Print)&amp;#xD;0165-6147 (Linking)&lt;/isbn&gt;&lt;accession-num&gt;11879677&lt;/accession-num&gt;&lt;urls&gt;&lt;related-urls&gt;&lt;url&gt;http://www.ncbi.nlm.nih.gov/pubmed/11879677&lt;/url&gt;&lt;/related-urls&gt;&lt;/urls&gt;&lt;electronic-resource-num&gt;S0165-6147(00)01974-X [pii]&amp;#xD;10.1016/S0165-6147(00)01974-X&lt;/electronic-resource-num&gt;&lt;language&gt;eng&lt;/language&gt;&lt;/record&gt;&lt;/Cite&gt;&lt;/EndNote&gt;</w:instrText>
      </w:r>
      <w:r>
        <w:rPr/>
        <w:fldChar w:fldCharType="separate"/>
      </w:r>
      <w:bookmarkStart w:id="4" w:name="__Fieldmark__96_4090835577"/>
      <w:r>
        <w:rPr/>
      </w:r>
      <w:r>
        <w:rPr>
          <w:rFonts w:cs="Arial" w:ascii="Arial" w:hAnsi="Arial"/>
          <w:sz w:val="20"/>
          <w:szCs w:val="20"/>
          <w:lang w:val="en-GB"/>
        </w:rPr>
        <w:t>(Loscher, 2002)</w:t>
      </w:r>
      <w:r>
        <w:rPr/>
      </w:r>
      <w:r>
        <w:rPr/>
        <w:fldChar w:fldCharType="end"/>
      </w:r>
      <w:hyperlink w:anchor="_ENREF_41" w:tgtFrame="Loscher, 2002 #27">
        <w:bookmarkEnd w:id="4"/>
        <w:r>
          <w:rPr>
            <w:rFonts w:cs="Arial" w:ascii="Arial" w:hAnsi="Arial"/>
            <w:sz w:val="20"/>
            <w:szCs w:val="20"/>
            <w:lang w:val="en-GB"/>
          </w:rPr>
          <w:t xml:space="preserve">. According to the World health organisation, epilepsy is a non-communicable disease, which represents one of the most common neurological disorders affecting approximately 50 million people worldwide. Epilepsy affects 4-10% of the general population, and 7-15‰ in low- and middle-income countries. </w:t>
        </w:r>
      </w:hyperlink>
      <w:r>
        <w:rPr>
          <w:rStyle w:val="Annotationreference"/>
          <w:rFonts w:cs="Arial" w:ascii="Arial" w:hAnsi="Arial"/>
          <w:sz w:val="20"/>
          <w:szCs w:val="20"/>
          <w:lang w:val="en-GB"/>
        </w:rPr>
        <w:t>It has therefore</w:t>
      </w:r>
      <w:r>
        <w:rPr>
          <w:rFonts w:cs="Arial" w:ascii="Arial" w:hAnsi="Arial"/>
          <w:sz w:val="20"/>
          <w:szCs w:val="20"/>
          <w:lang w:val="en-GB"/>
        </w:rPr>
        <w:t xml:space="preserve"> important economic and social impact, and patients suffer from stigma and discrimination. If diagnosed </w:t>
      </w:r>
      <w:commentRangeStart w:id="6"/>
      <w:r>
        <w:rPr>
          <w:rFonts w:cs="Arial" w:ascii="Arial" w:hAnsi="Arial"/>
          <w:sz w:val="20"/>
          <w:szCs w:val="20"/>
          <w:lang w:val="en-GB"/>
        </w:rPr>
        <w:t>in</w:t>
      </w:r>
      <w:r>
        <w:rPr>
          <w:rFonts w:cs="Arial" w:ascii="Arial" w:hAnsi="Arial"/>
          <w:sz w:val="20"/>
          <w:szCs w:val="20"/>
          <w:lang w:val="en-GB"/>
        </w:rPr>
      </w:r>
      <w:commentRangeEnd w:id="6"/>
      <w:r>
        <w:commentReference w:id="6"/>
      </w:r>
      <w:r>
        <w:rPr>
          <w:rFonts w:cs="Arial" w:ascii="Arial" w:hAnsi="Arial"/>
          <w:sz w:val="20"/>
          <w:szCs w:val="20"/>
          <w:lang w:val="en-GB"/>
        </w:rPr>
        <w:t xml:space="preserve"> time and</w:t>
      </w:r>
      <w:r>
        <w:rPr>
          <w:rFonts w:cs="Arial" w:ascii="Arial" w:hAnsi="Arial"/>
          <w:sz w:val="20"/>
          <w:szCs w:val="20"/>
          <w:lang w:val="en-GB"/>
        </w:rPr>
        <w:commentReference w:id="7"/>
      </w:r>
      <w:r>
        <w:rPr>
          <w:rFonts w:cs="Arial" w:ascii="Arial" w:hAnsi="Arial"/>
          <w:sz w:val="20"/>
          <w:szCs w:val="20"/>
          <w:lang w:val="en-GB"/>
        </w:rPr>
        <w:t xml:space="preserve"> the appropriate medication is implemented, more than 70% of patients can live without seizures, and this </w:t>
      </w:r>
      <w:commentRangeStart w:id="8"/>
      <w:r>
        <w:rPr>
          <w:rFonts w:cs="Arial" w:ascii="Arial" w:hAnsi="Arial"/>
          <w:sz w:val="20"/>
          <w:szCs w:val="20"/>
          <w:lang w:val="en-GB"/>
        </w:rPr>
        <w:t>owed</w:t>
      </w:r>
      <w:r>
        <w:rPr>
          <w:rFonts w:cs="Arial" w:ascii="Arial" w:hAnsi="Arial"/>
          <w:sz w:val="20"/>
          <w:szCs w:val="20"/>
          <w:lang w:val="en-GB"/>
        </w:rPr>
      </w:r>
      <w:commentRangeEnd w:id="8"/>
      <w:r>
        <w:commentReference w:id="8"/>
      </w:r>
      <w:r>
        <w:rPr>
          <w:rFonts w:cs="Arial" w:ascii="Arial" w:hAnsi="Arial"/>
          <w:sz w:val="20"/>
          <w:szCs w:val="20"/>
          <w:lang w:val="en-GB"/>
        </w:rPr>
        <w:t xml:space="preserve"> to decades of research into epilepsy. </w:t>
      </w:r>
    </w:p>
    <w:p>
      <w:pPr>
        <w:pStyle w:val="Normal"/>
        <w:spacing w:lineRule="auto" w:line="360" w:before="120" w:after="0"/>
        <w:jc w:val="both"/>
        <w:rPr/>
      </w:pPr>
      <w:r>
        <w:rPr>
          <w:rFonts w:cs="Arial" w:ascii="Arial" w:hAnsi="Arial"/>
          <w:sz w:val="20"/>
          <w:szCs w:val="20"/>
          <w:lang w:val="en-GB"/>
        </w:rPr>
        <w:t xml:space="preserve">Three subtypes of epilepsy exist, which are complex epilepsy, symptomatic epilepsy and idiopathic epilepsy. Complex epilepsy affects 10% of patients and has both genetic and environmental causes. Symptomatic epilepsy affect 30% of patients and is due to structural brain abnormalities caused by a brain tumour, stroke, infections or developmental aberrations </w:t>
      </w:r>
      <w:r>
        <w:fldChar w:fldCharType="begin"/>
      </w:r>
      <w:r>
        <w:rPr/>
        <w:instrText>ADDIN EN.CITE</w:instrText>
      </w:r>
      <w:r>
        <w:rPr/>
        <w:fldChar w:fldCharType="separate"/>
      </w:r>
      <w:bookmarkStart w:id="5" w:name="__Fieldmark__124_4090835577"/>
      <w:r>
        <w:rPr/>
      </w:r>
      <w:r>
        <w:rPr/>
      </w:r>
      <w:r>
        <w:rPr/>
        <w:fldChar w:fldCharType="end"/>
      </w:r>
      <w:r>
        <w:fldChar w:fldCharType="begin"/>
      </w:r>
      <w:r>
        <w:rPr/>
        <w:instrText>ADDIN EN.CITE.DATA</w:instrText>
      </w:r>
      <w:r>
        <w:rPr/>
        <w:fldChar w:fldCharType="separate"/>
      </w:r>
      <w:bookmarkStart w:id="6" w:name="__Fieldmark__123_4090835577"/>
      <w:bookmarkEnd w:id="5"/>
      <w:r>
        <w:rPr/>
      </w:r>
      <w:r>
        <w:rPr>
          <w:rFonts w:cs="Arial" w:ascii="Arial" w:hAnsi="Arial"/>
          <w:sz w:val="20"/>
          <w:szCs w:val="20"/>
          <w:lang w:val="en-GB"/>
        </w:rPr>
        <w:t>(Bonello et al., 2015; Heron et al., 2007; Kwan and Brodie, 2000)</w:t>
      </w:r>
      <w:r>
        <w:rPr/>
      </w:r>
      <w:r>
        <w:rPr/>
        <w:fldChar w:fldCharType="end"/>
      </w:r>
      <w:hyperlink w:anchor="_ENREF_37" w:tgtFrame="Kwan, 2000 #107">
        <w:bookmarkEnd w:id="6"/>
        <w:r>
          <w:rPr>
            <w:rFonts w:cs="Arial" w:ascii="Arial" w:hAnsi="Arial"/>
            <w:sz w:val="20"/>
            <w:szCs w:val="20"/>
            <w:lang w:val="en-GB"/>
          </w:rPr>
          <w:t xml:space="preserve">. Idiopathic generalised epilepsy (IGE) affects 60% of patients </w:t>
        </w:r>
      </w:hyperlink>
      <w:r>
        <w:fldChar w:fldCharType="begin"/>
      </w:r>
      <w:r>
        <w:rPr/>
        <w:instrText>ADDIN EN.CITE &lt;EndNote&gt;&lt;Cite&gt;&lt;Author&gt;Kwan&lt;/Author&gt;&lt;Year&gt;2000&lt;/Year&gt;&lt;RecNum&gt;107&lt;/RecNum&gt;&lt;DisplayText&gt;(Kwan and Brodie, 2000)&lt;/DisplayText&gt;&lt;record&gt;&lt;rec-number&gt;107&lt;/rec-number&gt;&lt;foreign-keys&gt;&lt;key app="EN" db-id="vedta2ppje59fceprax5xvwqzxt2awx0xd99"&gt;107&lt;/key&gt;&lt;/foreign-keys&gt;&lt;ref-type name="Journal Article"&gt;17&lt;/ref-type&gt;&lt;contributors&gt;&lt;authors&gt;&lt;author&gt;Kwan, P.&lt;/author&gt;&lt;author&gt;Brodie, M. J.&lt;/author&gt;&lt;/authors&gt;&lt;/contributors&gt;&lt;auth-address&gt;Univ Glasgow, Western Infirm, Dept Med &amp;amp; Therapeut, Epilepsy Unit, Glasgow G11 6NT, Lanark, Scotland&lt;/auth-address&gt;&lt;titles&gt;&lt;title&gt;Early identification of refractory epilepsy.&lt;/title&gt;&lt;secondary-title&gt;New England Journal of Medicine&lt;/secondary-title&gt;&lt;alt-title&gt;New Engl J Med&lt;/alt-title&gt;&lt;/titles&gt;&lt;periodical&gt;&lt;full-title&gt;New England Journal of Medicine&lt;/full-title&gt;&lt;abbr-1&gt;New Engl J Med&lt;/abbr-1&gt;&lt;/periodical&gt;&lt;alt-periodical&gt;&lt;full-title&gt;New England Journal of Medicine&lt;/full-title&gt;&lt;abbr-1&gt;New Engl J Med&lt;/abbr-1&gt;&lt;/alt-periodical&gt;&lt;pages&gt;314-319&lt;/pages&gt;&lt;volume&gt;342&lt;/volume&gt;&lt;number&gt;5&lt;/number&gt;&lt;keywords&gt;&lt;keyword&gt;intractable epilepsy&lt;/keyword&gt;&lt;keyword&gt;antiepileptic drugs&lt;/keyword&gt;&lt;keyword&gt;untreated epilepsy&lt;/keyword&gt;&lt;keyword&gt;seizures&lt;/keyword&gt;&lt;keyword&gt;remission&lt;/keyword&gt;&lt;keyword&gt;prognosis&lt;/keyword&gt;&lt;keyword&gt;predictors&lt;/keyword&gt;&lt;keyword&gt;childhood&lt;/keyword&gt;&lt;keyword&gt;community&lt;/keyword&gt;&lt;keyword&gt;surgery&lt;/keyword&gt;&lt;/keywords&gt;&lt;dates&gt;&lt;year&gt;2000&lt;/year&gt;&lt;pub-dates&gt;&lt;date&gt;Feb 3&lt;/date&gt;&lt;/pub-dates&gt;&lt;/dates&gt;&lt;isbn&gt;0028-4793&lt;/isbn&gt;&lt;accession-num&gt;ISI:000085070300003&lt;/accession-num&gt;&lt;urls&gt;&lt;related-urls&gt;&lt;url&gt;&amp;lt;Go to ISI&amp;gt;://000085070300003&lt;/url&gt;&lt;/related-urls&gt;&lt;/urls&gt;&lt;electronic-resource-num&gt;Doi 10.1056/Nejm200002033420503&lt;/electronic-resource-num&gt;&lt;language&gt;English&lt;/language&gt;&lt;/record&gt;&lt;/Cite&gt;&lt;/EndNote&gt;</w:instrText>
      </w:r>
      <w:r>
        <w:rPr/>
        <w:fldChar w:fldCharType="separate"/>
      </w:r>
      <w:bookmarkStart w:id="7" w:name="__Fieldmark__146_4090835577"/>
      <w:r>
        <w:rPr/>
      </w:r>
      <w:r>
        <w:rPr>
          <w:rFonts w:cs="Arial" w:ascii="Arial" w:hAnsi="Arial"/>
          <w:sz w:val="20"/>
          <w:szCs w:val="20"/>
          <w:lang w:val="en-GB"/>
        </w:rPr>
        <w:t>(Kwan and Brodie, 2000)</w:t>
      </w:r>
      <w:r>
        <w:rPr/>
      </w:r>
      <w:r>
        <w:rPr/>
        <w:fldChar w:fldCharType="end"/>
      </w:r>
      <w:hyperlink w:anchor="_ENREF_37" w:tgtFrame="Kwan, 2000 #107">
        <w:bookmarkEnd w:id="7"/>
        <w:r>
          <w:rPr>
            <w:rFonts w:cs="Arial" w:ascii="Arial" w:hAnsi="Arial"/>
            <w:sz w:val="20"/>
            <w:szCs w:val="20"/>
            <w:lang w:val="en-GB"/>
          </w:rPr>
          <w:t xml:space="preserve"> and is difficult to understand because its genetic causes cover a wide spectrum and may even touch multiple genes at the same time </w:t>
        </w:r>
      </w:hyperlink>
      <w:r>
        <w:fldChar w:fldCharType="begin"/>
      </w:r>
      <w:r>
        <w:rPr/>
        <w:instrText>ADDIN EN.CITE &lt;EndNote&gt;&lt;Cite&gt;&lt;Author&gt;Charlier&lt;/Author&gt;&lt;Year&gt;1998&lt;/Year&gt;&lt;RecNum&gt;3&lt;/RecNum&gt;&lt;DisplayText&gt;(Charlier et al., 1998)&lt;/DisplayText&gt;&lt;record&gt;&lt;rec-number&gt;3&lt;/rec-number&gt;&lt;foreign-keys&gt;&lt;key app="EN" db-id="vedta2ppje59fceprax5xvwqzxt2awx0xd99"&gt;3&lt;/key&gt;&lt;/foreign-keys&gt;&lt;ref-type name="Journal Article"&gt;17&lt;/ref-type&gt;&lt;contributors&gt;&lt;authors&gt;&lt;author&gt;Charlier, C.&lt;/author&gt;&lt;author&gt;Singh, N. A.&lt;/author&gt;&lt;author&gt;Ryan, S. G.&lt;/author&gt;&lt;author&gt;Lewis, T. B.&lt;/author&gt;&lt;author&gt;Reus, B. E.&lt;/author&gt;&lt;author&gt;Leach, R. J.&lt;/author&gt;&lt;author&gt;Leppert, M.&lt;/author&gt;&lt;/authors&gt;&lt;/contributors&gt;&lt;auth-address&gt;Department of Human Genetics, University of Utah, Salt Lake City 84112, USA.&lt;/auth-address&gt;&lt;titles&gt;&lt;title&gt;A pore mutation in a novel KQT-like potassium channel gene in an idiopathic epilepsy family&lt;/title&gt;&lt;secondary-title&gt;Nat Genet&lt;/secondary-title&gt;&lt;/titles&gt;&lt;periodical&gt;&lt;full-title&gt;Nat Genet&lt;/full-title&gt;&lt;/periodical&gt;&lt;pages&gt;53-5&lt;/pages&gt;&lt;volume&gt;18&lt;/volume&gt;&lt;number&gt;1&lt;/number&gt;&lt;edition&gt;1998/01/13&lt;/edition&gt;&lt;keywords&gt;&lt;keyword&gt;Amino Acid Sequence&lt;/keyword&gt;&lt;keyword&gt;Base Sequence&lt;/keyword&gt;&lt;keyword&gt;Chromosomes, Human, Pair 8&lt;/keyword&gt;&lt;keyword&gt;Epilepsy, Generalized/*genetics&lt;/keyword&gt;&lt;keyword&gt;Female&lt;/keyword&gt;&lt;keyword&gt;Genetic Variation&lt;/keyword&gt;&lt;keyword&gt;Humans&lt;/keyword&gt;&lt;keyword&gt;KCNQ3 Potassium Channel&lt;/keyword&gt;&lt;keyword&gt;Male&lt;/keyword&gt;&lt;keyword&gt;Molecular Sequence Data&lt;/keyword&gt;&lt;keyword&gt;*Mutation&lt;/keyword&gt;&lt;keyword&gt;Pedigree&lt;/keyword&gt;&lt;keyword&gt;Polymerase Chain Reaction&lt;/keyword&gt;&lt;keyword&gt;Polymorphism, Single-Stranded Conformational&lt;/keyword&gt;&lt;keyword&gt;Potassium Channels/*genetics&lt;/keyword&gt;&lt;keyword&gt;*Potassium Channels, Voltage-Gated&lt;/keyword&gt;&lt;keyword&gt;Sequence Homology, Amino Acid&lt;/keyword&gt;&lt;/keywords&gt;&lt;dates&gt;&lt;year&gt;1998&lt;/year&gt;&lt;pub-dates&gt;&lt;date&gt;Jan&lt;/date&gt;&lt;/pub-dates&gt;&lt;/dates&gt;&lt;isbn&gt;1061-4036 (Print)&amp;#xD;1061-4036 (Linking)&lt;/isbn&gt;&lt;accession-num&gt;9425900&lt;/accession-num&gt;&lt;urls&gt;&lt;related-urls&gt;&lt;url&gt;http://www.ncbi.nlm.nih.gov/pubmed/9425900&lt;/url&gt;&lt;/related-urls&gt;&lt;/urls&gt;&lt;electronic-resource-num&gt;10.1038/ng0198-53&lt;/electronic-resource-num&gt;&lt;language&gt;eng&lt;/language&gt;&lt;/record&gt;&lt;/Cite&gt;&lt;/EndNote&gt;</w:instrText>
      </w:r>
      <w:r>
        <w:rPr/>
        <w:fldChar w:fldCharType="separate"/>
      </w:r>
      <w:bookmarkStart w:id="8" w:name="__Fieldmark__157_4090835577"/>
      <w:r>
        <w:rPr/>
      </w:r>
      <w:r>
        <w:rPr>
          <w:rFonts w:cs="Arial" w:ascii="Arial" w:hAnsi="Arial"/>
          <w:sz w:val="20"/>
          <w:szCs w:val="20"/>
          <w:lang w:val="en-GB"/>
        </w:rPr>
        <w:t>(Charlier et al., 1998)</w:t>
      </w:r>
      <w:r>
        <w:rPr/>
      </w:r>
      <w:r>
        <w:rPr/>
        <w:fldChar w:fldCharType="end"/>
      </w:r>
      <w:hyperlink w:anchor="_ENREF_9" w:tgtFrame="Charlier, 1998 #3">
        <w:bookmarkEnd w:id="8"/>
        <w:r>
          <w:rPr>
            <w:rFonts w:cs="Arial" w:ascii="Arial" w:hAnsi="Arial"/>
            <w:sz w:val="20"/>
            <w:szCs w:val="20"/>
            <w:lang w:val="en-GB"/>
          </w:rPr>
          <w:t xml:space="preserve">. IGE mostly affects genes encoding or regulating </w:t>
        </w:r>
      </w:hyperlink>
      <w:r>
        <w:rPr>
          <w:rFonts w:cs="Arial" w:ascii="Arial" w:hAnsi="Arial"/>
          <w:spacing w:val="2"/>
          <w:sz w:val="20"/>
          <w:szCs w:val="20"/>
          <w:shd w:fill="FCFCFC" w:val="clear"/>
          <w:lang w:val="en-GB"/>
        </w:rPr>
        <w:t>neuronal voltage-gated and ligand-gated ion channel subunits which are therefore referred to as</w:t>
      </w:r>
      <w:r>
        <w:rPr>
          <w:rFonts w:cs="Arial" w:ascii="Arial" w:hAnsi="Arial"/>
          <w:sz w:val="20"/>
          <w:szCs w:val="20"/>
          <w:lang w:val="en-GB"/>
        </w:rPr>
        <w:t xml:space="preserve"> channelopathies </w:t>
      </w:r>
      <w:r>
        <w:fldChar w:fldCharType="begin"/>
      </w:r>
      <w:r>
        <w:rPr/>
        <w:instrText>ADDIN EN.CITE &lt;EndNote&gt;&lt;Cite&gt;&lt;Author&gt;Heron&lt;/Author&gt;&lt;Year&gt;2007&lt;/Year&gt;&lt;RecNum&gt;4&lt;/RecNum&gt;&lt;DisplayText&gt;(Heron et al., 2007)&lt;/DisplayText&gt;&lt;record&gt;&lt;rec-number&gt;4&lt;/rec-number&gt;&lt;foreign-keys&gt;&lt;key app="EN" db-id="vedta2ppje59fceprax5xvwqzxt2awx0xd99"&gt;4&lt;/key&gt;&lt;/foreign-keys&gt;&lt;ref-type name="Journal Article"&gt;17&lt;/ref-type&gt;&lt;contributors&gt;&lt;authors&gt;&lt;author&gt;Heron, S. E.&lt;/author&gt;&lt;author&gt;Scheffer, I. E.&lt;/author&gt;&lt;author&gt;Berkovic, S. F.&lt;/author&gt;&lt;author&gt;Dibbens, L. M.&lt;/author&gt;&lt;author&gt;Mulley, J. C.&lt;/author&gt;&lt;/authors&gt;&lt;/contributors&gt;&lt;auth-address&gt;Department of Genetic Medicine, Women&amp;apos;s and Children&amp;apos;s Hospital, North Adelaide, South Australia 5006. sarah.heron@cywhs.sa.gov.au&lt;/auth-address&gt;&lt;titles&gt;&lt;title&gt;Channelopathies in idiopathic epilepsy&lt;/title&gt;&lt;secondary-title&gt;Neurotherapeutics&lt;/secondary-title&gt;&lt;/titles&gt;&lt;periodical&gt;&lt;full-title&gt;Neurotherapeutics&lt;/full-title&gt;&lt;/periodical&gt;&lt;pages&gt;295-304&lt;/pages&gt;&lt;volume&gt;4&lt;/volume&gt;&lt;number&gt;2&lt;/number&gt;&lt;edition&gt;2007/03/31&lt;/edition&gt;&lt;keywords&gt;&lt;keyword&gt;Animals&lt;/keyword&gt;&lt;keyword&gt;Channelopathies/*complications/*genetics&lt;/keyword&gt;&lt;keyword&gt;Chloride Channels/genetics/metabolism&lt;/keyword&gt;&lt;keyword&gt;Epilepsy/*etiology/*genetics&lt;/keyword&gt;&lt;keyword&gt;Family Health&lt;/keyword&gt;&lt;keyword&gt;Humans&lt;/keyword&gt;&lt;keyword&gt;Receptors, Cholinergic/genetics/metabolism&lt;/keyword&gt;&lt;keyword&gt;Receptors, GABA/genetics/metabolism&lt;/keyword&gt;&lt;keyword&gt;Sodium Channels/genetics/metabolism&lt;/keyword&gt;&lt;/keywords&gt;&lt;dates&gt;&lt;year&gt;2007&lt;/year&gt;&lt;pub-dates&gt;&lt;date&gt;Apr&lt;/date&gt;&lt;/pub-dates&gt;&lt;/dates&gt;&lt;isbn&gt;1933-7213 (Print)&amp;#xD;1878-7479 (Linking)&lt;/isbn&gt;&lt;accession-num&gt;17395140&lt;/accession-num&gt;&lt;urls&gt;&lt;related-urls&gt;&lt;url&gt;http://www.ncbi.nlm.nih.gov/pubmed/17395140&lt;/url&gt;&lt;/related-urls&gt;&lt;/urls&gt;&lt;electronic-resource-num&gt;S1933-7213(07)00010-4 [pii]&amp;#xD;10.1016/j.nurt.2007.01.009&lt;/electronic-resource-num&gt;&lt;language&gt;eng&lt;/language&gt;&lt;/record&gt;&lt;/Cite&gt;&lt;/EndNote&gt;</w:instrText>
      </w:r>
      <w:r>
        <w:rPr/>
        <w:fldChar w:fldCharType="separate"/>
      </w:r>
      <w:bookmarkStart w:id="9" w:name="__Fieldmark__170_4090835577"/>
      <w:r>
        <w:rPr/>
      </w:r>
      <w:r>
        <w:rPr>
          <w:rFonts w:cs="Arial" w:ascii="Arial" w:hAnsi="Arial"/>
          <w:sz w:val="20"/>
          <w:szCs w:val="20"/>
          <w:lang w:val="en-GB"/>
        </w:rPr>
        <w:t>(Heron et al., 2007)</w:t>
      </w:r>
      <w:r>
        <w:rPr/>
      </w:r>
      <w:r>
        <w:rPr/>
        <w:fldChar w:fldCharType="end"/>
      </w:r>
      <w:hyperlink w:anchor="_ENREF_27" w:tgtFrame="Heron, 2007 #4">
        <w:bookmarkEnd w:id="9"/>
        <w:r>
          <w:rPr>
            <w:rFonts w:cs="Arial" w:ascii="Arial" w:hAnsi="Arial"/>
            <w:sz w:val="20"/>
            <w:szCs w:val="20"/>
            <w:lang w:val="en-GB"/>
          </w:rPr>
          <w:t>.</w:t>
        </w:r>
      </w:hyperlink>
    </w:p>
    <w:p>
      <w:pPr>
        <w:pStyle w:val="Normal"/>
        <w:spacing w:lineRule="auto" w:line="360" w:before="120" w:after="0"/>
        <w:jc w:val="both"/>
        <w:rPr/>
      </w:pPr>
      <w:r>
        <w:rPr>
          <w:rFonts w:cs="Arial" w:ascii="Arial" w:hAnsi="Arial"/>
          <w:sz w:val="20"/>
          <w:szCs w:val="20"/>
          <w:lang w:val="en-GB"/>
        </w:rPr>
        <w:t xml:space="preserve">Potential causes of idiopathic epilepsy include mutations in the KCNQ1, KCNQ2 and KCNQ3 genes, which are members of the KQT-like family encoding a voltage-gated potassium channel; impaired potassium currents can lead to an overload of neuronal excitability resulting in a seizure-like phenotype </w:t>
      </w:r>
      <w:r>
        <w:fldChar w:fldCharType="begin"/>
      </w:r>
      <w:r>
        <w:rPr/>
        <w:instrText>ADDIN EN.CITE &lt;EndNote&gt;&lt;Cite&gt;&lt;Author&gt;Heron&lt;/Author&gt;&lt;Year&gt;2007&lt;/Year&gt;&lt;RecNum&gt;4&lt;/RecNum&gt;&lt;DisplayText&gt;(Heron et al., 2007)&lt;/DisplayText&gt;&lt;record&gt;&lt;rec-number&gt;4&lt;/rec-number&gt;&lt;foreign-keys&gt;&lt;key app="EN" db-id="vedta2ppje59fceprax5xvwqzxt2awx0xd99"&gt;4&lt;/key&gt;&lt;/foreign-keys&gt;&lt;ref-type name="Journal Article"&gt;17&lt;/ref-type&gt;&lt;contributors&gt;&lt;authors&gt;&lt;author&gt;Heron, S. E.&lt;/author&gt;&lt;author&gt;Scheffer, I. E.&lt;/author&gt;&lt;author&gt;Berkovic, S. F.&lt;/author&gt;&lt;author&gt;Dibbens, L. M.&lt;/author&gt;&lt;author&gt;Mulley, J. C.&lt;/author&gt;&lt;/authors&gt;&lt;/contributors&gt;&lt;auth-address&gt;Department of Genetic Medicine, Women&amp;apos;s and Children&amp;apos;s Hospital, North Adelaide, South Australia 5006. sarah.heron@cywhs.sa.gov.au&lt;/auth-address&gt;&lt;titles&gt;&lt;title&gt;Channelopathies in idiopathic epilepsy&lt;/title&gt;&lt;secondary-title&gt;Neurotherapeutics&lt;/secondary-title&gt;&lt;/titles&gt;&lt;periodical&gt;&lt;full-title&gt;Neurotherapeutics&lt;/full-title&gt;&lt;/periodical&gt;&lt;pages&gt;295-304&lt;/pages&gt;&lt;volume&gt;4&lt;/volume&gt;&lt;number&gt;2&lt;/number&gt;&lt;edition&gt;2007/03/31&lt;/edition&gt;&lt;keywords&gt;&lt;keyword&gt;Animals&lt;/keyword&gt;&lt;keyword&gt;Channelopathies/*complications/*genetics&lt;/keyword&gt;&lt;keyword&gt;Chloride Channels/genetics/metabolism&lt;/keyword&gt;&lt;keyword&gt;Epilepsy/*etiology/*genetics&lt;/keyword&gt;&lt;keyword&gt;Family Health&lt;/keyword&gt;&lt;keyword&gt;Humans&lt;/keyword&gt;&lt;keyword&gt;Receptors, Cholinergic/genetics/metabolism&lt;/keyword&gt;&lt;keyword&gt;Receptors, GABA/genetics/metabolism&lt;/keyword&gt;&lt;keyword&gt;Sodium Channels/genetics/metabolism&lt;/keyword&gt;&lt;/keywords&gt;&lt;dates&gt;&lt;year&gt;2007&lt;/year&gt;&lt;pub-dates&gt;&lt;date&gt;Apr&lt;/date&gt;&lt;/pub-dates&gt;&lt;/dates&gt;&lt;isbn&gt;1933-7213 (Print)&amp;#xD;1878-7479 (Linking)&lt;/isbn&gt;&lt;accession-num&gt;17395140&lt;/accession-num&gt;&lt;urls&gt;&lt;related-urls&gt;&lt;url&gt;http://www.ncbi.nlm.nih.gov/pubmed/17395140&lt;/url&gt;&lt;/related-urls&gt;&lt;/urls&gt;&lt;electronic-resource-num&gt;S1933-7213(07)00010-4 [pii]&amp;#xD;10.1016/j.nurt.2007.01.009&lt;/electronic-resource-num&gt;&lt;language&gt;eng&lt;/language&gt;&lt;/record&gt;&lt;/Cite&gt;&lt;/EndNote&gt;</w:instrText>
      </w:r>
      <w:r>
        <w:rPr/>
        <w:fldChar w:fldCharType="separate"/>
      </w:r>
      <w:bookmarkStart w:id="10" w:name="__Fieldmark__183_4090835577"/>
      <w:r>
        <w:rPr/>
      </w:r>
      <w:r>
        <w:rPr>
          <w:rFonts w:cs="Arial" w:ascii="Arial" w:hAnsi="Arial"/>
          <w:sz w:val="20"/>
          <w:szCs w:val="20"/>
          <w:lang w:val="en-GB"/>
        </w:rPr>
        <w:t>(Heron et al., 2007)</w:t>
      </w:r>
      <w:r>
        <w:rPr/>
      </w:r>
      <w:r>
        <w:rPr/>
        <w:fldChar w:fldCharType="end"/>
      </w:r>
      <w:hyperlink w:anchor="_ENREF_27" w:tgtFrame="Heron, 2007 #4">
        <w:bookmarkEnd w:id="10"/>
        <w:r>
          <w:rPr>
            <w:rFonts w:cs="Arial" w:ascii="Arial" w:hAnsi="Arial"/>
            <w:sz w:val="20"/>
            <w:szCs w:val="20"/>
            <w:lang w:val="en-GB"/>
          </w:rPr>
          <w:t xml:space="preserve">. For example, a number of missense mutations in these channels are autosomal-dominant causing Benign Familial neonatal convulsions (BFNC) </w:t>
        </w:r>
      </w:hyperlink>
      <w:r>
        <w:fldChar w:fldCharType="begin"/>
      </w:r>
      <w:r>
        <w:rPr/>
        <w:instrText>ADDIN EN.CITE &lt;EndNote&gt;&lt;Cite&gt;&lt;Author&gt;Charlier&lt;/Author&gt;&lt;Year&gt;1998&lt;/Year&gt;&lt;RecNum&gt;3&lt;/RecNum&gt;&lt;DisplayText&gt;(Charlier et al., 1998)&lt;/DisplayText&gt;&lt;record&gt;&lt;rec-number&gt;3&lt;/rec-number&gt;&lt;foreign-keys&gt;&lt;key app="EN" db-id="vedta2ppje59fceprax5xvwqzxt2awx0xd99"&gt;3&lt;/key&gt;&lt;/foreign-keys&gt;&lt;ref-type name="Journal Article"&gt;17&lt;/ref-type&gt;&lt;contributors&gt;&lt;authors&gt;&lt;author&gt;Charlier, C.&lt;/author&gt;&lt;author&gt;Singh, N. A.&lt;/author&gt;&lt;author&gt;Ryan, S. G.&lt;/author&gt;&lt;author&gt;Lewis, T. B.&lt;/author&gt;&lt;author&gt;Reus, B. E.&lt;/author&gt;&lt;author&gt;Leach, R. J.&lt;/author&gt;&lt;author&gt;Leppert, M.&lt;/author&gt;&lt;/authors&gt;&lt;/contributors&gt;&lt;auth-address&gt;Department of Human Genetics, University of Utah, Salt Lake City 84112, USA.&lt;/auth-address&gt;&lt;titles&gt;&lt;title&gt;A pore mutation in a novel KQT-like potassium channel gene in an idiopathic epilepsy family&lt;/title&gt;&lt;secondary-title&gt;Nat Genet&lt;/secondary-title&gt;&lt;/titles&gt;&lt;periodical&gt;&lt;full-title&gt;Nat Genet&lt;/full-title&gt;&lt;/periodical&gt;&lt;pages&gt;53-5&lt;/pages&gt;&lt;volume&gt;18&lt;/volume&gt;&lt;number&gt;1&lt;/number&gt;&lt;edition&gt;1998/01/13&lt;/edition&gt;&lt;keywords&gt;&lt;keyword&gt;Amino Acid Sequence&lt;/keyword&gt;&lt;keyword&gt;Base Sequence&lt;/keyword&gt;&lt;keyword&gt;Chromosomes, Human, Pair 8&lt;/keyword&gt;&lt;keyword&gt;Epilepsy, Generalized/*genetics&lt;/keyword&gt;&lt;keyword&gt;Female&lt;/keyword&gt;&lt;keyword&gt;Genetic Variation&lt;/keyword&gt;&lt;keyword&gt;Humans&lt;/keyword&gt;&lt;keyword&gt;KCNQ3 Potassium Channel&lt;/keyword&gt;&lt;keyword&gt;Male&lt;/keyword&gt;&lt;keyword&gt;Molecular Sequence Data&lt;/keyword&gt;&lt;keyword&gt;*Mutation&lt;/keyword&gt;&lt;keyword&gt;Pedigree&lt;/keyword&gt;&lt;keyword&gt;Polymerase Chain Reaction&lt;/keyword&gt;&lt;keyword&gt;Polymorphism, Single-Stranded Conformational&lt;/keyword&gt;&lt;keyword&gt;Potassium Channels/*genetics&lt;/keyword&gt;&lt;keyword&gt;*Potassium Channels, Voltage-Gated&lt;/keyword&gt;&lt;keyword&gt;Sequence Homology, Amino Acid&lt;/keyword&gt;&lt;/keywords&gt;&lt;dates&gt;&lt;year&gt;1998&lt;/year&gt;&lt;pub-dates&gt;&lt;date&gt;Jan&lt;/date&gt;&lt;/pub-dates&gt;&lt;/dates&gt;&lt;isbn&gt;1061-4036 (Print)&amp;#xD;1061-4036 (Linking)&lt;/isbn&gt;&lt;accession-num&gt;9425900&lt;/accession-num&gt;&lt;urls&gt;&lt;related-urls&gt;&lt;url&gt;http://www.ncbi.nlm.nih.gov/pubmed/9425900&lt;/url&gt;&lt;/related-urls&gt;&lt;/urls&gt;&lt;electronic-resource-num&gt;10.1038/ng0198-53&lt;/electronic-resource-num&gt;&lt;language&gt;eng&lt;/language&gt;&lt;/record&gt;&lt;/Cite&gt;&lt;/EndNote&gt;</w:instrText>
      </w:r>
      <w:r>
        <w:rPr/>
        <w:fldChar w:fldCharType="separate"/>
      </w:r>
      <w:bookmarkStart w:id="11" w:name="__Fieldmark__193_4090835577"/>
      <w:r>
        <w:rPr/>
      </w:r>
      <w:r>
        <w:rPr>
          <w:rFonts w:cs="Arial" w:ascii="Arial" w:hAnsi="Arial"/>
          <w:sz w:val="20"/>
          <w:szCs w:val="20"/>
          <w:lang w:val="en-GB"/>
        </w:rPr>
        <w:t>(Charlier et al., 1998)</w:t>
      </w:r>
      <w:r>
        <w:rPr/>
      </w:r>
      <w:r>
        <w:rPr/>
        <w:fldChar w:fldCharType="end"/>
      </w:r>
      <w:hyperlink w:anchor="_ENREF_9" w:tgtFrame="Charlier, 1998 #3">
        <w:bookmarkEnd w:id="11"/>
        <w:r>
          <w:rPr>
            <w:rFonts w:cs="Arial" w:ascii="Arial" w:hAnsi="Arial"/>
            <w:sz w:val="20"/>
            <w:szCs w:val="20"/>
            <w:lang w:val="en-GB"/>
          </w:rPr>
          <w:t xml:space="preserve">; mutations in KCNQ2 are linked to Benign Familial Neonate Seizures (BFNS) with seizure-phenotypes in neonates and in 15% of adults. Anti-Epileptic drugs targeting KV7/KCNQ/M potassium channels are Retigabine and ICA-105665 </w:t>
        </w:r>
      </w:hyperlink>
      <w:r>
        <w:fldChar w:fldCharType="begin"/>
      </w:r>
      <w:r>
        <w:rPr/>
        <w:instrText>ADDIN EN.CITE &lt;EndNote&gt;&lt;Cite&gt;&lt;Author&gt;Rogawski&lt;/Author&gt;&lt;Year&gt;2008&lt;/Year&gt;&lt;RecNum&gt;13&lt;/RecNum&gt;&lt;DisplayText&gt;(Rogawski and Bazil, 2008)&lt;/DisplayText&gt;&lt;record&gt;&lt;rec-number&gt;13&lt;/rec-number&gt;&lt;foreign-keys&gt;&lt;key app="EN" db-id="vedta2ppje59fceprax5xvwqzxt2awx0xd99"&gt;13&lt;/key&gt;&lt;/foreign-keys&gt;&lt;ref-type name="Journal Article"&gt;17&lt;/ref-type&gt;&lt;contributors&gt;&lt;authors&gt;&lt;author&gt;Rogawski, M. A.&lt;/author&gt;&lt;author&gt;Bazil, C. W.&lt;/author&gt;&lt;/authors&gt;&lt;/contributors&gt;&lt;auth-address&gt;Univ Calif Davis, Sch Med, Dept Neurol, Sacramento, CA 95817 USA&lt;/auth-address&gt;&lt;titles&gt;&lt;title&gt;New molecular targets for Antiepileptic drugs: alpha 2 delta, SV2A, and K(v)7/KCNQ/M potassium channels&lt;/title&gt;&lt;secondary-title&gt;Current Neurology and Neuroscience Reports&lt;/secondary-title&gt;&lt;alt-title&gt;Curr Neurol Neurosci&lt;/alt-title&gt;&lt;/titles&gt;&lt;periodical&gt;&lt;full-title&gt;Current Neurology and Neuroscience Reports&lt;/full-title&gt;&lt;abbr-1&gt;Curr Neurol Neurosci&lt;/abbr-1&gt;&lt;/periodical&gt;&lt;alt-periodical&gt;&lt;full-title&gt;Current Neurology and Neuroscience Reports&lt;/full-title&gt;&lt;abbr-1&gt;Curr Neurol Neurosci&lt;/abbr-1&gt;&lt;/alt-periodical&gt;&lt;pages&gt;345-352&lt;/pages&gt;&lt;volume&gt;8&lt;/volume&gt;&lt;number&gt;4&lt;/number&gt;&lt;keywords&gt;&lt;keyword&gt;spike frequency adaptation&lt;/keyword&gt;&lt;keyword&gt;synaptic vesicle protein-2&lt;/keyword&gt;&lt;keyword&gt;ca1 pyramidal cells&lt;/keyword&gt;&lt;keyword&gt;calcium-channel&lt;/keyword&gt;&lt;keyword&gt;anticonvulsant retigabine&lt;/keyword&gt;&lt;keyword&gt;hippocampal-neurons&lt;/keyword&gt;&lt;keyword&gt;gabapentin binding&lt;/keyword&gt;&lt;keyword&gt;k+ channels&lt;/keyword&gt;&lt;keyword&gt;immunohistochemical analysis&lt;/keyword&gt;&lt;keyword&gt;neurotransmitter release&lt;/keyword&gt;&lt;/keywords&gt;&lt;dates&gt;&lt;year&gt;2008&lt;/year&gt;&lt;pub-dates&gt;&lt;date&gt;Jul&lt;/date&gt;&lt;/pub-dates&gt;&lt;/dates&gt;&lt;isbn&gt;1528-4042&lt;/isbn&gt;&lt;accession-num&gt;ISI:000257438100010&lt;/accession-num&gt;&lt;urls&gt;&lt;related-urls&gt;&lt;url&gt;&amp;lt;Go to ISI&amp;gt;://000257438100010&lt;/url&gt;&lt;/related-urls&gt;&lt;/urls&gt;&lt;electronic-resource-num&gt;DOI 10.1007/s11910-008-0053-7&lt;/electronic-resource-num&gt;&lt;language&gt;English&lt;/language&gt;&lt;/record&gt;&lt;/Cite&gt;&lt;/EndNote&gt;</w:instrText>
      </w:r>
      <w:r>
        <w:rPr/>
        <w:fldChar w:fldCharType="separate"/>
      </w:r>
      <w:bookmarkStart w:id="12" w:name="__Fieldmark__205_4090835577"/>
      <w:r>
        <w:rPr/>
      </w:r>
      <w:r>
        <w:rPr>
          <w:rFonts w:cs="Arial" w:ascii="Arial" w:hAnsi="Arial"/>
          <w:sz w:val="20"/>
          <w:szCs w:val="20"/>
          <w:lang w:val="en-GB"/>
        </w:rPr>
        <w:t>(Rogawski and Bazil, 2008)</w:t>
      </w:r>
      <w:r>
        <w:rPr/>
      </w:r>
      <w:r>
        <w:rPr/>
        <w:fldChar w:fldCharType="end"/>
      </w:r>
      <w:bookmarkEnd w:id="12"/>
    </w:p>
    <w:p>
      <w:pPr>
        <w:pStyle w:val="Normal"/>
        <w:spacing w:lineRule="auto" w:line="360" w:before="120" w:after="0"/>
        <w:jc w:val="both"/>
        <w:rPr/>
      </w:pPr>
      <w:r>
        <w:rPr>
          <w:rFonts w:cs="Arial" w:ascii="Arial" w:hAnsi="Arial"/>
          <w:sz w:val="20"/>
          <w:szCs w:val="20"/>
          <w:lang w:val="en-GB"/>
        </w:rPr>
        <w:t xml:space="preserve">Also sodium channels are important for action potential propagation; accordingly, also mutations of genes encoding voltage-gated sodium channels subunits, such as the </w:t>
      </w:r>
      <w:r>
        <w:rPr>
          <w:rFonts w:cs="Arial" w:ascii="Arial" w:hAnsi="Arial"/>
          <w:i/>
          <w:sz w:val="20"/>
          <w:szCs w:val="20"/>
          <w:lang w:val="en-GB"/>
        </w:rPr>
        <w:t>SCN1A</w:t>
      </w:r>
      <w:r>
        <w:rPr>
          <w:rFonts w:cs="Arial" w:ascii="Arial" w:hAnsi="Arial"/>
          <w:sz w:val="20"/>
          <w:szCs w:val="20"/>
          <w:lang w:val="en-GB"/>
        </w:rPr>
        <w:t xml:space="preserve"> and </w:t>
      </w:r>
      <w:r>
        <w:rPr>
          <w:rFonts w:cs="Arial" w:ascii="Arial" w:hAnsi="Arial"/>
          <w:i/>
          <w:sz w:val="20"/>
          <w:szCs w:val="20"/>
          <w:lang w:val="en-GB"/>
        </w:rPr>
        <w:t>SCN2A</w:t>
      </w:r>
      <w:r>
        <w:rPr>
          <w:rFonts w:cs="Arial" w:ascii="Arial" w:hAnsi="Arial"/>
          <w:sz w:val="20"/>
          <w:szCs w:val="20"/>
          <w:lang w:val="en-GB"/>
        </w:rPr>
        <w:t xml:space="preserve"> alpha or </w:t>
      </w:r>
      <w:r>
        <w:rPr>
          <w:rFonts w:cs="Arial" w:ascii="Arial" w:hAnsi="Arial"/>
          <w:i/>
          <w:sz w:val="20"/>
          <w:szCs w:val="20"/>
          <w:lang w:val="en-GB"/>
        </w:rPr>
        <w:t>SCN1B</w:t>
      </w:r>
      <w:r>
        <w:rPr>
          <w:rFonts w:cs="Arial" w:ascii="Arial" w:hAnsi="Arial"/>
          <w:sz w:val="20"/>
          <w:szCs w:val="20"/>
          <w:lang w:val="en-GB"/>
        </w:rPr>
        <w:t xml:space="preserve"> beta-subunits, are linked to epilepsy</w:t>
      </w:r>
      <w:r>
        <w:fldChar w:fldCharType="begin"/>
      </w:r>
      <w:r>
        <w:rPr/>
        <w:instrText>ADDIN EN.CITE &lt;EndNote&gt;&lt;Cite&gt;&lt;Author&gt;Heron&lt;/Author&gt;&lt;Year&gt;2007&lt;/Year&gt;&lt;RecNum&gt;4&lt;/RecNum&gt;&lt;DisplayText&gt;(Heron et al., 2007)&lt;/DisplayText&gt;&lt;record&gt;&lt;rec-number&gt;4&lt;/rec-number&gt;&lt;foreign-keys&gt;&lt;key app="EN" db-id="vedta2ppje59fceprax5xvwqzxt2awx0xd99"&gt;4&lt;/key&gt;&lt;/foreign-keys&gt;&lt;ref-type name="Journal Article"&gt;17&lt;/ref-type&gt;&lt;contributors&gt;&lt;authors&gt;&lt;author&gt;Heron, S. E.&lt;/author&gt;&lt;author&gt;Scheffer, I. E.&lt;/author&gt;&lt;author&gt;Berkovic, S. F.&lt;/author&gt;&lt;author&gt;Dibbens, L. M.&lt;/author&gt;&lt;author&gt;Mulley, J. C.&lt;/author&gt;&lt;/authors&gt;&lt;/contributors&gt;&lt;auth-address&gt;Department of Genetic Medicine, Women&amp;apos;s and Children&amp;apos;s Hospital, North Adelaide, South Australia 5006. sarah.heron@cywhs.sa.gov.au&lt;/auth-address&gt;&lt;titles&gt;&lt;title&gt;Channelopathies in idiopathic epilepsy&lt;/title&gt;&lt;secondary-title&gt;Neurotherapeutics&lt;/secondary-title&gt;&lt;/titles&gt;&lt;periodical&gt;&lt;full-title&gt;Neurotherapeutics&lt;/full-title&gt;&lt;/periodical&gt;&lt;pages&gt;295-304&lt;/pages&gt;&lt;volume&gt;4&lt;/volume&gt;&lt;number&gt;2&lt;/number&gt;&lt;edition&gt;2007/03/31&lt;/edition&gt;&lt;keywords&gt;&lt;keyword&gt;Animals&lt;/keyword&gt;&lt;keyword&gt;Channelopathies/*complications/*genetics&lt;/keyword&gt;&lt;keyword&gt;Chloride Channels/genetics/metabolism&lt;/keyword&gt;&lt;keyword&gt;Epilepsy/*etiology/*genetics&lt;/keyword&gt;&lt;keyword&gt;Family Health&lt;/keyword&gt;&lt;keyword&gt;Humans&lt;/keyword&gt;&lt;keyword&gt;Receptors, Cholinergic/genetics/metabolism&lt;/keyword&gt;&lt;keyword&gt;Receptors, GABA/genetics/metabolism&lt;/keyword&gt;&lt;keyword&gt;Sodium Channels/genetics/metabolism&lt;/keyword&gt;&lt;/keywords&gt;&lt;dates&gt;&lt;year&gt;2007&lt;/year&gt;&lt;pub-dates&gt;&lt;date&gt;Apr&lt;/date&gt;&lt;/pub-dates&gt;&lt;/dates&gt;&lt;isbn&gt;1933-7213 (Print)&amp;#xD;1878-7479 (Linking)&lt;/isbn&gt;&lt;accession-num&gt;17395140&lt;/accession-num&gt;&lt;urls&gt;&lt;related-urls&gt;&lt;url&gt;http://www.ncbi.nlm.nih.gov/pubmed/17395140&lt;/url&gt;&lt;/related-urls&gt;&lt;/urls&gt;&lt;electronic-resource-num&gt;S1933-7213(07)00010-4 [pii]&amp;#xD;10.1016/j.nurt.2007.01.009&lt;/electronic-resource-num&gt;&lt;language&gt;eng&lt;/language&gt;&lt;/record&gt;&lt;/Cite&gt;&lt;/EndNote&gt;</w:instrText>
      </w:r>
      <w:r>
        <w:rPr/>
        <w:fldChar w:fldCharType="separate"/>
      </w:r>
      <w:bookmarkStart w:id="13" w:name="__Fieldmark__224_4090835577"/>
      <w:r>
        <w:rPr/>
      </w:r>
      <w:r>
        <w:rPr>
          <w:rFonts w:cs="Arial" w:ascii="Arial" w:hAnsi="Arial"/>
          <w:sz w:val="20"/>
          <w:szCs w:val="20"/>
          <w:lang w:val="en-GB"/>
        </w:rPr>
        <w:t>(Heron et al., 2007)</w:t>
      </w:r>
      <w:r>
        <w:rPr/>
      </w:r>
      <w:r>
        <w:rPr/>
        <w:fldChar w:fldCharType="end"/>
      </w:r>
      <w:hyperlink w:anchor="_ENREF_27" w:tgtFrame="Heron, 2007 #4">
        <w:bookmarkEnd w:id="13"/>
        <w:r>
          <w:rPr>
            <w:rFonts w:cs="Arial" w:ascii="Arial" w:hAnsi="Arial"/>
            <w:sz w:val="20"/>
            <w:szCs w:val="20"/>
            <w:lang w:val="en-GB"/>
          </w:rPr>
          <w:t>. These are gain-of-function mutations causing an increase in Na</w:t>
        </w:r>
      </w:hyperlink>
      <w:r>
        <w:rPr>
          <w:rFonts w:cs="Arial" w:ascii="Arial" w:hAnsi="Arial"/>
          <w:sz w:val="20"/>
          <w:szCs w:val="20"/>
          <w:vertAlign w:val="superscript"/>
          <w:lang w:val="en-GB"/>
        </w:rPr>
        <w:t>+</w:t>
      </w:r>
      <w:r>
        <w:rPr>
          <w:rFonts w:cs="Arial" w:ascii="Arial" w:hAnsi="Arial"/>
          <w:sz w:val="20"/>
          <w:szCs w:val="20"/>
          <w:lang w:val="en-GB"/>
        </w:rPr>
        <w:t xml:space="preserve"> currents hence neuronal excitability, for example in epileptic encephalopathies (linked to </w:t>
      </w:r>
      <w:r>
        <w:rPr>
          <w:rFonts w:cs="Arial" w:ascii="Arial" w:hAnsi="Arial"/>
          <w:i/>
          <w:sz w:val="20"/>
          <w:szCs w:val="20"/>
          <w:lang w:val="en-GB"/>
        </w:rPr>
        <w:t>SCN1A</w:t>
      </w:r>
      <w:r>
        <w:rPr>
          <w:rFonts w:cs="Arial" w:ascii="Arial" w:hAnsi="Arial"/>
          <w:sz w:val="20"/>
          <w:szCs w:val="20"/>
          <w:lang w:val="en-GB"/>
        </w:rPr>
        <w:t xml:space="preserve">) or Benign familial neonatal-infantile seizures (BFNIS; linked to </w:t>
      </w:r>
      <w:r>
        <w:rPr>
          <w:rFonts w:cs="Arial" w:ascii="Arial" w:hAnsi="Arial"/>
          <w:i/>
          <w:sz w:val="20"/>
          <w:szCs w:val="20"/>
          <w:lang w:val="en-GB"/>
        </w:rPr>
        <w:t>SCN2A</w:t>
      </w:r>
      <w:r>
        <w:rPr>
          <w:rFonts w:cs="Arial" w:ascii="Arial" w:hAnsi="Arial"/>
          <w:sz w:val="20"/>
          <w:szCs w:val="20"/>
          <w:lang w:val="en-GB"/>
        </w:rPr>
        <w:t xml:space="preserve">) </w:t>
      </w:r>
      <w:r>
        <w:fldChar w:fldCharType="begin"/>
      </w:r>
      <w:r>
        <w:rPr/>
        <w:instrText>ADDIN EN.CITE &lt;EndNote&gt;&lt;Cite&gt;&lt;Author&gt;Heron&lt;/Author&gt;&lt;Year&gt;2007&lt;/Year&gt;&lt;RecNum&gt;4&lt;/RecNum&gt;&lt;DisplayText&gt;(Heron et al., 2007)&lt;/DisplayText&gt;&lt;record&gt;&lt;rec-number&gt;4&lt;/rec-number&gt;&lt;foreign-keys&gt;&lt;key app="EN" db-id="vedta2ppje59fceprax5xvwqzxt2awx0xd99"&gt;4&lt;/key&gt;&lt;/foreign-keys&gt;&lt;ref-type name="Journal Article"&gt;17&lt;/ref-type&gt;&lt;contributors&gt;&lt;authors&gt;&lt;author&gt;Heron, S. E.&lt;/author&gt;&lt;author&gt;Scheffer, I. E.&lt;/author&gt;&lt;author&gt;Berkovic, S. F.&lt;/author&gt;&lt;author&gt;Dibbens, L. M.&lt;/author&gt;&lt;author&gt;Mulley, J. C.&lt;/author&gt;&lt;/authors&gt;&lt;/contributors&gt;&lt;auth-address&gt;Department of Genetic Medicine, Women&amp;apos;s and Children&amp;apos;s Hospital, North Adelaide, South Australia 5006. sarah.heron@cywhs.sa.gov.au&lt;/auth-address&gt;&lt;titles&gt;&lt;title&gt;Channelopathies in idiopathic epilepsy&lt;/title&gt;&lt;secondary-title&gt;Neurotherapeutics&lt;/secondary-title&gt;&lt;/titles&gt;&lt;periodical&gt;&lt;full-title&gt;Neurotherapeutics&lt;/full-title&gt;&lt;/periodical&gt;&lt;pages&gt;295-304&lt;/pages&gt;&lt;volume&gt;4&lt;/volume&gt;&lt;number&gt;2&lt;/number&gt;&lt;edition&gt;2007/03/31&lt;/edition&gt;&lt;keywords&gt;&lt;keyword&gt;Animals&lt;/keyword&gt;&lt;keyword&gt;Channelopathies/*complications/*genetics&lt;/keyword&gt;&lt;keyword&gt;Chloride Channels/genetics/metabolism&lt;/keyword&gt;&lt;keyword&gt;Epilepsy/*etiology/*genetics&lt;/keyword&gt;&lt;keyword&gt;Family Health&lt;/keyword&gt;&lt;keyword&gt;Humans&lt;/keyword&gt;&lt;keyword&gt;Receptors, Cholinergic/genetics/metabolism&lt;/keyword&gt;&lt;keyword&gt;Receptors, GABA/genetics/metabolism&lt;/keyword&gt;&lt;keyword&gt;Sodium Channels/genetics/metabolism&lt;/keyword&gt;&lt;/keywords&gt;&lt;dates&gt;&lt;year&gt;2007&lt;/year&gt;&lt;pub-dates&gt;&lt;date&gt;Apr&lt;/date&gt;&lt;/pub-dates&gt;&lt;/dates&gt;&lt;isbn&gt;1933-7213 (Print)&amp;#xD;1878-7479 (Linking)&lt;/isbn&gt;&lt;accession-num&gt;17395140&lt;/accession-num&gt;&lt;urls&gt;&lt;related-urls&gt;&lt;url&gt;http://www.ncbi.nlm.nih.gov/pubmed/17395140&lt;/url&gt;&lt;/related-urls&gt;&lt;/urls&gt;&lt;electronic-resource-num&gt;S1933-7213(07)00010-4 [pii]&amp;#xD;10.1016/j.nurt.2007.01.009&lt;/electronic-resource-num&gt;&lt;language&gt;eng&lt;/language&gt;&lt;/record&gt;&lt;/Cite&gt;&lt;/EndNote&gt;</w:instrText>
      </w:r>
      <w:r>
        <w:rPr/>
        <w:fldChar w:fldCharType="separate"/>
      </w:r>
      <w:bookmarkStart w:id="14" w:name="__Fieldmark__245_4090835577"/>
      <w:r>
        <w:rPr/>
      </w:r>
      <w:r>
        <w:rPr>
          <w:rFonts w:cs="Arial" w:ascii="Arial" w:hAnsi="Arial"/>
          <w:sz w:val="20"/>
          <w:szCs w:val="20"/>
          <w:lang w:val="en-GB"/>
        </w:rPr>
        <w:t>(Heron et al., 2007)</w:t>
      </w:r>
      <w:r>
        <w:rPr/>
      </w:r>
      <w:r>
        <w:rPr/>
        <w:fldChar w:fldCharType="end"/>
      </w:r>
      <w:hyperlink w:anchor="_ENREF_27" w:tgtFrame="Heron, 2007 #4">
        <w:bookmarkEnd w:id="14"/>
        <w:r>
          <w:rPr>
            <w:rFonts w:cs="Arial" w:ascii="Arial" w:hAnsi="Arial"/>
            <w:sz w:val="20"/>
            <w:szCs w:val="20"/>
            <w:lang w:val="en-GB"/>
          </w:rPr>
          <w:t>. Therefore, anti-epileptic drugs targeting voltage-gated Na</w:t>
        </w:r>
      </w:hyperlink>
      <w:r>
        <w:rPr>
          <w:rFonts w:cs="Arial" w:ascii="Arial" w:hAnsi="Arial"/>
          <w:sz w:val="20"/>
          <w:szCs w:val="20"/>
          <w:vertAlign w:val="superscript"/>
          <w:lang w:val="en-GB"/>
        </w:rPr>
        <w:t>+</w:t>
      </w:r>
      <w:r>
        <w:rPr>
          <w:rFonts w:cs="Arial" w:ascii="Arial" w:hAnsi="Arial"/>
          <w:sz w:val="20"/>
          <w:szCs w:val="20"/>
          <w:lang w:val="en-GB"/>
        </w:rPr>
        <w:t xml:space="preserve"> channels, cause their fast or slow inactivation, correlating with a fast versus slow onset of recovery from seizure; typical drugs are Phenytoin and Valproate, which target the intracellular mouth between domain III and IV of the sodium channel α-subunit </w:t>
      </w:r>
      <w:r>
        <w:fldChar w:fldCharType="begin"/>
      </w:r>
      <w:r>
        <w:rPr/>
        <w:instrText>ADDIN EN.CITE</w:instrText>
      </w:r>
      <w:r>
        <w:rPr/>
        <w:fldChar w:fldCharType="separate"/>
      </w:r>
      <w:bookmarkStart w:id="15" w:name="__Fieldmark__261_4090835577"/>
      <w:r>
        <w:rPr/>
      </w:r>
      <w:r>
        <w:rPr/>
      </w:r>
      <w:r>
        <w:rPr/>
        <w:fldChar w:fldCharType="end"/>
      </w:r>
      <w:r>
        <w:fldChar w:fldCharType="begin"/>
      </w:r>
      <w:r>
        <w:rPr/>
        <w:instrText>ADDIN EN.CITE.DATA</w:instrText>
      </w:r>
      <w:r>
        <w:rPr/>
        <w:fldChar w:fldCharType="separate"/>
      </w:r>
      <w:bookmarkStart w:id="16" w:name="__Fieldmark__260_4090835577"/>
      <w:bookmarkEnd w:id="15"/>
      <w:r>
        <w:rPr/>
      </w:r>
      <w:r>
        <w:rPr>
          <w:rFonts w:cs="Arial" w:ascii="Arial" w:hAnsi="Arial"/>
          <w:sz w:val="20"/>
          <w:szCs w:val="20"/>
          <w:lang w:val="en-GB"/>
        </w:rPr>
        <w:t>(Castro et al., 2005; Rogawski and Loscher, 2004a)</w:t>
      </w:r>
      <w:r>
        <w:rPr/>
      </w:r>
      <w:r>
        <w:rPr/>
        <w:fldChar w:fldCharType="end"/>
      </w:r>
      <w:hyperlink w:anchor="_ENREF_68" w:tgtFrame="Rogawski, 2004 #19">
        <w:bookmarkEnd w:id="16"/>
        <w:r>
          <w:rPr>
            <w:rFonts w:cs="Arial" w:ascii="Arial" w:hAnsi="Arial"/>
            <w:sz w:val="20"/>
            <w:szCs w:val="20"/>
            <w:lang w:val="en-GB"/>
          </w:rPr>
          <w:t xml:space="preserve">.   </w:t>
        </w:r>
      </w:hyperlink>
    </w:p>
    <w:p>
      <w:pPr>
        <w:pStyle w:val="Normal"/>
        <w:spacing w:lineRule="auto" w:line="360" w:before="120" w:after="0"/>
        <w:jc w:val="both"/>
        <w:rPr/>
      </w:pPr>
      <w:r>
        <w:rPr>
          <w:rFonts w:cs="Arial" w:ascii="Arial" w:hAnsi="Arial"/>
          <w:sz w:val="20"/>
          <w:szCs w:val="20"/>
          <w:lang w:val="en-GB"/>
        </w:rPr>
        <w:t>A further gene linked to IGE, is the cholinergic receptor alpha2 subunit (CHRNA2); the heterozygous</w:t>
      </w:r>
      <w:r>
        <w:rPr>
          <w:rFonts w:cs="Arial" w:ascii="Arial" w:hAnsi="Arial"/>
          <w:i/>
          <w:sz w:val="20"/>
          <w:szCs w:val="20"/>
          <w:lang w:val="en-GB"/>
        </w:rPr>
        <w:t xml:space="preserve"> I279N</w:t>
      </w:r>
      <w:r>
        <w:rPr>
          <w:rFonts w:cs="Arial" w:ascii="Arial" w:hAnsi="Arial"/>
          <w:sz w:val="20"/>
          <w:szCs w:val="20"/>
          <w:lang w:val="en-GB"/>
        </w:rPr>
        <w:t xml:space="preserve"> missense mutation results in an increased sensibility of the excitatory synaptic receptor gated by the transmitter acetylcholine. This mutation causes autosomal dominant front lobe epilepsy accompanied also by sleep disorder, fatigue, anxiety and cognitive dysfunctions. People affected have nocturnal seizures and unorganised movements while sleeping </w:t>
      </w:r>
      <w:r>
        <w:fldChar w:fldCharType="begin"/>
      </w:r>
      <w:r>
        <w:rPr/>
        <w:instrText>ADDIN EN.CITE</w:instrText>
      </w:r>
      <w:r>
        <w:rPr/>
        <w:fldChar w:fldCharType="separate"/>
      </w:r>
      <w:bookmarkStart w:id="17" w:name="__Fieldmark__287_4090835577"/>
      <w:r>
        <w:rPr/>
      </w:r>
      <w:r>
        <w:rPr/>
      </w:r>
      <w:r>
        <w:rPr/>
        <w:fldChar w:fldCharType="end"/>
      </w:r>
      <w:r>
        <w:fldChar w:fldCharType="begin"/>
      </w:r>
      <w:r>
        <w:rPr/>
        <w:instrText>ADDIN EN.CITE.DATA</w:instrText>
      </w:r>
      <w:r>
        <w:rPr/>
        <w:fldChar w:fldCharType="separate"/>
      </w:r>
      <w:bookmarkStart w:id="18" w:name="__Fieldmark__286_4090835577"/>
      <w:bookmarkEnd w:id="17"/>
      <w:r>
        <w:rPr/>
      </w:r>
      <w:r>
        <w:rPr>
          <w:rFonts w:cs="Arial" w:ascii="Arial" w:hAnsi="Arial"/>
          <w:sz w:val="20"/>
          <w:szCs w:val="20"/>
          <w:lang w:val="en-GB"/>
        </w:rPr>
        <w:t>(Aridon et al., 2006)</w:t>
      </w:r>
      <w:r>
        <w:rPr/>
      </w:r>
      <w:r>
        <w:rPr/>
        <w:fldChar w:fldCharType="end"/>
      </w:r>
      <w:hyperlink w:anchor="_ENREF_1" w:tgtFrame="Aridon, 2006 #111">
        <w:bookmarkEnd w:id="18"/>
        <w:r>
          <w:rPr>
            <w:rFonts w:cs="Arial" w:ascii="Arial" w:hAnsi="Arial"/>
            <w:sz w:val="20"/>
            <w:szCs w:val="20"/>
            <w:lang w:val="en-GB"/>
          </w:rPr>
          <w:t xml:space="preserve">. Further mutations affect the transmembrane domain of other acetylcholine receptors subunits CHRA4 and CHRNB2, likewise leading to epilepsy </w:t>
        </w:r>
      </w:hyperlink>
      <w:r>
        <w:fldChar w:fldCharType="begin"/>
      </w:r>
      <w:r>
        <w:rPr/>
        <w:instrText>ADDIN EN.CITE &lt;EndNote&gt;&lt;Cite&gt;&lt;Author&gt;Heron&lt;/Author&gt;&lt;Year&gt;2007&lt;/Year&gt;&lt;RecNum&gt;4&lt;/RecNum&gt;&lt;DisplayText&gt;(Heron et al., 2007)&lt;/DisplayText&gt;&lt;record&gt;&lt;rec-number&gt;4&lt;/rec-number&gt;&lt;foreign-keys&gt;&lt;key app="EN" db-id="vedta2ppje59fceprax5xvwqzxt2awx0xd99"&gt;4&lt;/key&gt;&lt;/foreign-keys&gt;&lt;ref-type name="Journal Article"&gt;17&lt;/ref-type&gt;&lt;contributors&gt;&lt;authors&gt;&lt;author&gt;Heron, S. E.&lt;/author&gt;&lt;author&gt;Scheffer, I. E.&lt;/author&gt;&lt;author&gt;Berkovic, S. F.&lt;/author&gt;&lt;author&gt;Dibbens, L. M.&lt;/author&gt;&lt;author&gt;Mulley, J. C.&lt;/author&gt;&lt;/authors&gt;&lt;/contributors&gt;&lt;auth-address&gt;Department of Genetic Medicine, Women&amp;apos;s and Children&amp;apos;s Hospital, North Adelaide, South Australia 5006. sarah.heron@cywhs.sa.gov.au&lt;/auth-address&gt;&lt;titles&gt;&lt;title&gt;Channelopathies in idiopathic epilepsy&lt;/title&gt;&lt;secondary-title&gt;Neurotherapeutics&lt;/secondary-title&gt;&lt;/titles&gt;&lt;periodical&gt;&lt;full-title&gt;Neurotherapeutics&lt;/full-title&gt;&lt;/periodical&gt;&lt;pages&gt;295-304&lt;/pages&gt;&lt;volume&gt;4&lt;/volume&gt;&lt;number&gt;2&lt;/number&gt;&lt;edition&gt;2007/03/31&lt;/edition&gt;&lt;keywords&gt;&lt;keyword&gt;Animals&lt;/keyword&gt;&lt;keyword&gt;Channelopathies/*complications/*genetics&lt;/keyword&gt;&lt;keyword&gt;Chloride Channels/genetics/metabolism&lt;/keyword&gt;&lt;keyword&gt;Epilepsy/*etiology/*genetics&lt;/keyword&gt;&lt;keyword&gt;Family Health&lt;/keyword&gt;&lt;keyword&gt;Humans&lt;/keyword&gt;&lt;keyword&gt;Receptors, Cholinergic/genetics/metabolism&lt;/keyword&gt;&lt;keyword&gt;Receptors, GABA/genetics/metabolism&lt;/keyword&gt;&lt;keyword&gt;Sodium Channels/genetics/metabolism&lt;/keyword&gt;&lt;/keywords&gt;&lt;dates&gt;&lt;year&gt;2007&lt;/year&gt;&lt;pub-dates&gt;&lt;date&gt;Apr&lt;/date&gt;&lt;/pub-dates&gt;&lt;/dates&gt;&lt;isbn&gt;1933-7213 (Print)&amp;#xD;1878-7479 (Linking)&lt;/isbn&gt;&lt;accession-num&gt;17395140&lt;/accession-num&gt;&lt;urls&gt;&lt;related-urls&gt;&lt;url&gt;http://www.ncbi.nlm.nih.gov/pubmed/17395140&lt;/url&gt;&lt;/related-urls&gt;&lt;/urls&gt;&lt;electronic-resource-num&gt;S1933-7213(07)00010-4 [pii]&amp;#xD;10.1016/j.nurt.2007.01.009&lt;/electronic-resource-num&gt;&lt;language&gt;eng&lt;/language&gt;&lt;/record&gt;&lt;/Cite&gt;&lt;/EndNote&gt;</w:instrText>
      </w:r>
      <w:r>
        <w:rPr/>
        <w:fldChar w:fldCharType="separate"/>
      </w:r>
      <w:bookmarkStart w:id="19" w:name="__Fieldmark__297_4090835577"/>
      <w:r>
        <w:rPr/>
      </w:r>
      <w:r>
        <w:rPr>
          <w:rFonts w:cs="Arial" w:ascii="Arial" w:hAnsi="Arial"/>
          <w:sz w:val="20"/>
          <w:szCs w:val="20"/>
          <w:lang w:val="en-GB"/>
        </w:rPr>
        <w:t>(Heron et al., 2007)</w:t>
      </w:r>
      <w:r>
        <w:rPr/>
      </w:r>
      <w:r>
        <w:rPr/>
        <w:fldChar w:fldCharType="end"/>
      </w:r>
      <w:hyperlink w:anchor="_ENREF_27" w:tgtFrame="Heron, 2007 #4">
        <w:bookmarkEnd w:id="19"/>
        <w:r>
          <w:rPr>
            <w:rFonts w:cs="Arial" w:ascii="Arial" w:hAnsi="Arial"/>
            <w:sz w:val="20"/>
            <w:szCs w:val="20"/>
            <w:lang w:val="en-GB"/>
          </w:rPr>
          <w:t>.</w:t>
        </w:r>
      </w:hyperlink>
    </w:p>
    <w:p>
      <w:pPr>
        <w:pStyle w:val="Normal"/>
        <w:spacing w:lineRule="auto" w:line="360" w:before="120" w:after="0"/>
        <w:jc w:val="both"/>
        <w:rPr/>
      </w:pPr>
      <w:r>
        <w:rPr>
          <w:rFonts w:cs="Arial" w:ascii="Arial" w:hAnsi="Arial"/>
          <w:sz w:val="20"/>
          <w:szCs w:val="20"/>
          <w:lang w:val="en-GB"/>
        </w:rPr>
        <w:t>IGE-linked mutations can also affect genes encoding GABA</w:t>
      </w:r>
      <w:r>
        <w:rPr>
          <w:rFonts w:cs="Arial" w:ascii="Arial" w:hAnsi="Arial"/>
          <w:sz w:val="20"/>
          <w:szCs w:val="20"/>
          <w:vertAlign w:val="subscript"/>
          <w:lang w:val="en-GB"/>
        </w:rPr>
        <w:t>A</w:t>
      </w:r>
      <w:r>
        <w:rPr>
          <w:rFonts w:cs="Arial" w:ascii="Arial" w:hAnsi="Arial"/>
          <w:sz w:val="20"/>
          <w:szCs w:val="20"/>
          <w:lang w:val="en-GB"/>
        </w:rPr>
        <w:t xml:space="preserve"> receptor subunits, such as </w:t>
      </w:r>
      <w:r>
        <w:rPr>
          <w:rFonts w:cs="Arial" w:ascii="Arial" w:hAnsi="Arial"/>
          <w:i/>
          <w:sz w:val="20"/>
          <w:szCs w:val="20"/>
          <w:lang w:val="en-GB"/>
        </w:rPr>
        <w:t xml:space="preserve">GABRG2 </w:t>
      </w:r>
      <w:r>
        <w:rPr>
          <w:rFonts w:cs="Arial" w:ascii="Arial" w:hAnsi="Arial"/>
          <w:sz w:val="20"/>
          <w:szCs w:val="20"/>
          <w:lang w:val="en-GB"/>
        </w:rPr>
        <w:t>and</w:t>
      </w:r>
      <w:r>
        <w:rPr>
          <w:rFonts w:cs="Arial" w:ascii="Arial" w:hAnsi="Arial"/>
          <w:i/>
          <w:sz w:val="20"/>
          <w:szCs w:val="20"/>
          <w:lang w:val="en-GB"/>
        </w:rPr>
        <w:t xml:space="preserve"> GABRA1</w:t>
      </w:r>
      <w:r>
        <w:fldChar w:fldCharType="begin"/>
      </w:r>
      <w:r>
        <w:rPr/>
        <w:instrText>ADDIN EN.CITE &lt;EndNote&gt;&lt;Cite&gt;&lt;Author&gt;Heron&lt;/Author&gt;&lt;Year&gt;2007&lt;/Year&gt;&lt;RecNum&gt;4&lt;/RecNum&gt;&lt;DisplayText&gt;(Heron et al., 2007)&lt;/DisplayText&gt;&lt;record&gt;&lt;rec-number&gt;4&lt;/rec-number&gt;&lt;foreign-keys&gt;&lt;key app="EN" db-id="vedta2ppje59fceprax5xvwqzxt2awx0xd99"&gt;4&lt;/key&gt;&lt;/foreign-keys&gt;&lt;ref-type name="Journal Article"&gt;17&lt;/ref-type&gt;&lt;contributors&gt;&lt;authors&gt;&lt;author&gt;Heron, S. E.&lt;/author&gt;&lt;author&gt;Scheffer, I. E.&lt;/author&gt;&lt;author&gt;Berkovic, S. F.&lt;/author&gt;&lt;author&gt;Dibbens, L. M.&lt;/author&gt;&lt;author&gt;Mulley, J. C.&lt;/author&gt;&lt;/authors&gt;&lt;/contributors&gt;&lt;auth-address&gt;Department of Genetic Medicine, Women&amp;apos;s and Children&amp;apos;s Hospital, North Adelaide, South Australia 5006. sarah.heron@cywhs.sa.gov.au&lt;/auth-address&gt;&lt;titles&gt;&lt;title&gt;Channelopathies in idiopathic epilepsy&lt;/title&gt;&lt;secondary-title&gt;Neurotherapeutics&lt;/secondary-title&gt;&lt;/titles&gt;&lt;periodical&gt;&lt;full-title&gt;Neurotherapeutics&lt;/full-title&gt;&lt;/periodical&gt;&lt;pages&gt;295-304&lt;/pages&gt;&lt;volume&gt;4&lt;/volume&gt;&lt;number&gt;2&lt;/number&gt;&lt;edition&gt;2007/03/31&lt;/edition&gt;&lt;keywords&gt;&lt;keyword&gt;Animals&lt;/keyword&gt;&lt;keyword&gt;Channelopathies/*complications/*genetics&lt;/keyword&gt;&lt;keyword&gt;Chloride Channels/genetics/metabolism&lt;/keyword&gt;&lt;keyword&gt;Epilepsy/*etiology/*genetics&lt;/keyword&gt;&lt;keyword&gt;Family Health&lt;/keyword&gt;&lt;keyword&gt;Humans&lt;/keyword&gt;&lt;keyword&gt;Receptors, Cholinergic/genetics/metabolism&lt;/keyword&gt;&lt;keyword&gt;Receptors, GABA/genetics/metabolism&lt;/keyword&gt;&lt;keyword&gt;Sodium Channels/genetics/metabolism&lt;/keyword&gt;&lt;/keywords&gt;&lt;dates&gt;&lt;year&gt;2007&lt;/year&gt;&lt;pub-dates&gt;&lt;date&gt;Apr&lt;/date&gt;&lt;/pub-dates&gt;&lt;/dates&gt;&lt;isbn&gt;1933-7213 (Print)&amp;#xD;1878-7479 (Linking)&lt;/isbn&gt;&lt;accession-num&gt;17395140&lt;/accession-num&gt;&lt;urls&gt;&lt;related-urls&gt;&lt;url&gt;http://www.ncbi.nlm.nih.gov/pubmed/17395140&lt;/url&gt;&lt;/related-urls&gt;&lt;/urls&gt;&lt;electronic-resource-num&gt;S1933-7213(07)00010-4 [pii]&amp;#xD;10.1016/j.nurt.2007.01.009&lt;/electronic-resource-num&gt;&lt;language&gt;eng&lt;/language&gt;&lt;/record&gt;&lt;/Cite&gt;&lt;/EndNote&gt;</w:instrText>
      </w:r>
      <w:r>
        <w:rPr/>
        <w:fldChar w:fldCharType="separate"/>
      </w:r>
      <w:bookmarkStart w:id="20" w:name="__Fieldmark__316_4090835577"/>
      <w:r>
        <w:rPr/>
      </w:r>
      <w:r>
        <w:rPr>
          <w:rFonts w:cs="Arial" w:ascii="Arial" w:hAnsi="Arial"/>
          <w:sz w:val="20"/>
          <w:szCs w:val="20"/>
          <w:lang w:val="en-GB"/>
        </w:rPr>
        <w:t>(Heron et al., 2007)</w:t>
      </w:r>
      <w:r>
        <w:rPr/>
      </w:r>
      <w:r>
        <w:rPr/>
        <w:fldChar w:fldCharType="end"/>
      </w:r>
      <w:hyperlink w:anchor="_ENREF_27" w:tgtFrame="Heron, 2007 #4">
        <w:bookmarkEnd w:id="20"/>
        <w:r>
          <w:rPr>
            <w:rFonts w:cs="Arial" w:ascii="Arial" w:hAnsi="Arial"/>
            <w:sz w:val="20"/>
            <w:szCs w:val="20"/>
            <w:lang w:val="en-GB"/>
          </w:rPr>
          <w:t>. GABA</w:t>
        </w:r>
      </w:hyperlink>
      <w:r>
        <w:rPr>
          <w:rFonts w:cs="Arial" w:ascii="Arial" w:hAnsi="Arial"/>
          <w:sz w:val="20"/>
          <w:szCs w:val="20"/>
          <w:vertAlign w:val="subscript"/>
          <w:lang w:val="en-GB"/>
        </w:rPr>
        <w:t>A</w:t>
      </w:r>
      <w:r>
        <w:rPr>
          <w:rFonts w:cs="Arial" w:ascii="Arial" w:hAnsi="Arial"/>
          <w:sz w:val="20"/>
          <w:szCs w:val="20"/>
          <w:lang w:val="en-GB"/>
        </w:rPr>
        <w:t xml:space="preserve"> receptors inhibit synaptic excitation, which explains why their loss causes over-excitation leading to seizure.  Many anti-epileptic drugs target this receptor class, such as Phenobarbital, which acts by enhancing GABA-R current by acting as a positive allosteric modulator increasing the probability that the channel is opened </w:t>
      </w:r>
      <w:r>
        <w:fldChar w:fldCharType="begin"/>
      </w:r>
      <w:r>
        <w:rPr/>
        <w:instrText>ADDIN EN.CITE &lt;EndNote&gt;&lt;Cite&gt;&lt;Author&gt;Rogawski&lt;/Author&gt;&lt;Year&gt;2004&lt;/Year&gt;&lt;RecNum&gt;20&lt;/RecNum&gt;&lt;DisplayText&gt;(Rogawski and Loscher, 2004b)&lt;/DisplayText&gt;&lt;record&gt;&lt;rec-number&gt;20&lt;/rec-number&gt;&lt;foreign-keys&gt;&lt;key app="EN" db-id="vedta2ppje59fceprax5xvwqzxt2awx0xd99"&gt;20&lt;/key&gt;&lt;/foreign-keys&gt;&lt;ref-type name="Journal Article"&gt;17&lt;/ref-type&gt;&lt;contributors&gt;&lt;authors&gt;&lt;author&gt;Rogawski, M. A.&lt;/author&gt;&lt;author&gt;Loscher, W.&lt;/author&gt;&lt;/authors&gt;&lt;/contributors&gt;&lt;auth-address&gt;NINDS, Epilepsy Res Sect, NIH, Bethesda, MD 20892 USA&amp;#xD;Univ Vet Med, Dept Pharmacol Toxicol &amp;amp; Pharm, D-30559 Hannover, Germany&amp;#xD;Ctr Syst Neurosci, D-30559 Hannover, Germany&lt;/auth-address&gt;&lt;titles&gt;&lt;title&gt;The neurobiology of antiepileptic drugs for the treatment of nonepileptic conditions&lt;/title&gt;&lt;secondary-title&gt;Nature Medicine&lt;/secondary-title&gt;&lt;alt-title&gt;Nat Med&lt;/alt-title&gt;&lt;/titles&gt;&lt;periodical&gt;&lt;full-title&gt;Nature Medicine&lt;/full-title&gt;&lt;abbr-1&gt;Nat Med&lt;/abbr-1&gt;&lt;/periodical&gt;&lt;alt-periodical&gt;&lt;full-title&gt;Nature Medicine&lt;/full-title&gt;&lt;abbr-1&gt;Nat Med&lt;/abbr-1&gt;&lt;/alt-periodical&gt;&lt;pages&gt;685-692&lt;/pages&gt;&lt;volume&gt;10&lt;/volume&gt;&lt;number&gt;7&lt;/number&gt;&lt;keywords&gt;&lt;keyword&gt;randomized controlled-trial&lt;/keyword&gt;&lt;keyword&gt;placebo-controlled trial&lt;/keyword&gt;&lt;keyword&gt;gated sodium-channel&lt;/keyword&gt;&lt;keyword&gt;paroxysmal dystonic choreoathetosis&lt;/keyword&gt;&lt;keyword&gt;painful diabetic-neuropathy&lt;/keyword&gt;&lt;keyword&gt;constriction injury model&lt;/keyword&gt;&lt;keyword&gt;sensory neurons&lt;/keyword&gt;&lt;keyword&gt;spinal-cord&lt;/keyword&gt;&lt;keyword&gt;status-epilepticus&lt;/keyword&gt;&lt;keyword&gt;common mechanism&lt;/keyword&gt;&lt;/keywords&gt;&lt;dates&gt;&lt;year&gt;2004&lt;/year&gt;&lt;pub-dates&gt;&lt;date&gt;Jul&lt;/date&gt;&lt;/pub-dates&gt;&lt;/dates&gt;&lt;isbn&gt;1078-8956&lt;/isbn&gt;&lt;accession-num&gt;ISI:000222460400021&lt;/accession-num&gt;&lt;urls&gt;&lt;related-urls&gt;&lt;url&gt;&amp;lt;Go to ISI&amp;gt;://000222460400021&lt;/url&gt;&lt;/related-urls&gt;&lt;/urls&gt;&lt;electronic-resource-num&gt;10.1038/nm1074&lt;/electronic-resource-num&gt;&lt;language&gt;English&lt;/language&gt;&lt;/record&gt;&lt;/Cite&gt;&lt;/EndNote&gt;</w:instrText>
      </w:r>
      <w:r>
        <w:rPr/>
        <w:fldChar w:fldCharType="separate"/>
      </w:r>
      <w:bookmarkStart w:id="21" w:name="__Fieldmark__331_4090835577"/>
      <w:r>
        <w:rPr/>
      </w:r>
      <w:r>
        <w:rPr>
          <w:rFonts w:cs="Arial" w:ascii="Arial" w:hAnsi="Arial"/>
          <w:sz w:val="20"/>
          <w:szCs w:val="20"/>
          <w:lang w:val="en-GB"/>
        </w:rPr>
        <w:t>(Rogawski and Loscher, 2004b)</w:t>
      </w:r>
      <w:r>
        <w:rPr/>
      </w:r>
      <w:r>
        <w:rPr/>
        <w:fldChar w:fldCharType="end"/>
      </w:r>
      <w:hyperlink w:anchor="_ENREF_69" w:tgtFrame="Rogawski, 2004 #20">
        <w:bookmarkEnd w:id="21"/>
        <w:r>
          <w:rPr>
            <w:rFonts w:cs="Arial" w:ascii="Arial" w:hAnsi="Arial"/>
            <w:sz w:val="20"/>
            <w:szCs w:val="20"/>
            <w:lang w:val="en-GB"/>
          </w:rPr>
          <w:t xml:space="preserve">, Vigabatrin and Tiagabine inhibit GABA transaminase (a GABA-degrading enzyme) </w:t>
        </w:r>
      </w:hyperlink>
      <w:r>
        <w:fldChar w:fldCharType="begin"/>
      </w:r>
      <w:r>
        <w:rPr/>
        <w:instrText>ADDIN EN.CITE &lt;EndNote&gt;&lt;Cite&gt;&lt;Author&gt;Greenfield&lt;/Author&gt;&lt;Year&gt;2013&lt;/Year&gt;&lt;RecNum&gt;51&lt;/RecNum&gt;&lt;DisplayText&gt;(Greenfield, 2013)&lt;/DisplayText&gt;&lt;record&gt;&lt;rec-number&gt;51&lt;/rec-number&gt;&lt;foreign-keys&gt;&lt;key app="EN" db-id="vedta2ppje59fceprax5xvwqzxt2awx0xd99"&gt;51&lt;/key&gt;&lt;/foreign-keys&gt;&lt;ref-type name="Journal Article"&gt;17&lt;/ref-type&gt;&lt;contributors&gt;&lt;authors&gt;&lt;author&gt;Greenfield, L. J.&lt;/author&gt;&lt;/authors&gt;&lt;/contributors&gt;&lt;auth-address&gt;Univ Arkansas Med Sci, Dept Neurol, Little Rock, AR 72205 USA&lt;/auth-address&gt;&lt;titles&gt;&lt;title&gt;Molecular mechanisms of antiseizure drug activity at GABA(A) receptors&lt;/title&gt;&lt;secondary-title&gt;Seizure-European Journal of Epilepsy&lt;/secondary-title&gt;&lt;alt-title&gt;Seizure-Eur J Epilep&lt;/alt-title&gt;&lt;/titles&gt;&lt;periodical&gt;&lt;full-title&gt;Seizure-European Journal of Epilepsy&lt;/full-title&gt;&lt;abbr-1&gt;Seizure-Eur J Epilep&lt;/abbr-1&gt;&lt;/periodical&gt;&lt;alt-periodical&gt;&lt;full-title&gt;Seizure-European Journal of Epilepsy&lt;/full-title&gt;&lt;abbr-1&gt;Seizure-Eur J Epilep&lt;/abbr-1&gt;&lt;/alt-periodical&gt;&lt;pages&gt;589-600&lt;/pages&gt;&lt;volume&gt;22&lt;/volume&gt;&lt;number&gt;8&lt;/number&gt;&lt;keywords&gt;&lt;keyword&gt;inhibition&lt;/keyword&gt;&lt;keyword&gt;epilepsy&lt;/keyword&gt;&lt;keyword&gt;antiepileptic drugs&lt;/keyword&gt;&lt;keyword&gt;gaba receptor&lt;/keyword&gt;&lt;keyword&gt;seizures&lt;/keyword&gt;&lt;keyword&gt;chloride channel&lt;/keyword&gt;&lt;keyword&gt;gamma-aminobutyric-acid&lt;/keyword&gt;&lt;keyword&gt;subunit messenger-rna&lt;/keyword&gt;&lt;keyword&gt;childhood absence epilepsy&lt;/keyword&gt;&lt;keyword&gt;hippocampal dentate gyrus&lt;/keyword&gt;&lt;keyword&gt;mouse spinal neurons&lt;/keyword&gt;&lt;keyword&gt;methyl-d-aspartate&lt;/keyword&gt;&lt;keyword&gt;a-receptor&lt;/keyword&gt;&lt;keyword&gt;anticonvulsant tolerance&lt;/keyword&gt;&lt;keyword&gt;neurosteroid modulation&lt;/keyword&gt;&lt;keyword&gt;rat-brain&lt;/keyword&gt;&lt;/keywords&gt;&lt;dates&gt;&lt;year&gt;2013&lt;/year&gt;&lt;pub-dates&gt;&lt;date&gt;Oct&lt;/date&gt;&lt;/pub-dates&gt;&lt;/dates&gt;&lt;isbn&gt;1059-1311&lt;/isbn&gt;&lt;accession-num&gt;ISI:000327174400001&lt;/accession-num&gt;&lt;urls&gt;&lt;related-urls&gt;&lt;url&gt;&amp;lt;Go to ISI&amp;gt;://000327174400001&lt;/url&gt;&lt;/related-urls&gt;&lt;/urls&gt;&lt;electronic-resource-num&gt;10.1016/j.seizure.2013.04.015&lt;/electronic-resource-num&gt;&lt;language&gt;English&lt;/language&gt;&lt;/record&gt;&lt;/Cite&gt;&lt;/EndNote&gt;</w:instrText>
      </w:r>
      <w:r>
        <w:rPr/>
        <w:fldChar w:fldCharType="separate"/>
      </w:r>
      <w:bookmarkStart w:id="22" w:name="__Fieldmark__342_4090835577"/>
      <w:r>
        <w:rPr/>
      </w:r>
      <w:r>
        <w:rPr>
          <w:rFonts w:cs="Arial" w:ascii="Arial" w:hAnsi="Arial"/>
          <w:sz w:val="20"/>
          <w:szCs w:val="20"/>
          <w:lang w:val="en-GB"/>
        </w:rPr>
        <w:t>(Greenfield, 2013)</w:t>
      </w:r>
      <w:r>
        <w:rPr/>
      </w:r>
      <w:r>
        <w:rPr/>
        <w:fldChar w:fldCharType="end"/>
      </w:r>
      <w:hyperlink w:anchor="_ENREF_21" w:tgtFrame="Greenfield, 2013 #51">
        <w:bookmarkEnd w:id="22"/>
        <w:r>
          <w:rPr>
            <w:rFonts w:cs="Arial" w:ascii="Arial" w:hAnsi="Arial"/>
            <w:sz w:val="20"/>
            <w:szCs w:val="20"/>
            <w:lang w:val="en-GB"/>
          </w:rPr>
          <w:t>, or Valproate which increases GABA synthesis and reduces turnover</w:t>
        </w:r>
      </w:hyperlink>
      <w:r>
        <w:fldChar w:fldCharType="begin"/>
      </w:r>
      <w:r>
        <w:rPr/>
        <w:instrText>ADDIN EN.CITE &lt;EndNote&gt;&lt;Cite&gt;&lt;Author&gt;Perucca&lt;/Author&gt;&lt;Year&gt;2002&lt;/Year&gt;&lt;RecNum&gt;65&lt;/RecNum&gt;&lt;DisplayText&gt;(Perucca, 2002)&lt;/DisplayText&gt;&lt;record&gt;&lt;rec-number&gt;65&lt;/rec-number&gt;&lt;foreign-keys&gt;&lt;key app="EN" db-id="vedta2ppje59fceprax5xvwqzxt2awx0xd99"&gt;65&lt;/key&gt;&lt;/foreign-keys&gt;&lt;ref-type name="Journal Article"&gt;17&lt;/ref-type&gt;&lt;contributors&gt;&lt;authors&gt;&lt;author&gt;Perucca, E.&lt;/author&gt;&lt;/authors&gt;&lt;/contributors&gt;&lt;auth-address&gt;Clinical Pharmacology Unit, Department of Internal Medicine and Therapeutics, University of Pavia, Pavia, Italy.&lt;/auth-address&gt;&lt;titles&gt;&lt;title&gt;Pharmacological and therapeutic properties of valproate: a summary after 35 years of clinical experience&lt;/title&gt;&lt;secondary-title&gt;CNS Drugs&lt;/secondary-title&gt;&lt;/titles&gt;&lt;periodical&gt;&lt;full-title&gt;CNS Drugs&lt;/full-title&gt;&lt;/periodical&gt;&lt;pages&gt;695-714&lt;/pages&gt;&lt;volume&gt;16&lt;/volume&gt;&lt;number&gt;10&lt;/number&gt;&lt;edition&gt;2002/09/25&lt;/edition&gt;&lt;keywords&gt;&lt;keyword&gt;Anticonvulsants/history/pharmacology/*therapeutic use&lt;/keyword&gt;&lt;keyword&gt;Clinical Trials as Topic&lt;/keyword&gt;&lt;keyword&gt;Drug Interactions&lt;/keyword&gt;&lt;keyword&gt;Epilepsy/*drug therapy/economics&lt;/keyword&gt;&lt;keyword&gt;History, 20th Century&lt;/keyword&gt;&lt;keyword&gt;History, 21st Century&lt;/keyword&gt;&lt;keyword&gt;Humans&lt;/keyword&gt;&lt;keyword&gt;Treatment Outcome&lt;/keyword&gt;&lt;keyword&gt;Valproic Acid/history/pharmacology/*therapeutic use&lt;/keyword&gt;&lt;/keywords&gt;&lt;dates&gt;&lt;year&gt;2002&lt;/year&gt;&lt;/dates&gt;&lt;isbn&gt;1172-7047 (Print)&amp;#xD;1172-7047 (Linking)&lt;/isbn&gt;&lt;accession-num&gt;12269862&lt;/accession-num&gt;&lt;urls&gt;&lt;related-urls&gt;&lt;url&gt;http://www.ncbi.nlm.nih.gov/pubmed/12269862&lt;/url&gt;&lt;/related-urls&gt;&lt;/urls&gt;&lt;electronic-resource-num&gt;161004 [pii]&amp;#xD;10.2165/00023210-200216100-00004&lt;/electronic-resource-num&gt;&lt;language&gt;eng&lt;/language&gt;&lt;/record&gt;&lt;/Cite&gt;&lt;/EndNote&gt;</w:instrText>
      </w:r>
      <w:r>
        <w:rPr/>
        <w:fldChar w:fldCharType="separate"/>
      </w:r>
      <w:bookmarkStart w:id="23" w:name="__Fieldmark__354_4090835577"/>
      <w:r>
        <w:rPr/>
      </w:r>
      <w:r>
        <w:rPr>
          <w:rFonts w:cs="Arial" w:ascii="Arial" w:hAnsi="Arial"/>
          <w:sz w:val="20"/>
          <w:szCs w:val="20"/>
          <w:lang w:val="en-GB"/>
        </w:rPr>
        <w:t>(Perucca, 2002)</w:t>
      </w:r>
      <w:r>
        <w:rPr/>
      </w:r>
      <w:r>
        <w:rPr/>
        <w:fldChar w:fldCharType="end"/>
      </w:r>
      <w:hyperlink w:anchor="_ENREF_56" w:tgtFrame="Perucca, 2002 #6">
        <w:bookmarkEnd w:id="23"/>
        <w:r>
          <w:rPr>
            <w:rFonts w:cs="Arial" w:ascii="Arial" w:hAnsi="Arial"/>
            <w:sz w:val="20"/>
            <w:szCs w:val="20"/>
            <w:lang w:val="en-GB"/>
          </w:rPr>
          <w:t>.</w:t>
        </w:r>
      </w:hyperlink>
    </w:p>
    <w:p>
      <w:pPr>
        <w:pStyle w:val="Normal"/>
        <w:spacing w:lineRule="auto" w:line="360" w:before="120" w:after="0"/>
        <w:jc w:val="both"/>
        <w:rPr/>
      </w:pPr>
      <w:r>
        <w:rPr>
          <w:rFonts w:cs="Arial" w:ascii="Arial" w:hAnsi="Arial"/>
          <w:sz w:val="20"/>
          <w:szCs w:val="20"/>
          <w:lang w:val="en-GB"/>
        </w:rPr>
        <w:t xml:space="preserve">Further mutations were identified as potential causes for complex epilepsies and affect genes, such as </w:t>
      </w:r>
      <w:r>
        <w:rPr>
          <w:rFonts w:cs="Arial" w:ascii="Arial" w:hAnsi="Arial"/>
          <w:i/>
          <w:sz w:val="20"/>
          <w:szCs w:val="20"/>
          <w:lang w:val="en-GB"/>
        </w:rPr>
        <w:t xml:space="preserve">CACNA1H </w:t>
      </w:r>
      <w:r>
        <w:rPr>
          <w:rFonts w:cs="Arial" w:ascii="Arial" w:hAnsi="Arial"/>
          <w:sz w:val="20"/>
          <w:szCs w:val="20"/>
          <w:lang w:val="en-GB"/>
        </w:rPr>
        <w:t>(a Ca</w:t>
      </w:r>
      <w:r>
        <w:rPr>
          <w:rFonts w:cs="Arial" w:ascii="Arial" w:hAnsi="Arial"/>
          <w:sz w:val="20"/>
          <w:szCs w:val="20"/>
          <w:vertAlign w:val="subscript"/>
          <w:lang w:val="en-GB"/>
        </w:rPr>
        <w:t>v</w:t>
      </w:r>
      <w:r>
        <w:rPr>
          <w:rFonts w:cs="Arial" w:ascii="Arial" w:hAnsi="Arial"/>
          <w:sz w:val="20"/>
          <w:szCs w:val="20"/>
          <w:lang w:val="en-GB"/>
        </w:rPr>
        <w:t>3.2 T-type calcium channel)</w:t>
      </w:r>
      <w:r>
        <w:rPr>
          <w:rFonts w:cs="Arial" w:ascii="Arial" w:hAnsi="Arial"/>
          <w:i/>
          <w:sz w:val="20"/>
          <w:szCs w:val="20"/>
          <w:lang w:val="en-GB"/>
        </w:rPr>
        <w:t xml:space="preserve">, GABRD </w:t>
      </w:r>
      <w:r>
        <w:rPr>
          <w:rFonts w:cs="Arial" w:ascii="Arial" w:hAnsi="Arial"/>
          <w:sz w:val="20"/>
          <w:szCs w:val="20"/>
          <w:lang w:val="en-GB"/>
        </w:rPr>
        <w:t>(a GABA</w:t>
      </w:r>
      <w:r>
        <w:rPr>
          <w:rFonts w:cs="Arial" w:ascii="Arial" w:hAnsi="Arial"/>
          <w:sz w:val="20"/>
          <w:szCs w:val="20"/>
          <w:vertAlign w:val="subscript"/>
          <w:lang w:val="en-GB"/>
        </w:rPr>
        <w:t>A</w:t>
      </w:r>
      <w:r>
        <w:rPr>
          <w:rFonts w:cs="Arial" w:ascii="Arial" w:hAnsi="Arial"/>
          <w:sz w:val="20"/>
          <w:szCs w:val="20"/>
          <w:lang w:val="en-GB"/>
        </w:rPr>
        <w:t xml:space="preserve"> receptor delta subunit), or</w:t>
      </w:r>
      <w:r>
        <w:rPr>
          <w:rFonts w:cs="Arial" w:ascii="Arial" w:hAnsi="Arial"/>
          <w:i/>
          <w:sz w:val="20"/>
          <w:szCs w:val="20"/>
          <w:lang w:val="en-GB"/>
        </w:rPr>
        <w:t xml:space="preserve"> KCND2 </w:t>
      </w:r>
      <w:r>
        <w:rPr>
          <w:rFonts w:cs="Arial" w:ascii="Arial" w:hAnsi="Arial"/>
          <w:sz w:val="20"/>
          <w:szCs w:val="20"/>
          <w:lang w:val="en-GB"/>
        </w:rPr>
        <w:t>(α-subunit of the K</w:t>
      </w:r>
      <w:r>
        <w:rPr>
          <w:rFonts w:cs="Arial" w:ascii="Arial" w:hAnsi="Arial"/>
          <w:sz w:val="20"/>
          <w:szCs w:val="20"/>
          <w:vertAlign w:val="subscript"/>
          <w:lang w:val="en-GB"/>
        </w:rPr>
        <w:t>v</w:t>
      </w:r>
      <w:r>
        <w:rPr>
          <w:rFonts w:cs="Arial" w:ascii="Arial" w:hAnsi="Arial"/>
          <w:sz w:val="20"/>
          <w:szCs w:val="20"/>
          <w:lang w:val="en-GB"/>
        </w:rPr>
        <w:t>4.2 voltage-gated potassium channel). For example, the GABA</w:t>
      </w:r>
      <w:r>
        <w:rPr>
          <w:rFonts w:cs="Arial" w:ascii="Arial" w:hAnsi="Arial"/>
          <w:sz w:val="20"/>
          <w:szCs w:val="20"/>
          <w:vertAlign w:val="subscript"/>
          <w:lang w:val="en-GB"/>
        </w:rPr>
        <w:t>A</w:t>
      </w:r>
      <w:r>
        <w:rPr>
          <w:rFonts w:cs="Arial" w:ascii="Arial" w:hAnsi="Arial"/>
          <w:sz w:val="20"/>
          <w:szCs w:val="20"/>
          <w:lang w:val="en-GB"/>
        </w:rPr>
        <w:t xml:space="preserve"> receptor δ subunit mediates tonic inhibition which is an important mechanism to control epilepsy</w:t>
      </w:r>
      <w:r>
        <w:fldChar w:fldCharType="begin"/>
      </w:r>
      <w:r>
        <w:rPr/>
        <w:instrText>ADDIN EN.CITE &lt;EndNote&gt;&lt;Cite&gt;&lt;Author&gt;Heron&lt;/Author&gt;&lt;Year&gt;2007&lt;/Year&gt;&lt;RecNum&gt;4&lt;/RecNum&gt;&lt;DisplayText&gt;(Heron et al., 2007)&lt;/DisplayText&gt;&lt;record&gt;&lt;rec-number&gt;4&lt;/rec-number&gt;&lt;foreign-keys&gt;&lt;key app="EN" db-id="vedta2ppje59fceprax5xvwqzxt2awx0xd99"&gt;4&lt;/key&gt;&lt;/foreign-keys&gt;&lt;ref-type name="Journal Article"&gt;17&lt;/ref-type&gt;&lt;contributors&gt;&lt;authors&gt;&lt;author&gt;Heron, S. E.&lt;/author&gt;&lt;author&gt;Scheffer, I. E.&lt;/author&gt;&lt;author&gt;Berkovic, S. F.&lt;/author&gt;&lt;author&gt;Dibbens, L. M.&lt;/author&gt;&lt;author&gt;Mulley, J. C.&lt;/author&gt;&lt;/authors&gt;&lt;/contributors&gt;&lt;auth-address&gt;Department of Genetic Medicine, Women&amp;apos;s and Children&amp;apos;s Hospital, North Adelaide, South Australia 5006. sarah.heron@cywhs.sa.gov.au&lt;/auth-address&gt;&lt;titles&gt;&lt;title&gt;Channelopathies in idiopathic epilepsy&lt;/title&gt;&lt;secondary-title&gt;Neurotherapeutics&lt;/secondary-title&gt;&lt;/titles&gt;&lt;periodical&gt;&lt;full-title&gt;Neurotherapeutics&lt;/full-title&gt;&lt;/periodical&gt;&lt;pages&gt;295-304&lt;/pages&gt;&lt;volume&gt;4&lt;/volume&gt;&lt;number&gt;2&lt;/number&gt;&lt;edition&gt;2007/03/31&lt;/edition&gt;&lt;keywords&gt;&lt;keyword&gt;Animals&lt;/keyword&gt;&lt;keyword&gt;Channelopathies/*complications/*genetics&lt;/keyword&gt;&lt;keyword&gt;Chloride Channels/genetics/metabolism&lt;/keyword&gt;&lt;keyword&gt;Epilepsy/*etiology/*genetics&lt;/keyword&gt;&lt;keyword&gt;Family Health&lt;/keyword&gt;&lt;keyword&gt;Humans&lt;/keyword&gt;&lt;keyword&gt;Receptors, Cholinergic/genetics/metabolism&lt;/keyword&gt;&lt;keyword&gt;Receptors, GABA/genetics/metabolism&lt;/keyword&gt;&lt;keyword&gt;Sodium Channels/genetics/metabolism&lt;/keyword&gt;&lt;/keywords&gt;&lt;dates&gt;&lt;year&gt;2007&lt;/year&gt;&lt;pub-dates&gt;&lt;date&gt;Apr&lt;/date&gt;&lt;/pub-dates&gt;&lt;/dates&gt;&lt;isbn&gt;1933-7213 (Print)&amp;#xD;1878-7479 (Linking)&lt;/isbn&gt;&lt;accession-num&gt;17395140&lt;/accession-num&gt;&lt;urls&gt;&lt;related-urls&gt;&lt;url&gt;http://www.ncbi.nlm.nih.gov/pubmed/17395140&lt;/url&gt;&lt;/related-urls&gt;&lt;/urls&gt;&lt;electronic-resource-num&gt;S1933-7213(07)00010-4 [pii]&amp;#xD;10.1016/j.nurt.2007.01.009&lt;/electronic-resource-num&gt;&lt;language&gt;eng&lt;/language&gt;&lt;/record&gt;&lt;/Cite&gt;&lt;/EndNote&gt;</w:instrText>
      </w:r>
      <w:r>
        <w:rPr/>
        <w:fldChar w:fldCharType="separate"/>
      </w:r>
      <w:bookmarkStart w:id="24" w:name="__Fieldmark__410_4090835577"/>
      <w:r>
        <w:rPr/>
      </w:r>
      <w:r>
        <w:rPr>
          <w:rFonts w:cs="Arial" w:ascii="Arial" w:hAnsi="Arial"/>
          <w:sz w:val="20"/>
          <w:szCs w:val="20"/>
          <w:lang w:val="en-GB"/>
        </w:rPr>
        <w:t>(Heron et al., 2007)</w:t>
      </w:r>
      <w:r>
        <w:rPr/>
      </w:r>
      <w:r>
        <w:rPr/>
        <w:fldChar w:fldCharType="end"/>
      </w:r>
      <w:hyperlink w:anchor="_ENREF_27" w:tgtFrame="Heron, 2007 #4">
        <w:bookmarkEnd w:id="24"/>
        <w:r>
          <w:rPr>
            <w:rFonts w:cs="Arial" w:ascii="Arial" w:hAnsi="Arial"/>
            <w:sz w:val="20"/>
            <w:szCs w:val="20"/>
            <w:lang w:val="en-GB"/>
          </w:rPr>
          <w:t xml:space="preserve">.  </w:t>
        </w:r>
      </w:hyperlink>
      <w:r>
        <w:rPr>
          <w:rFonts w:cs="Arial" w:ascii="Arial" w:hAnsi="Arial"/>
          <w:b/>
          <w:sz w:val="18"/>
          <w:szCs w:val="20"/>
          <w:lang w:val="en-GB"/>
        </w:rPr>
        <w:t xml:space="preserve"> </w:t>
      </w:r>
    </w:p>
    <w:p>
      <w:pPr>
        <w:pStyle w:val="Normal"/>
        <w:spacing w:lineRule="auto" w:line="360" w:before="120" w:after="0"/>
        <w:jc w:val="both"/>
        <w:rPr/>
      </w:pPr>
      <w:r>
        <w:rPr>
          <w:rFonts w:cs="Arial" w:ascii="Arial" w:hAnsi="Arial"/>
          <w:sz w:val="20"/>
          <w:szCs w:val="20"/>
          <w:lang w:val="en-GB"/>
        </w:rPr>
        <w:t>Genetic causes for epilepsy may not affect the channel proteins directly, but also the genes involved in their processing. For example, channel proteins have to be incorporated into the axonal membrane or at synapses, and this requires axonal transport to bring them to their final locations. Accordingly, the m</w:t>
      </w:r>
      <w:r>
        <w:rPr>
          <w:rFonts w:cs="Arial" w:ascii="Arial" w:hAnsi="Arial"/>
          <w:bCs/>
          <w:sz w:val="20"/>
          <w:szCs w:val="20"/>
          <w:lang w:val="en-GB"/>
        </w:rPr>
        <w:t>olecular motor protein KIF5A was shown to be essential for GABA</w:t>
      </w:r>
      <w:r>
        <w:rPr>
          <w:rFonts w:cs="Arial" w:ascii="Arial" w:hAnsi="Arial"/>
          <w:bCs/>
          <w:sz w:val="20"/>
          <w:szCs w:val="20"/>
          <w:vertAlign w:val="subscript"/>
          <w:lang w:val="en-GB"/>
        </w:rPr>
        <w:t>A</w:t>
      </w:r>
      <w:r>
        <w:rPr>
          <w:rFonts w:cs="Arial" w:ascii="Arial" w:hAnsi="Arial"/>
          <w:bCs/>
          <w:sz w:val="20"/>
          <w:szCs w:val="20"/>
          <w:lang w:val="en-GB"/>
        </w:rPr>
        <w:t xml:space="preserve"> receptor transport, and KIF5A deletion in a mouse model causes epilepsy </w:t>
      </w:r>
      <w:r>
        <w:fldChar w:fldCharType="begin"/>
      </w:r>
      <w:r>
        <w:rPr/>
        <w:instrText>ADDIN EN.CITE &lt;EndNote&gt;&lt;Cite&gt;&lt;Author&gt;Nakajima&lt;/Author&gt;&lt;Year&gt;2012&lt;/Year&gt;&lt;RecNum&gt;49&lt;/RecNum&gt;&lt;DisplayText&gt;(K. Nakajima et al., 2012)&lt;/DisplayText&gt;&lt;record&gt;&lt;rec-number&gt;49&lt;/rec-number&gt;&lt;foreign-keys&gt;&lt;key app="EN" db-id="vedta2ppje59fceprax5xvwqzxt2awx0xd99"&gt;49&lt;/key&gt;&lt;/foreign-keys&gt;&lt;ref-type name="Journal Article"&gt;17&lt;/ref-type&gt;&lt;contributors&gt;&lt;authors&gt;&lt;author&gt;Nakajima, K.&lt;/author&gt;&lt;author&gt;Yin, X. L.&lt;/author&gt;&lt;author&gt;Takei, Y.&lt;/author&gt;&lt;author&gt;Seog, D. H.&lt;/author&gt;&lt;author&gt;Homma, N.&lt;/author&gt;&lt;author&gt;Hirokawa, N.&lt;/author&gt;&lt;/authors&gt;&lt;/contributors&gt;&lt;auth-address&gt;Univ Tokyo, Grad Sch Med, Dept Cell Biol &amp;amp; Anat, Tokyo 1130033, Japan&amp;#xD;King Abdulaziz Univ, Ctr Excellence Genom Med Res, Jeddah 21589, Saudi Arabia&amp;#xD;Inje Univ, Coll Med, Dept Biochem, Pusan 614735, South Korea&lt;/auth-address&gt;&lt;titles&gt;&lt;title&gt;Molecular Motor KIF5A Is Essential for GABA(A) Receptor Transport, and KIF5A Deletion Causes Epilepsy&lt;/title&gt;&lt;secondary-title&gt;Neuron&lt;/secondary-title&gt;&lt;alt-title&gt;Neuron&lt;/alt-title&gt;&lt;/titles&gt;&lt;periodical&gt;&lt;full-title&gt;Neuron&lt;/full-title&gt;&lt;/periodical&gt;&lt;alt-periodical&gt;&lt;full-title&gt;Neuron&lt;/full-title&gt;&lt;/alt-periodical&gt;&lt;pages&gt;945-961&lt;/pages&gt;&lt;volume&gt;76&lt;/volume&gt;&lt;number&gt;5&lt;/number&gt;&lt;keywords&gt;&lt;keyword&gt;kinesin heavy-chain&lt;/keyword&gt;&lt;keyword&gt;nmda receptor&lt;/keyword&gt;&lt;keyword&gt;intracellular-transport&lt;/keyword&gt;&lt;keyword&gt;targeted disruption&lt;/keyword&gt;&lt;keyword&gt;cerebral-cortex&lt;/keyword&gt;&lt;keyword&gt;protein&lt;/keyword&gt;&lt;keyword&gt;gabarap&lt;/keyword&gt;&lt;keyword&gt;neurons&lt;/keyword&gt;&lt;keyword&gt;superfamily&lt;/keyword&gt;&lt;keyword&gt;binding&lt;/keyword&gt;&lt;/keywords&gt;&lt;dates&gt;&lt;year&gt;2012&lt;/year&gt;&lt;pub-dates&gt;&lt;date&gt;Dec 6&lt;/date&gt;&lt;/pub-dates&gt;&lt;/dates&gt;&lt;isbn&gt;0896-6273&lt;/isbn&gt;&lt;accession-num&gt;ISI:000312283400011&lt;/accession-num&gt;&lt;urls&gt;&lt;related-urls&gt;&lt;url&gt;&amp;lt;Go to ISI&amp;gt;://000312283400011&lt;/url&gt;&lt;/related-urls&gt;&lt;/urls&gt;&lt;electronic-resource-num&gt;10.1016/j.neuron.2012.10.012&lt;/electronic-resource-num&gt;&lt;language&gt;English&lt;/language&gt;&lt;/record&gt;&lt;/Cite&gt;&lt;/EndNote&gt;</w:instrText>
      </w:r>
      <w:r>
        <w:rPr/>
        <w:fldChar w:fldCharType="separate"/>
      </w:r>
      <w:bookmarkStart w:id="25" w:name="__Fieldmark__435_4090835577"/>
      <w:r>
        <w:rPr/>
      </w:r>
      <w:r>
        <w:rPr>
          <w:rFonts w:cs="Arial" w:ascii="Arial" w:hAnsi="Arial"/>
          <w:bCs/>
          <w:sz w:val="20"/>
          <w:szCs w:val="20"/>
          <w:lang w:val="en-GB"/>
        </w:rPr>
        <w:t>(K. Nakajima et al., 2012)</w:t>
      </w:r>
      <w:r>
        <w:rPr/>
      </w:r>
      <w:r>
        <w:rPr/>
        <w:fldChar w:fldCharType="end"/>
      </w:r>
      <w:hyperlink w:anchor="_ENREF_51" w:tgtFrame="Nakajima, 2012 #49">
        <w:bookmarkEnd w:id="25"/>
        <w:r>
          <w:rPr>
            <w:rFonts w:cs="Arial" w:ascii="Arial" w:hAnsi="Arial"/>
            <w:b/>
            <w:bCs/>
            <w:sz w:val="20"/>
            <w:szCs w:val="20"/>
            <w:lang w:val="en-GB"/>
          </w:rPr>
          <w:t xml:space="preserve">. </w:t>
        </w:r>
      </w:hyperlink>
    </w:p>
    <w:p>
      <w:pPr>
        <w:pStyle w:val="Normal"/>
        <w:spacing w:lineRule="auto" w:line="360" w:before="120" w:after="0"/>
        <w:jc w:val="both"/>
        <w:rPr>
          <w:rFonts w:ascii="Arial" w:hAnsi="Arial" w:cs="Arial"/>
          <w:sz w:val="20"/>
          <w:szCs w:val="20"/>
          <w:lang w:val="en-GB"/>
        </w:rPr>
      </w:pPr>
      <w:r>
        <w:rPr>
          <w:rFonts w:cs="Arial" w:ascii="Arial" w:hAnsi="Arial"/>
          <w:sz w:val="20"/>
          <w:szCs w:val="20"/>
          <w:lang w:val="en-GB"/>
        </w:rPr>
        <w:t>In this context, it is of interest that axonal transport is dependent on axonal microtubules (MTs); my host group discovered that fruit flies lacking one copy each of the three MT-regulating genes Eb1, tau and Msps/XMap215 (see more detail below), caused seizures in flies. The aim of my project was therefore to validate whether these seizures represent an epilepsy-like condition, whether MT regulation is the essential cause, and to investigate potential mechanisms mediating between MT regulation and seizure, starting with GABA-R transport as a potential candidate.</w:t>
      </w:r>
    </w:p>
    <w:p>
      <w:pPr>
        <w:pStyle w:val="Normal"/>
        <w:spacing w:lineRule="auto" w:line="360" w:before="120" w:after="0"/>
        <w:jc w:val="both"/>
        <w:rPr/>
      </w:pPr>
      <w:r>
        <w:rPr>
          <w:rFonts w:cs="Arial" w:ascii="Arial" w:hAnsi="Arial"/>
          <w:i/>
          <w:sz w:val="20"/>
          <w:szCs w:val="20"/>
          <w:lang w:val="en-GB"/>
        </w:rPr>
        <w:t>Drosophila melanogaster</w:t>
      </w:r>
      <w:r>
        <w:rPr>
          <w:rFonts w:cs="Arial" w:ascii="Arial" w:hAnsi="Arial"/>
          <w:sz w:val="20"/>
          <w:szCs w:val="20"/>
          <w:lang w:val="en-GB"/>
        </w:rPr>
        <w:t xml:space="preserve"> has been used as model organism for genetic and biomedical research for over a hundred years, and it is the by far best understood animal we have; the fact that 10 researchers were awarded the Nobel prize in Medicine and Physiology for their work with </w:t>
      </w:r>
      <w:r>
        <w:rPr>
          <w:rFonts w:cs="Arial" w:ascii="Arial" w:hAnsi="Arial"/>
          <w:i/>
          <w:sz w:val="20"/>
          <w:szCs w:val="20"/>
          <w:lang w:val="en-GB"/>
        </w:rPr>
        <w:t>Drosophila</w:t>
      </w:r>
      <w:r>
        <w:rPr>
          <w:rFonts w:cs="Arial" w:ascii="Arial" w:hAnsi="Arial"/>
          <w:sz w:val="20"/>
          <w:szCs w:val="20"/>
          <w:lang w:val="en-GB"/>
        </w:rPr>
        <w:t xml:space="preserve"> illustrates its relevance </w:t>
      </w:r>
      <w:r>
        <w:fldChar w:fldCharType="begin"/>
      </w:r>
      <w:r>
        <w:rPr/>
        <w:instrText>ADDIN EN.CITE &lt;EndNote&gt;&lt;Cite&gt;&lt;Author&gt;Prokop&lt;/Author&gt;&lt;Year&gt;2018&lt;/Year&gt;&lt;RecNum&gt;9369&lt;/RecNum&gt;&lt;DisplayText&gt;(Prokop, 2018)&lt;/DisplayText&gt;&lt;record&gt;&lt;rec-number&gt;9369&lt;/rec-number&gt;&lt;foreign-keys&gt;&lt;key app="EN" db-id="vwexp2xatx0fvxeff5rxex5pvw2vepptvvfs"&gt;9369&lt;/key&gt;&lt;/foreign-keys&gt;&lt;ref-type name="Journal Article"&gt;17&lt;/ref-type&gt;&lt;contributors&gt;&lt;authors&gt;&lt;author&gt;Prokop, A&lt;/author&gt;&lt;/authors&gt;&lt;/contributors&gt;&lt;titles&gt;&lt;title&gt;Why funding fruit fly research is important for the biomedical sciences&lt;/title&gt;&lt;secondary-title&gt;Open Access Govern&lt;/secondary-title&gt;&lt;/titles&gt;&lt;pages&gt;198-201&lt;/pages&gt;&lt;volume&gt;20&lt;/volume&gt;&lt;keywords&gt;&lt;keyword&gt;science communication&lt;/keyword&gt;&lt;keyword&gt;Drosophila&lt;/keyword&gt;&lt;/keywords&gt;&lt;dates&gt;&lt;year&gt;2018&lt;/year&gt;&lt;/dates&gt;&lt;isbn&gt;2516-3817&lt;/isbn&gt;&lt;label&gt;PDF in Andreas&lt;/label&gt;&lt;urls&gt;&lt;related-urls&gt;&lt;url&gt;https://tinyurl.com/y7b25jpm&lt;/url&gt;&lt;url&gt;https://www.openaccessgovernment.org/fruit-fly-research/52396/&lt;/url&gt;&lt;url&gt;https://tinyurl.com/ya4dhbqa&lt;/url&gt;&lt;url&gt;http://genestogenomes.org/why-funding-fruit-fly-research-is-important-for-the-biomedical-sciences/&lt;/url&gt;&lt;/related-urls&gt;&lt;/urls&gt;&lt;/record&gt;&lt;/Cite&gt;&lt;/EndNote&gt;</w:instrText>
      </w:r>
      <w:r>
        <w:rPr/>
        <w:fldChar w:fldCharType="separate"/>
      </w:r>
      <w:bookmarkStart w:id="26" w:name="__Fieldmark__461_4090835577"/>
      <w:r>
        <w:rPr/>
      </w:r>
      <w:r>
        <w:rPr>
          <w:rFonts w:cs="Arial" w:ascii="Arial" w:hAnsi="Arial"/>
          <w:sz w:val="20"/>
          <w:szCs w:val="20"/>
          <w:lang w:val="en-GB"/>
        </w:rPr>
        <w:t>(Prokop, 2018)</w:t>
      </w:r>
      <w:r>
        <w:rPr/>
      </w:r>
      <w:r>
        <w:rPr/>
        <w:fldChar w:fldCharType="end"/>
      </w:r>
      <w:hyperlink w:anchor="_ENREF_60" w:tgtFrame="Prokop, 2018 #9369">
        <w:bookmarkEnd w:id="26"/>
        <w:r>
          <w:rPr>
            <w:rFonts w:cs="Arial" w:ascii="Arial" w:hAnsi="Arial"/>
            <w:sz w:val="20"/>
            <w:szCs w:val="20"/>
            <w:lang w:val="en-GB"/>
          </w:rPr>
          <w:t xml:space="preserve">. </w:t>
        </w:r>
      </w:hyperlink>
      <w:r>
        <w:rPr>
          <w:rFonts w:cs="Arial" w:ascii="Arial" w:hAnsi="Arial"/>
          <w:i/>
          <w:sz w:val="20"/>
          <w:szCs w:val="20"/>
          <w:lang w:val="en-GB"/>
        </w:rPr>
        <w:t>Drosophila</w:t>
      </w:r>
      <w:r>
        <w:rPr>
          <w:rFonts w:cs="Arial" w:ascii="Arial" w:hAnsi="Arial"/>
          <w:sz w:val="20"/>
          <w:szCs w:val="20"/>
          <w:lang w:val="en-GB"/>
        </w:rPr>
        <w:t xml:space="preserve"> is a cost effective and efficient model organism which can be bred in great numbers in a short time, easily kept and handled with little space requirement </w:t>
      </w:r>
      <w:r>
        <w:fldChar w:fldCharType="begin"/>
      </w:r>
      <w:r>
        <w:rPr/>
        <w:instrText>ADDIN EN.CITE &lt;EndNote&gt;&lt;Cite&gt;&lt;Author&gt;Prokop&lt;/Author&gt;&lt;Year&gt;2013&lt;/Year&gt;&lt;RecNum&gt;79&lt;/RecNum&gt;&lt;DisplayText&gt;(A. Prokop et al., 2013)&lt;/DisplayText&gt;&lt;record&gt;&lt;rec-number&gt;79&lt;/rec-number&gt;&lt;foreign-keys&gt;&lt;key app="EN" db-id="vedta2ppje59fceprax5xvwqzxt2awx0xd99"&gt;79&lt;/key&gt;&lt;/foreign-keys&gt;&lt;ref-type name="Journal Article"&gt;17&lt;/ref-type&gt;&lt;contributors&gt;&lt;authors&gt;&lt;author&gt;Prokop, A.&lt;/author&gt;&lt;author&gt;Beaven, R.&lt;/author&gt;&lt;author&gt;Qu, Y.&lt;/author&gt;&lt;author&gt;Sanchez-Soriano, N.&lt;/author&gt;&lt;/authors&gt;&lt;/contributors&gt;&lt;auth-address&gt;Univ Manchester, Fac Life Sci, Manchester M13 9PT, Lancs, England&lt;/auth-address&gt;&lt;titles&gt;&lt;title&gt;Using fly genetics to dissect the cytoskeletal machinery of neurons during axonal growth and maintenance&lt;/title&gt;&lt;secondary-title&gt;Journal of Cell Science&lt;/secondary-title&gt;&lt;alt-title&gt;J Cell Sci&lt;/alt-title&gt;&lt;/titles&gt;&lt;periodical&gt;&lt;full-title&gt;Journal of Cell Science&lt;/full-title&gt;&lt;abbr-1&gt;J Cell Sci&lt;/abbr-1&gt;&lt;/periodical&gt;&lt;alt-periodical&gt;&lt;full-title&gt;Journal of Cell Science&lt;/full-title&gt;&lt;abbr-1&gt;J Cell Sci&lt;/abbr-1&gt;&lt;/alt-periodical&gt;&lt;pages&gt;2331-2341&lt;/pages&gt;&lt;volume&gt;126&lt;/volume&gt;&lt;number&gt;11&lt;/number&gt;&lt;keywords&gt;&lt;keyword&gt;growth cone&lt;/keyword&gt;&lt;keyword&gt;cytoskeleton&lt;/keyword&gt;&lt;keyword&gt;axon&lt;/keyword&gt;&lt;keyword&gt;drosophila&lt;/keyword&gt;&lt;keyword&gt;actin&lt;/keyword&gt;&lt;keyword&gt;microtubule&lt;/keyword&gt;&lt;keyword&gt;brain disorders&lt;/keyword&gt;&lt;keyword&gt;adenomatous polyposis-coli&lt;/keyword&gt;&lt;keyword&gt;microtubule-associated proteins&lt;/keyword&gt;&lt;keyword&gt;inhibitory guidance cue&lt;/keyword&gt;&lt;keyword&gt;f-actin&lt;/keyword&gt;&lt;keyword&gt;neurite formation&lt;/keyword&gt;&lt;keyword&gt;plus tips&lt;/keyword&gt;&lt;keyword&gt;hereditary neuropathy&lt;/keyword&gt;&lt;keyword&gt;molecular-biology&lt;/keyword&gt;&lt;keyword&gt;binding proteins&lt;/keyword&gt;&lt;keyword&gt;cone filopodia&lt;/keyword&gt;&lt;/keywords&gt;&lt;dates&gt;&lt;year&gt;2013&lt;/year&gt;&lt;pub-dates&gt;&lt;date&gt;Jun 1&lt;/date&gt;&lt;/pub-dates&gt;&lt;/dates&gt;&lt;isbn&gt;0021-9533&lt;/isbn&gt;&lt;accession-num&gt;ISI:000320236100002&lt;/accession-num&gt;&lt;urls&gt;&lt;related-urls&gt;&lt;url&gt;&amp;lt;Go to ISI&amp;gt;://000320236100002&lt;/url&gt;&lt;/related-urls&gt;&lt;/urls&gt;&lt;electronic-resource-num&gt;10.1242/jcs.126912&lt;/electronic-resource-num&gt;&lt;language&gt;English&lt;/language&gt;&lt;/record&gt;&lt;/Cite&gt;&lt;/EndNote&gt;</w:instrText>
      </w:r>
      <w:r>
        <w:rPr/>
        <w:fldChar w:fldCharType="separate"/>
      </w:r>
      <w:bookmarkStart w:id="27" w:name="__Fieldmark__473_4090835577"/>
      <w:r>
        <w:rPr/>
      </w:r>
      <w:r>
        <w:rPr>
          <w:rFonts w:cs="Arial" w:ascii="Arial" w:hAnsi="Arial"/>
          <w:sz w:val="20"/>
          <w:szCs w:val="20"/>
          <w:lang w:val="en-GB"/>
        </w:rPr>
        <w:t>(A. Prokop et al., 2013)</w:t>
      </w:r>
      <w:r>
        <w:rPr/>
      </w:r>
      <w:r>
        <w:rPr/>
        <w:fldChar w:fldCharType="end"/>
      </w:r>
      <w:hyperlink w:anchor="_ENREF_61" w:tgtFrame="Prokop, 2013 #79">
        <w:bookmarkEnd w:id="27"/>
        <w:r>
          <w:rPr>
            <w:rFonts w:cs="Arial" w:ascii="Arial" w:hAnsi="Arial"/>
            <w:sz w:val="20"/>
            <w:szCs w:val="20"/>
            <w:lang w:val="en-GB"/>
          </w:rPr>
          <w:t xml:space="preserve">. Furthermore, the breadth of existing knowledge, genetic, molecular, cell biological and experimental strategies available in vivo and in cell culture are vast and promote efficient research </w:t>
        </w:r>
      </w:hyperlink>
      <w:r>
        <w:fldChar w:fldCharType="begin"/>
      </w:r>
      <w:r>
        <w:rPr/>
        <w:instrText>ADDIN EN.CITE</w:instrText>
      </w:r>
      <w:r>
        <w:rPr/>
        <w:fldChar w:fldCharType="separate"/>
      </w:r>
      <w:bookmarkStart w:id="28" w:name="__Fieldmark__485_4090835577"/>
      <w:r>
        <w:rPr/>
      </w:r>
      <w:r>
        <w:rPr/>
      </w:r>
      <w:r>
        <w:rPr/>
        <w:fldChar w:fldCharType="end"/>
      </w:r>
      <w:r>
        <w:fldChar w:fldCharType="begin"/>
      </w:r>
      <w:r>
        <w:rPr/>
        <w:instrText>ADDIN EN.CITE.DATA</w:instrText>
      </w:r>
      <w:r>
        <w:rPr/>
        <w:fldChar w:fldCharType="separate"/>
      </w:r>
      <w:bookmarkStart w:id="29" w:name="__Fieldmark__484_4090835577"/>
      <w:bookmarkEnd w:id="28"/>
      <w:r>
        <w:rPr/>
      </w:r>
      <w:r>
        <w:rPr>
          <w:rFonts w:cs="Arial" w:ascii="Arial" w:hAnsi="Arial"/>
          <w:sz w:val="20"/>
          <w:szCs w:val="20"/>
          <w:lang w:val="en-GB"/>
        </w:rPr>
        <w:t>(Ejsmont and Hassan, 2014; Hahn et al., 2016)</w:t>
      </w:r>
      <w:r>
        <w:rPr/>
      </w:r>
      <w:r>
        <w:rPr/>
        <w:fldChar w:fldCharType="end"/>
      </w:r>
      <w:hyperlink w:anchor="_ENREF_23" w:tgtFrame="Hahn, 2016 #8338">
        <w:bookmarkEnd w:id="29"/>
        <w:r>
          <w:rPr>
            <w:rFonts w:cs="Arial" w:ascii="Arial" w:hAnsi="Arial"/>
            <w:sz w:val="20"/>
            <w:szCs w:val="20"/>
            <w:lang w:val="en-GB"/>
          </w:rPr>
          <w:t xml:space="preserve">. Importantly, research in </w:t>
        </w:r>
      </w:hyperlink>
      <w:r>
        <w:rPr>
          <w:rFonts w:cs="Arial" w:ascii="Arial" w:hAnsi="Arial"/>
          <w:i/>
          <w:sz w:val="20"/>
          <w:szCs w:val="20"/>
          <w:lang w:val="en-GB"/>
        </w:rPr>
        <w:t>Drosophila</w:t>
      </w:r>
      <w:r>
        <w:rPr>
          <w:rFonts w:cs="Arial" w:ascii="Arial" w:hAnsi="Arial"/>
          <w:sz w:val="20"/>
          <w:szCs w:val="20"/>
          <w:lang w:val="en-GB"/>
        </w:rPr>
        <w:t xml:space="preserve"> has potential implications for human disease, based on the fact that 75% of genes implicated in human diseases are conserved in </w:t>
      </w:r>
      <w:r>
        <w:rPr>
          <w:rFonts w:cs="Arial" w:ascii="Arial" w:hAnsi="Arial"/>
          <w:i/>
          <w:sz w:val="20"/>
          <w:szCs w:val="20"/>
          <w:lang w:val="en-GB"/>
        </w:rPr>
        <w:t>Drosophila</w:t>
      </w:r>
      <w:r>
        <w:rPr>
          <w:rFonts w:cs="Arial" w:ascii="Arial" w:hAnsi="Arial"/>
          <w:sz w:val="20"/>
          <w:szCs w:val="20"/>
          <w:lang w:val="en-GB"/>
        </w:rPr>
        <w:t xml:space="preserve">’s genome </w:t>
      </w:r>
      <w:r>
        <w:fldChar w:fldCharType="begin"/>
      </w:r>
      <w:r>
        <w:rPr/>
        <w:instrText>ADDIN EN.CITE &lt;EndNote&gt;&lt;Cite&gt;&lt;Author&gt;Reiter&lt;/Author&gt;&lt;Year&gt;2001&lt;/Year&gt;&lt;RecNum&gt;6521&lt;/RecNum&gt;&lt;DisplayText&gt;(Reiter et al., 2001)&lt;/DisplayText&gt;&lt;record&gt;&lt;rec-number&gt;6521&lt;/rec-number&gt;&lt;foreign-keys&gt;&lt;key app="EN" db-id="vwexp2xatx0fvxeff5rxex5pvw2vepptvvfs"&gt;6521&lt;/key&gt;&lt;/foreign-keys&gt;&lt;ref-type name="Journal Article"&gt;17&lt;/ref-type&gt;&lt;contributors&gt;&lt;authors&gt;&lt;author&gt;Reiter, L. T.&lt;/author&gt;&lt;author&gt;Potocki, L.&lt;/author&gt;&lt;author&gt;Chien, S.&lt;/author&gt;&lt;author&gt;Gribskov, M.&lt;/author&gt;&lt;author&gt;Bier, E.&lt;/author&gt;&lt;/authors&gt;&lt;/contributors&gt;&lt;auth-address&gt;Section of Cell and Developmental Biology, University of California San Diego, La Jolla, California 92093-0349, USA.&lt;/auth-address&gt;&lt;titles&gt;&lt;title&gt;&lt;style face="normal" font="default" size="100%"&gt;A systematic analysis of human disease-associated gene sequences in &lt;/style&gt;&lt;style face="italic" font="default" size="100%"&gt;Drosophila melanogaster&lt;/style&gt;&lt;/title&gt;&lt;secondary-title&gt;Genome Res&lt;/secondary-title&gt;&lt;/titles&gt;&lt;pages&gt;1114-25&lt;/pages&gt;&lt;volume&gt;11&lt;/volume&gt;&lt;number&gt;6&lt;/number&gt;&lt;edition&gt;2001/05/31&lt;/edition&gt;&lt;keywords&gt;&lt;keyword&gt;Amino Acid Sequence/genetics&lt;/keyword&gt;&lt;keyword&gt;Animals&lt;/keyword&gt;&lt;keyword&gt;Computational Biology/methods&lt;/keyword&gt;&lt;keyword&gt;Conserved Sequence/genetics&lt;/keyword&gt;&lt;keyword&gt;Databases, Factual&lt;/keyword&gt;&lt;keyword&gt;Drosophila melanogaster/*genetics&lt;/keyword&gt;&lt;keyword&gt;Genes, Insect/*genetics&lt;/keyword&gt;&lt;keyword&gt;Genetic Diseases, Inborn/*genetics&lt;/keyword&gt;&lt;keyword&gt;Humans&lt;/keyword&gt;&lt;keyword&gt;Molecular Sequence Data&lt;/keyword&gt;&lt;keyword&gt;Sequence Homology, Nucleic Acid&lt;/keyword&gt;&lt;keyword&gt;Signal Transduction/genetics&lt;/keyword&gt;&lt;keyword&gt;review&lt;/keyword&gt;&lt;keyword&gt;test tube&lt;/keyword&gt;&lt;/keywords&gt;&lt;dates&gt;&lt;year&gt;2001&lt;/year&gt;&lt;pub-dates&gt;&lt;date&gt;Jun&lt;/date&gt;&lt;/pub-dates&gt;&lt;/dates&gt;&lt;isbn&gt;1088-9051 (Print)&amp;#xD;1088-9051 (Linking)&lt;/isbn&gt;&lt;accession-num&gt;11381037&lt;/accession-num&gt;&lt;urls&gt;&lt;related-urls&gt;&lt;url&gt;http://www.ncbi.nlm.nih.gov/pubmed/11381037&lt;/url&gt;&lt;/related-urls&gt;&lt;/urls&gt;&lt;custom2&gt;311089&lt;/custom2&gt;&lt;electronic-resource-num&gt;10.1101/gr.169101&lt;/electronic-resource-num&gt;&lt;language&gt;eng&lt;/language&gt;&lt;/record&gt;&lt;/Cite&gt;&lt;/EndNote&gt;</w:instrText>
      </w:r>
      <w:r>
        <w:rPr/>
        <w:fldChar w:fldCharType="separate"/>
      </w:r>
      <w:bookmarkStart w:id="30" w:name="__Fieldmark__505_4090835577"/>
      <w:r>
        <w:rPr/>
      </w:r>
      <w:r>
        <w:rPr>
          <w:rFonts w:cs="Arial" w:ascii="Arial" w:hAnsi="Arial"/>
          <w:sz w:val="20"/>
          <w:szCs w:val="20"/>
          <w:lang w:val="en-GB"/>
        </w:rPr>
        <w:t>(Reiter et al., 2001)</w:t>
      </w:r>
      <w:r>
        <w:rPr/>
      </w:r>
      <w:r>
        <w:rPr/>
        <w:fldChar w:fldCharType="end"/>
      </w:r>
      <w:hyperlink w:anchor="_ENREF_64" w:tgtFrame="Reiter, 2001 #6521">
        <w:bookmarkEnd w:id="30"/>
        <w:r>
          <w:rPr>
            <w:rFonts w:cs="Arial" w:ascii="Arial" w:hAnsi="Arial"/>
            <w:sz w:val="20"/>
            <w:szCs w:val="20"/>
            <w:lang w:val="en-GB"/>
          </w:rPr>
          <w:t xml:space="preserve">. </w:t>
        </w:r>
      </w:hyperlink>
    </w:p>
    <w:p>
      <w:pPr>
        <w:pStyle w:val="Normal"/>
        <w:spacing w:lineRule="auto" w:line="360" w:before="120" w:after="0"/>
        <w:jc w:val="both"/>
        <w:rPr/>
      </w:pPr>
      <w:r>
        <w:rPr>
          <w:rFonts w:cs="Arial" w:ascii="Arial" w:hAnsi="Arial"/>
          <w:sz w:val="20"/>
          <w:szCs w:val="20"/>
          <w:lang w:val="en-GB"/>
        </w:rPr>
        <w:t xml:space="preserve">Capitalising on this fact, </w:t>
      </w:r>
      <w:r>
        <w:rPr>
          <w:rFonts w:cs="Arial" w:ascii="Arial" w:hAnsi="Arial"/>
          <w:i/>
          <w:sz w:val="20"/>
          <w:szCs w:val="20"/>
          <w:lang w:val="en-GB"/>
        </w:rPr>
        <w:t>Drosophila</w:t>
      </w:r>
      <w:r>
        <w:rPr>
          <w:rFonts w:cs="Arial" w:ascii="Arial" w:hAnsi="Arial"/>
          <w:sz w:val="20"/>
          <w:szCs w:val="20"/>
          <w:lang w:val="en-GB"/>
        </w:rPr>
        <w:t xml:space="preserve"> is being used to understand genes linked to human diseases </w:t>
      </w:r>
      <w:r>
        <w:fldChar w:fldCharType="begin"/>
      </w:r>
      <w:r>
        <w:rPr/>
        <w:instrText>ADDIN EN.CITE &lt;EndNote&gt;&lt;Cite&gt;&lt;Author&gt;Wangler&lt;/Author&gt;&lt;Year&gt;2017&lt;/Year&gt;&lt;RecNum&gt;8963&lt;/RecNum&gt;&lt;DisplayText&gt;(Wangler et al., 2017)&lt;/DisplayText&gt;&lt;record&gt;&lt;rec-number&gt;8963&lt;/rec-number&gt;&lt;foreign-keys&gt;&lt;key app="EN" db-id="vwexp2xatx0fvxeff5rxex5pvw2vepptvvfs"&gt;8963&lt;/key&gt;&lt;/foreign-keys&gt;&lt;ref-type name="Journal Article"&gt;17&lt;/ref-type&gt;&lt;contributors&gt;&lt;authors&gt;&lt;author&gt;Wangler, Michael F.&lt;/author&gt;&lt;author&gt;Yamamoto, Shinya&lt;/author&gt;&lt;author&gt;Chao, Hsiao-Tuan&lt;/author&gt;&lt;author&gt;Posey, Jennifer E.&lt;/author&gt;&lt;author&gt;Westerfield, Monte&lt;/author&gt;&lt;author&gt;Postlethwait, John&lt;/author&gt;&lt;author&gt;Hieter, Philip&lt;/author&gt;&lt;author&gt;Boycott, Kym M.&lt;/author&gt;&lt;author&gt;Campeau, Philippe M.&lt;/author&gt;&lt;author&gt;Bellen, Hugo J.&lt;/author&gt;&lt;/authors&gt;&lt;/contributors&gt;&lt;titles&gt;&lt;title&gt;Model Organisms Facilitate Rare Disease Diagnosis and Therapeutic Research&lt;/title&gt;&lt;secondary-title&gt;Genetics&lt;/secondary-title&gt;&lt;/titles&gt;&lt;pages&gt;9-27&lt;/pages&gt;&lt;volume&gt;207&lt;/volume&gt;&lt;number&gt;1&lt;/number&gt;&lt;keywords&gt;&lt;keyword&gt;science communication&lt;/keyword&gt;&lt;keyword&gt;collaboration&lt;/keyword&gt;&lt;keyword&gt;review&lt;/keyword&gt;&lt;keyword&gt;Model organisms&lt;/keyword&gt;&lt;keyword&gt;Drosophila&lt;/keyword&gt;&lt;keyword&gt;zebrafish&lt;/keyword&gt;&lt;/keywords&gt;&lt;dates&gt;&lt;year&gt;2017&lt;/year&gt;&lt;/dates&gt;&lt;label&gt;PDF&lt;/label&gt;&lt;urls&gt;&lt;related-urls&gt;&lt;url&gt;http://www.genetics.org/content/genetics/207/1/9.full.pdf&lt;/url&gt;&lt;/related-urls&gt;&lt;/urls&gt;&lt;electronic-resource-num&gt;10.1534/genetics.117.203067&lt;/electronic-resource-num&gt;&lt;/record&gt;&lt;/Cite&gt;&lt;/EndNote&gt;</w:instrText>
      </w:r>
      <w:r>
        <w:rPr/>
        <w:fldChar w:fldCharType="separate"/>
      </w:r>
      <w:bookmarkStart w:id="31" w:name="__Fieldmark__520_4090835577"/>
      <w:r>
        <w:rPr/>
      </w:r>
      <w:r>
        <w:rPr>
          <w:rFonts w:cs="Arial" w:ascii="Arial" w:hAnsi="Arial"/>
          <w:sz w:val="20"/>
          <w:szCs w:val="20"/>
          <w:lang w:val="en-GB"/>
        </w:rPr>
        <w:t>(Wangler et al., 2017)</w:t>
      </w:r>
      <w:r>
        <w:rPr/>
      </w:r>
      <w:r>
        <w:rPr/>
        <w:fldChar w:fldCharType="end"/>
      </w:r>
      <w:hyperlink w:anchor="_ENREF_83" w:tgtFrame="Wangler, 2017 #8963">
        <w:bookmarkEnd w:id="31"/>
        <w:r>
          <w:rPr>
            <w:rFonts w:cs="Arial" w:ascii="Arial" w:hAnsi="Arial"/>
            <w:sz w:val="20"/>
            <w:szCs w:val="20"/>
            <w:lang w:val="en-GB"/>
          </w:rPr>
          <w:t xml:space="preserve">, and it has been instrumental in understanding principles of nervous system development, function and disease </w:t>
        </w:r>
      </w:hyperlink>
      <w:r>
        <w:fldChar w:fldCharType="begin"/>
      </w:r>
      <w:r>
        <w:rPr/>
        <w:instrText>ADDIN EN.CITE</w:instrText>
      </w:r>
      <w:r>
        <w:rPr/>
        <w:fldChar w:fldCharType="separate"/>
      </w:r>
      <w:bookmarkStart w:id="32" w:name="__Fieldmark__532_4090835577"/>
      <w:r>
        <w:rPr/>
      </w:r>
      <w:r>
        <w:rPr/>
      </w:r>
      <w:r>
        <w:rPr/>
        <w:fldChar w:fldCharType="end"/>
      </w:r>
      <w:r>
        <w:fldChar w:fldCharType="begin"/>
      </w:r>
      <w:r>
        <w:rPr/>
        <w:instrText>ADDIN EN.CITE.DATA</w:instrText>
      </w:r>
      <w:r>
        <w:rPr/>
        <w:fldChar w:fldCharType="separate"/>
      </w:r>
      <w:bookmarkStart w:id="33" w:name="__Fieldmark__531_4090835577"/>
      <w:bookmarkEnd w:id="32"/>
      <w:r>
        <w:rPr/>
      </w:r>
      <w:r>
        <w:rPr>
          <w:rFonts w:cs="Arial" w:ascii="Arial" w:hAnsi="Arial"/>
          <w:sz w:val="20"/>
          <w:szCs w:val="20"/>
          <w:lang w:val="en-GB"/>
        </w:rPr>
        <w:t>(Bellen et al., 2010; Mudher and Newman, 2007; Andreas  Prokop et al., 2013)</w:t>
      </w:r>
      <w:r>
        <w:rPr/>
      </w:r>
      <w:r>
        <w:rPr/>
        <w:fldChar w:fldCharType="end"/>
      </w:r>
      <w:hyperlink w:anchor="_ENREF_62" w:tgtFrame="Prokop, 2013 #6744">
        <w:bookmarkEnd w:id="33"/>
        <w:r>
          <w:rPr>
            <w:rFonts w:cs="Arial" w:ascii="Arial" w:hAnsi="Arial"/>
            <w:sz w:val="20"/>
            <w:szCs w:val="20"/>
            <w:lang w:val="en-GB"/>
          </w:rPr>
          <w:t xml:space="preserve">. For example, </w:t>
        </w:r>
      </w:hyperlink>
      <w:r>
        <w:rPr>
          <w:rFonts w:cs="Arial" w:ascii="Arial" w:hAnsi="Arial"/>
          <w:i/>
          <w:sz w:val="20"/>
          <w:szCs w:val="20"/>
          <w:lang w:val="en-GB"/>
        </w:rPr>
        <w:t>Drosophila</w:t>
      </w:r>
      <w:r>
        <w:rPr>
          <w:rFonts w:cs="Arial" w:ascii="Arial" w:hAnsi="Arial"/>
          <w:sz w:val="20"/>
          <w:szCs w:val="20"/>
          <w:lang w:val="en-GB"/>
        </w:rPr>
        <w:t xml:space="preserve"> is being used as a model for epilepsy; the same classes of sodium, potassium and GABA receptor channels that are linked to human epilepsy (see above) are also involved in </w:t>
      </w:r>
      <w:r>
        <w:rPr>
          <w:rFonts w:cs="Arial" w:ascii="Arial" w:hAnsi="Arial"/>
          <w:i/>
          <w:sz w:val="20"/>
          <w:szCs w:val="20"/>
          <w:lang w:val="en-GB"/>
        </w:rPr>
        <w:t>Drosophila</w:t>
      </w:r>
      <w:r>
        <w:rPr>
          <w:rFonts w:cs="Arial" w:ascii="Arial" w:hAnsi="Arial"/>
          <w:sz w:val="20"/>
          <w:szCs w:val="20"/>
          <w:lang w:val="en-GB"/>
        </w:rPr>
        <w:t xml:space="preserve">, to a degree that human anti-epileptic drugs have ameliorating effects in fly </w:t>
      </w:r>
      <w:r>
        <w:fldChar w:fldCharType="begin"/>
      </w:r>
      <w:r>
        <w:rPr/>
        <w:instrText>ADDIN EN.CITE</w:instrText>
      </w:r>
      <w:r>
        <w:rPr/>
        <w:fldChar w:fldCharType="separate"/>
      </w:r>
      <w:bookmarkStart w:id="34" w:name="__Fieldmark__558_4090835577"/>
      <w:r>
        <w:rPr/>
      </w:r>
      <w:r>
        <w:rPr/>
      </w:r>
      <w:r>
        <w:rPr/>
        <w:fldChar w:fldCharType="end"/>
      </w:r>
      <w:r>
        <w:fldChar w:fldCharType="begin"/>
      </w:r>
      <w:r>
        <w:rPr/>
        <w:instrText>ADDIN EN.CITE.DATA</w:instrText>
      </w:r>
      <w:r>
        <w:rPr/>
        <w:fldChar w:fldCharType="separate"/>
      </w:r>
      <w:bookmarkStart w:id="35" w:name="__Fieldmark__557_4090835577"/>
      <w:bookmarkEnd w:id="34"/>
      <w:r>
        <w:rPr/>
      </w:r>
      <w:r>
        <w:rPr>
          <w:rFonts w:cs="Arial" w:ascii="Arial" w:hAnsi="Arial"/>
          <w:sz w:val="20"/>
          <w:szCs w:val="20"/>
          <w:lang w:val="en-GB"/>
        </w:rPr>
        <w:t>(Kroll et al., 2015; Leal and Neckameyer, 2002; Parker et al., 2011)</w:t>
      </w:r>
      <w:r>
        <w:rPr/>
      </w:r>
      <w:r>
        <w:rPr/>
        <w:fldChar w:fldCharType="end"/>
      </w:r>
      <w:hyperlink w:anchor="_ENREF_55" w:tgtFrame="Parker, 2011 #7">
        <w:bookmarkEnd w:id="35"/>
        <w:r>
          <w:rPr>
            <w:rFonts w:cs="Arial" w:ascii="Arial" w:hAnsi="Arial"/>
            <w:sz w:val="20"/>
            <w:szCs w:val="20"/>
            <w:lang w:val="en-GB"/>
          </w:rPr>
          <w:t xml:space="preserve">. For example, the </w:t>
        </w:r>
      </w:hyperlink>
      <w:r>
        <w:rPr>
          <w:rFonts w:cs="Arial" w:ascii="Arial" w:hAnsi="Arial"/>
          <w:i/>
          <w:sz w:val="20"/>
          <w:szCs w:val="20"/>
          <w:lang w:val="en-GB"/>
        </w:rPr>
        <w:t>para</w:t>
      </w:r>
      <w:r>
        <w:rPr>
          <w:rFonts w:cs="Arial" w:ascii="Arial" w:hAnsi="Arial"/>
          <w:i/>
          <w:sz w:val="20"/>
          <w:szCs w:val="20"/>
          <w:vertAlign w:val="superscript"/>
          <w:lang w:val="en-GB"/>
        </w:rPr>
        <w:t>bss1</w:t>
      </w:r>
      <w:r>
        <w:rPr>
          <w:rFonts w:cs="Arial" w:ascii="Arial" w:hAnsi="Arial"/>
          <w:i/>
          <w:sz w:val="20"/>
          <w:szCs w:val="20"/>
          <w:lang w:val="en-GB"/>
        </w:rPr>
        <w:t xml:space="preserve"> </w:t>
      </w:r>
      <w:r>
        <w:rPr>
          <w:rFonts w:cs="Arial" w:ascii="Arial" w:hAnsi="Arial"/>
          <w:sz w:val="20"/>
          <w:szCs w:val="20"/>
          <w:lang w:val="en-GB"/>
        </w:rPr>
        <w:t xml:space="preserve">gain-of-function mutant allele of the para sodium channel which causes hyper-excitability , can be ameliorated but bot treated due to it severity with the anti-epileptic drugs gabapentin, potassium bromide, although phenytoin may be an exception showing a considerable change on mutants phenotype </w:t>
      </w:r>
      <w:r>
        <w:fldChar w:fldCharType="begin"/>
      </w:r>
      <w:r>
        <w:rPr/>
        <w:instrText>ADDIN EN.CITE</w:instrText>
      </w:r>
      <w:r>
        <w:rPr/>
        <w:fldChar w:fldCharType="separate"/>
      </w:r>
      <w:bookmarkStart w:id="36" w:name="__Fieldmark__587_4090835577"/>
      <w:r>
        <w:rPr/>
      </w:r>
      <w:r>
        <w:rPr/>
      </w:r>
      <w:r>
        <w:rPr/>
        <w:fldChar w:fldCharType="end"/>
      </w:r>
      <w:r>
        <w:fldChar w:fldCharType="begin"/>
      </w:r>
      <w:r>
        <w:rPr/>
        <w:instrText>ADDIN EN.CITE.DATA</w:instrText>
      </w:r>
      <w:r>
        <w:rPr/>
        <w:fldChar w:fldCharType="separate"/>
      </w:r>
      <w:bookmarkStart w:id="37" w:name="__Fieldmark__586_4090835577"/>
      <w:bookmarkEnd w:id="36"/>
      <w:r>
        <w:rPr/>
      </w:r>
      <w:r>
        <w:rPr>
          <w:rFonts w:cs="Arial" w:ascii="Arial" w:hAnsi="Arial"/>
          <w:sz w:val="20"/>
          <w:szCs w:val="20"/>
          <w:lang w:val="en-GB"/>
        </w:rPr>
        <w:t>(Parker et al., 2011; Reynolds et al., 2004; Song and Tanouye, 2008)</w:t>
      </w:r>
      <w:r>
        <w:rPr/>
      </w:r>
      <w:r>
        <w:rPr/>
        <w:fldChar w:fldCharType="end"/>
      </w:r>
      <w:hyperlink w:anchor="_ENREF_77" w:tgtFrame="Song, 2008 #113">
        <w:bookmarkEnd w:id="37"/>
        <w:r>
          <w:rPr>
            <w:rFonts w:cs="Arial" w:ascii="Arial" w:hAnsi="Arial"/>
            <w:sz w:val="20"/>
            <w:szCs w:val="20"/>
            <w:lang w:val="en-GB"/>
          </w:rPr>
          <w:t xml:space="preserve">. Interestingly, other studies in </w:t>
        </w:r>
      </w:hyperlink>
      <w:r>
        <w:rPr>
          <w:rFonts w:cs="Arial" w:ascii="Arial" w:hAnsi="Arial"/>
          <w:i/>
          <w:sz w:val="20"/>
          <w:szCs w:val="20"/>
          <w:lang w:val="en-GB"/>
        </w:rPr>
        <w:t>Drosophila</w:t>
      </w:r>
      <w:r>
        <w:rPr>
          <w:rFonts w:cs="Arial" w:ascii="Arial" w:hAnsi="Arial"/>
          <w:sz w:val="20"/>
          <w:szCs w:val="20"/>
          <w:lang w:val="en-GB"/>
        </w:rPr>
        <w:t xml:space="preserve"> have already reported potential links from MT regulators to seizure-like conditions </w:t>
      </w:r>
      <w:r>
        <w:fldChar w:fldCharType="begin"/>
      </w:r>
      <w:r>
        <w:rPr/>
        <w:instrText>ADDIN EN.CITE</w:instrText>
      </w:r>
      <w:r>
        <w:rPr/>
        <w:fldChar w:fldCharType="separate"/>
      </w:r>
      <w:bookmarkStart w:id="38" w:name="__Fieldmark__613_4090835577"/>
      <w:r>
        <w:rPr/>
      </w:r>
      <w:r>
        <w:rPr/>
      </w:r>
      <w:r>
        <w:rPr/>
        <w:fldChar w:fldCharType="end"/>
      </w:r>
      <w:r>
        <w:fldChar w:fldCharType="begin"/>
      </w:r>
      <w:r>
        <w:rPr/>
        <w:instrText>ADDIN EN.CITE.DATA</w:instrText>
      </w:r>
      <w:r>
        <w:rPr/>
        <w:fldChar w:fldCharType="separate"/>
      </w:r>
      <w:bookmarkStart w:id="39" w:name="__Fieldmark__612_4090835577"/>
      <w:bookmarkEnd w:id="38"/>
      <w:r>
        <w:rPr/>
      </w:r>
      <w:r>
        <w:rPr>
          <w:rFonts w:cs="Arial" w:ascii="Arial" w:hAnsi="Arial"/>
          <w:sz w:val="20"/>
          <w:szCs w:val="20"/>
          <w:lang w:val="en-GB"/>
        </w:rPr>
        <w:t>(Duncan et al., 2013; Holth et al., 2013)</w:t>
      </w:r>
      <w:r>
        <w:rPr/>
      </w:r>
      <w:r>
        <w:rPr/>
        <w:fldChar w:fldCharType="end"/>
      </w:r>
      <w:hyperlink w:anchor="_ENREF_29" w:tgtFrame="Holth, 2013 #7234">
        <w:bookmarkEnd w:id="39"/>
        <w:r>
          <w:rPr>
            <w:rFonts w:cs="Arial" w:ascii="Arial" w:hAnsi="Arial"/>
            <w:sz w:val="20"/>
            <w:szCs w:val="20"/>
            <w:lang w:val="en-GB"/>
          </w:rPr>
          <w:t xml:space="preserve">, providing further motivation for my project. </w:t>
        </w:r>
      </w:hyperlink>
    </w:p>
    <w:p>
      <w:pPr>
        <w:pStyle w:val="Normal"/>
        <w:spacing w:lineRule="auto" w:line="360" w:before="120" w:after="0"/>
        <w:jc w:val="both"/>
        <w:rPr/>
      </w:pPr>
      <w:r>
        <w:rPr>
          <w:rFonts w:cs="Arial" w:ascii="Arial" w:hAnsi="Arial"/>
          <w:sz w:val="20"/>
          <w:szCs w:val="20"/>
          <w:lang w:val="en-GB"/>
        </w:rPr>
        <w:t xml:space="preserve">Along these lines, the Prokop’s laboratory used the fruit fly to understand the cytoskeletal machinery of neurons during axonal growth and maintenance </w:t>
      </w:r>
      <w:r>
        <w:fldChar w:fldCharType="begin"/>
      </w:r>
      <w:r>
        <w:rPr/>
        <w:instrText>ADDIN EN.CITE</w:instrText>
      </w:r>
      <w:r>
        <w:rPr/>
        <w:fldChar w:fldCharType="separate"/>
      </w:r>
      <w:bookmarkStart w:id="40" w:name="__Fieldmark__637_4090835577"/>
      <w:r>
        <w:rPr/>
      </w:r>
      <w:r>
        <w:rPr/>
      </w:r>
      <w:r>
        <w:rPr/>
        <w:fldChar w:fldCharType="end"/>
      </w:r>
      <w:r>
        <w:fldChar w:fldCharType="begin"/>
      </w:r>
      <w:r>
        <w:rPr/>
        <w:instrText>ADDIN EN.CITE.DATA</w:instrText>
      </w:r>
      <w:r>
        <w:rPr/>
        <w:fldChar w:fldCharType="separate"/>
      </w:r>
      <w:bookmarkStart w:id="41" w:name="__Fieldmark__636_4090835577"/>
      <w:bookmarkEnd w:id="40"/>
      <w:r>
        <w:rPr/>
      </w:r>
      <w:r>
        <w:rPr>
          <w:rFonts w:cs="Arial" w:ascii="Arial" w:hAnsi="Arial"/>
          <w:sz w:val="20"/>
          <w:szCs w:val="20"/>
          <w:lang w:val="en-GB"/>
        </w:rPr>
        <w:t>(Andreas  Prokop et al., 2013; Sánchez-Soriano et al., 2007)</w:t>
      </w:r>
      <w:r>
        <w:rPr/>
      </w:r>
      <w:r>
        <w:rPr/>
        <w:fldChar w:fldCharType="end"/>
      </w:r>
      <w:hyperlink w:anchor="_ENREF_73" w:tgtFrame="Sánchez-Soriano, 2007 #4453">
        <w:bookmarkEnd w:id="41"/>
        <w:r>
          <w:rPr>
            <w:rFonts w:cs="Arial" w:ascii="Arial" w:hAnsi="Arial"/>
            <w:sz w:val="20"/>
            <w:szCs w:val="20"/>
            <w:lang w:val="en-GB"/>
          </w:rPr>
          <w:t>. Neurons are composed of long axons, which are the longest cellular process of animals acting like electric cables that wire our nervous systems and bodies</w:t>
        </w:r>
      </w:hyperlink>
      <w:r>
        <w:fldChar w:fldCharType="begin"/>
      </w:r>
      <w:r>
        <w:rPr/>
        <w:instrText>ADDIN EN.CITE &lt;EndNote&gt;&lt;Cite&gt;&lt;Author&gt;Prokop&lt;/Author&gt;&lt;Year&gt;2013&lt;/Year&gt;&lt;RecNum&gt;6744&lt;/RecNum&gt;&lt;DisplayText&gt;(Andreas  Prokop et al., 2013)&lt;/DisplayText&gt;&lt;record&gt;&lt;rec-number&gt;6744&lt;/rec-number&gt;&lt;foreign-keys&gt;&lt;key app="EN" db-id="vwexp2xatx0fvxeff5rxex5pvw2vepptvvfs"&gt;6744&lt;/key&gt;&lt;/foreign-keys&gt;&lt;ref-type name="Journal Article"&gt;17&lt;/ref-type&gt;&lt;contributors&gt;&lt;authors&gt;&lt;author&gt;Prokop, Andreas &lt;/author&gt;&lt;author&gt;Beaven, Robin&lt;/author&gt;&lt;author&gt;Qu, Yue &lt;/author&gt;&lt;author&gt;Sánchez-Soriano, Natalia &lt;/author&gt;&lt;/authors&gt;&lt;/contributors&gt;&lt;auth-address&gt;http://t.co/1nKDl9XLCG&amp;#xD;http://jcs.biologists.org/content/early/2013/05/29/jcs.126912.abstract&lt;/auth-address&gt;&lt;titles&gt;&lt;title&gt;Using fly genetics to dissect the cytoskeletal machinery of neurons during axonal growth and maintenance&lt;/title&gt;&lt;secondary-title&gt;J. Cell Sci.&lt;/secondary-title&gt;&lt;/titles&gt;&lt;pages&gt;2331-41&lt;/pages&gt;&lt;volume&gt;126&lt;/volume&gt;&lt;number&gt;11&lt;/number&gt;&lt;keywords&gt;&lt;keyword&gt;review&lt;/keyword&gt;&lt;/keywords&gt;&lt;dates&gt;&lt;year&gt;2013&lt;/year&gt;&lt;/dates&gt;&lt;label&gt;PDF in Andreas&lt;/label&gt;&lt;urls&gt;&lt;related-urls&gt;&lt;url&gt;http://dx.doi.org/10.1242/jcs.126912&lt;/url&gt;&lt;/related-urls&gt;&lt;/urls&gt;&lt;/record&gt;&lt;/Cite&gt;&lt;/EndNote&gt;</w:instrText>
      </w:r>
      <w:r>
        <w:rPr/>
        <w:fldChar w:fldCharType="separate"/>
      </w:r>
      <w:bookmarkStart w:id="42" w:name="__Fieldmark__656_4090835577"/>
      <w:r>
        <w:rPr/>
      </w:r>
      <w:r>
        <w:rPr>
          <w:rFonts w:cs="Arial" w:ascii="Arial" w:hAnsi="Arial"/>
          <w:sz w:val="20"/>
          <w:szCs w:val="20"/>
          <w:lang w:val="en-GB"/>
        </w:rPr>
        <w:t>(Andreas  Prokop et al., 2013)</w:t>
      </w:r>
      <w:r>
        <w:rPr/>
      </w:r>
      <w:r>
        <w:rPr/>
        <w:fldChar w:fldCharType="end"/>
      </w:r>
      <w:hyperlink w:anchor="_ENREF_62" w:tgtFrame="Prokop, 2013 #6744">
        <w:bookmarkEnd w:id="42"/>
        <w:r>
          <w:rPr>
            <w:rFonts w:cs="Arial" w:ascii="Arial" w:hAnsi="Arial"/>
            <w:sz w:val="20"/>
            <w:szCs w:val="20"/>
            <w:lang w:val="en-GB"/>
          </w:rPr>
          <w:t xml:space="preserve">. Axon growth and maintenance depends on the MT cytoskeleton </w:t>
        </w:r>
      </w:hyperlink>
      <w:r>
        <w:fldChar w:fldCharType="begin"/>
      </w:r>
      <w:r>
        <w:rPr/>
        <w:instrText>ADDIN EN.CITE</w:instrText>
      </w:r>
      <w:r>
        <w:rPr/>
        <w:fldChar w:fldCharType="separate"/>
      </w:r>
      <w:bookmarkStart w:id="43" w:name="__Fieldmark__670_4090835577"/>
      <w:r>
        <w:rPr/>
      </w:r>
      <w:r>
        <w:rPr/>
      </w:r>
      <w:r>
        <w:rPr/>
        <w:fldChar w:fldCharType="end"/>
      </w:r>
      <w:r>
        <w:fldChar w:fldCharType="begin"/>
      </w:r>
      <w:r>
        <w:rPr/>
        <w:instrText>ADDIN EN.CITE.DATA</w:instrText>
      </w:r>
      <w:r>
        <w:rPr/>
        <w:fldChar w:fldCharType="separate"/>
      </w:r>
      <w:bookmarkStart w:id="44" w:name="__Fieldmark__669_4090835577"/>
      <w:bookmarkEnd w:id="43"/>
      <w:r>
        <w:rPr/>
      </w:r>
      <w:r>
        <w:rPr>
          <w:rFonts w:cs="Arial" w:ascii="Arial" w:hAnsi="Arial"/>
          <w:sz w:val="20"/>
          <w:szCs w:val="20"/>
          <w:lang w:val="en-GB"/>
        </w:rPr>
        <w:t>(Hahn et al., 2019; Andreas  Prokop et al., 2013; Voelzmann et al., 2016)</w:t>
      </w:r>
      <w:r>
        <w:rPr/>
      </w:r>
      <w:r>
        <w:rPr/>
        <w:fldChar w:fldCharType="end"/>
      </w:r>
      <w:hyperlink w:anchor="_ENREF_81" w:tgtFrame="Voelzmann, 2016 #41">
        <w:bookmarkEnd w:id="44"/>
        <w:r>
          <w:rPr>
            <w:rFonts w:cs="Arial" w:ascii="Arial" w:hAnsi="Arial"/>
            <w:sz w:val="20"/>
            <w:szCs w:val="20"/>
            <w:lang w:val="en-GB"/>
          </w:rPr>
          <w:t xml:space="preserve">. Axonal MTs are organised into parallel bundles and their integrity is important for axonal growth, function and maintenance. They form the structural backbones of axons and the highways for the transport of proteins, vesicles, mRNA and organelles. This transport is performed by specialised proteins: kinesins for anterograde and dynein/dynactin for retrograde transport </w:t>
        </w:r>
      </w:hyperlink>
      <w:r>
        <w:fldChar w:fldCharType="begin"/>
      </w:r>
      <w:r>
        <w:rPr/>
        <w:instrText>ADDIN EN.CITE &lt;EndNote&gt;&lt;Cite&gt;&lt;Author&gt;Prokop&lt;/Author&gt;&lt;Year&gt;2013&lt;/Year&gt;&lt;RecNum&gt;6744&lt;/RecNum&gt;&lt;DisplayText&gt;(Andreas  Prokop et al., 2013)&lt;/DisplayText&gt;&lt;record&gt;&lt;rec-number&gt;6744&lt;/rec-number&gt;&lt;foreign-keys&gt;&lt;key app="EN" db-id="vwexp2xatx0fvxeff5rxex5pvw2vepptvvfs"&gt;6744&lt;/key&gt;&lt;/foreign-keys&gt;&lt;ref-type name="Journal Article"&gt;17&lt;/ref-type&gt;&lt;contributors&gt;&lt;authors&gt;&lt;author&gt;Prokop, Andreas &lt;/author&gt;&lt;author&gt;Beaven, Robin&lt;/author&gt;&lt;author&gt;Qu, Yue &lt;/author&gt;&lt;author&gt;Sánchez-Soriano, Natalia &lt;/author&gt;&lt;/authors&gt;&lt;/contributors&gt;&lt;auth-address&gt;http://t.co/1nKDl9XLCG&amp;#xD;http://jcs.biologists.org/content/early/2013/05/29/jcs.126912.abstract&lt;/auth-address&gt;&lt;titles&gt;&lt;title&gt;Using fly genetics to dissect the cytoskeletal machinery of neurons during axonal growth and maintenance&lt;/title&gt;&lt;secondary-title&gt;J. Cell Sci.&lt;/secondary-title&gt;&lt;/titles&gt;&lt;pages&gt;2331-41&lt;/pages&gt;&lt;volume&gt;126&lt;/volume&gt;&lt;number&gt;11&lt;/number&gt;&lt;keywords&gt;&lt;keyword&gt;review&lt;/keyword&gt;&lt;/keywords&gt;&lt;dates&gt;&lt;year&gt;2013&lt;/year&gt;&lt;/dates&gt;&lt;label&gt;PDF in Andreas&lt;/label&gt;&lt;urls&gt;&lt;related-urls&gt;&lt;url&gt;http://dx.doi.org/10.1242/jcs.126912&lt;/url&gt;&lt;/related-urls&gt;&lt;/urls&gt;&lt;/record&gt;&lt;/Cite&gt;&lt;/EndNote&gt;</w:instrText>
      </w:r>
      <w:r>
        <w:rPr/>
        <w:fldChar w:fldCharType="separate"/>
      </w:r>
      <w:bookmarkStart w:id="45" w:name="__Fieldmark__708_4090835577"/>
      <w:r>
        <w:rPr/>
      </w:r>
      <w:r>
        <w:rPr>
          <w:rFonts w:cs="Arial" w:ascii="Arial" w:hAnsi="Arial"/>
          <w:sz w:val="20"/>
          <w:szCs w:val="20"/>
          <w:lang w:val="en-GB"/>
        </w:rPr>
        <w:t>(Andreas  Prokop et al., 2013)</w:t>
      </w:r>
      <w:r>
        <w:rPr/>
      </w:r>
      <w:r>
        <w:rPr/>
        <w:fldChar w:fldCharType="end"/>
      </w:r>
      <w:hyperlink w:anchor="_ENREF_62" w:tgtFrame="Prokop, 2013 #6744">
        <w:bookmarkEnd w:id="45"/>
        <w:r>
          <w:rPr>
            <w:rFonts w:cs="Arial" w:ascii="Arial" w:hAnsi="Arial"/>
            <w:sz w:val="20"/>
            <w:szCs w:val="20"/>
            <w:lang w:val="en-GB"/>
          </w:rPr>
          <w:t xml:space="preserve">. The proper organisation of MT bundles depends on the action of MT-binding and -regulating proteins; for example, Eb1 binds to the polymerising plus ends of MTs to regulate their behaviour, Msps/XMAP215 is a MT polymerase, and tau binds to the MT lattice and has multiple functions including MT stabilisation </w:t>
        </w:r>
      </w:hyperlink>
      <w:r>
        <w:fldChar w:fldCharType="begin"/>
      </w:r>
      <w:r>
        <w:rPr/>
        <w:instrText>ADDIN EN.CITE &lt;EndNote&gt;&lt;Cite&gt;&lt;Author&gt;Hahn&lt;/Author&gt;&lt;Year&gt;2019&lt;/Year&gt;&lt;RecNum&gt;9711&lt;/RecNum&gt;&lt;DisplayText&gt;(Hahn et al., 2019)&lt;/DisplayText&gt;&lt;record&gt;&lt;rec-number&gt;9711&lt;/rec-number&gt;&lt;foreign-keys&gt;&lt;key app="EN" db-id="vwexp2xatx0fvxeff5rxex5pvw2vepptvvfs"&gt;9711&lt;/key&gt;&lt;/foreign-keys&gt;&lt;ref-type name="Journal Article"&gt;17&lt;/ref-type&gt;&lt;contributors&gt;&lt;authors&gt;&lt;author&gt;Hahn, Ines&lt;/author&gt;&lt;author&gt;Voelzmann, André&lt;/author&gt;&lt;author&gt;Liew, Yu-Ting&lt;/author&gt;&lt;author&gt;Costa-Gomes, Beatriz&lt;/author&gt;&lt;author&gt;Prokop, Andreas &lt;/author&gt;&lt;/authors&gt;&lt;/contributors&gt;&lt;titles&gt;&lt;title&gt;The model of local axon homeostasis - explaining the role and regulation of microtubule bundles in axon maintenance and pathology &lt;/title&gt;&lt;secondary-title&gt;bioRxiv&lt;/secondary-title&gt;&lt;/titles&gt;&lt;pages&gt;10.1101/577320 &lt;/pages&gt;&lt;dates&gt;&lt;year&gt;2019&lt;/year&gt;&lt;/dates&gt;&lt;urls&gt;&lt;related-urls&gt;&lt;url&gt;https://www.biorxiv.org/content/10.1101/577320v2&lt;/url&gt;&lt;/related-urls&gt;&lt;/urls&gt;&lt;/record&gt;&lt;/Cite&gt;&lt;/EndNote&gt;</w:instrText>
      </w:r>
      <w:r>
        <w:rPr/>
        <w:fldChar w:fldCharType="separate"/>
      </w:r>
      <w:bookmarkStart w:id="46" w:name="__Fieldmark__733_4090835577"/>
      <w:r>
        <w:rPr/>
      </w:r>
      <w:r>
        <w:rPr>
          <w:rFonts w:cs="Arial" w:ascii="Arial" w:hAnsi="Arial"/>
          <w:sz w:val="20"/>
          <w:szCs w:val="20"/>
          <w:lang w:val="en-GB"/>
        </w:rPr>
        <w:t>(Hahn et al., 2019)</w:t>
      </w:r>
      <w:r>
        <w:rPr/>
      </w:r>
      <w:r>
        <w:rPr/>
        <w:fldChar w:fldCharType="end"/>
      </w:r>
      <w:hyperlink w:anchor="_ENREF_24" w:tgtFrame="Hahn, 2019 #9711">
        <w:bookmarkEnd w:id="46"/>
        <w:r>
          <w:rPr>
            <w:rFonts w:cs="Arial" w:ascii="Arial" w:hAnsi="Arial"/>
            <w:sz w:val="20"/>
            <w:szCs w:val="20"/>
            <w:lang w:val="en-GB"/>
          </w:rPr>
          <w:t>;</w:t>
        </w:r>
      </w:hyperlink>
      <w:r>
        <w:fldChar w:fldCharType="begin"/>
      </w:r>
      <w:r>
        <w:rPr/>
        <w:instrText>ADDIN EN.CITE</w:instrText>
      </w:r>
      <w:r>
        <w:rPr/>
        <w:fldChar w:fldCharType="separate"/>
      </w:r>
      <w:bookmarkStart w:id="47" w:name="__Fieldmark__745_4090835577"/>
      <w:r>
        <w:rPr/>
      </w:r>
      <w:r>
        <w:rPr/>
      </w:r>
      <w:r>
        <w:rPr/>
        <w:fldChar w:fldCharType="end"/>
      </w:r>
      <w:r>
        <w:fldChar w:fldCharType="begin"/>
      </w:r>
      <w:r>
        <w:rPr/>
        <w:instrText>ADDIN EN.CITE.DATA</w:instrText>
      </w:r>
      <w:r>
        <w:rPr/>
        <w:fldChar w:fldCharType="separate"/>
      </w:r>
      <w:bookmarkStart w:id="48" w:name="__Fieldmark__744_4090835577"/>
      <w:bookmarkEnd w:id="47"/>
      <w:r>
        <w:rPr/>
      </w:r>
      <w:r>
        <w:rPr>
          <w:rFonts w:cs="Arial" w:ascii="Arial" w:hAnsi="Arial"/>
          <w:sz w:val="20"/>
          <w:szCs w:val="20"/>
          <w:lang w:val="en-GB"/>
        </w:rPr>
        <w:t>(Voelzmann et al., 2016)</w:t>
      </w:r>
      <w:r>
        <w:rPr/>
      </w:r>
      <w:r>
        <w:rPr/>
        <w:fldChar w:fldCharType="end"/>
      </w:r>
      <w:hyperlink w:anchor="_ENREF_81" w:tgtFrame="Voelzmann, 2016 #41">
        <w:bookmarkEnd w:id="48"/>
        <w:r>
          <w:rPr>
            <w:rFonts w:cs="Arial" w:ascii="Arial" w:hAnsi="Arial"/>
            <w:sz w:val="20"/>
            <w:szCs w:val="20"/>
            <w:lang w:val="en-GB"/>
          </w:rPr>
          <w:t>. Recent work has shown that these three genes cooperate to regulate MT polymerisation and organisation; if one copy of each gene is taken out in the same animal (</w:t>
        </w:r>
      </w:hyperlink>
      <w:r>
        <w:rPr>
          <w:rFonts w:cs="Arial" w:ascii="Arial" w:hAnsi="Arial"/>
          <w:i/>
          <w:sz w:val="20"/>
          <w:szCs w:val="20"/>
          <w:lang w:val="en-GB"/>
        </w:rPr>
        <w:t>Eb1</w:t>
      </w:r>
      <w:r>
        <w:rPr>
          <w:rFonts w:cs="Arial" w:ascii="Arial" w:hAnsi="Arial"/>
          <w:i/>
          <w:sz w:val="20"/>
          <w:szCs w:val="20"/>
          <w:vertAlign w:val="superscript"/>
          <w:lang w:val="en-GB"/>
        </w:rPr>
        <w:t>+/-</w:t>
      </w:r>
      <w:r>
        <w:rPr>
          <w:rFonts w:cs="Arial" w:ascii="Arial" w:hAnsi="Arial"/>
          <w:i/>
          <w:sz w:val="20"/>
          <w:szCs w:val="20"/>
          <w:lang w:val="en-GB"/>
        </w:rPr>
        <w:t xml:space="preserve"> tau</w:t>
      </w:r>
      <w:r>
        <w:rPr>
          <w:rFonts w:cs="Arial" w:ascii="Arial" w:hAnsi="Arial"/>
          <w:i/>
          <w:sz w:val="20"/>
          <w:szCs w:val="20"/>
          <w:vertAlign w:val="superscript"/>
          <w:lang w:val="en-GB"/>
        </w:rPr>
        <w:t>+/-</w:t>
      </w:r>
      <w:r>
        <w:rPr>
          <w:rFonts w:cs="Arial" w:ascii="Arial" w:hAnsi="Arial"/>
          <w:i/>
          <w:sz w:val="20"/>
          <w:szCs w:val="20"/>
          <w:lang w:val="en-GB"/>
        </w:rPr>
        <w:t xml:space="preserve"> msps</w:t>
      </w:r>
      <w:r>
        <w:rPr>
          <w:rFonts w:cs="Arial" w:ascii="Arial" w:hAnsi="Arial"/>
          <w:i/>
          <w:sz w:val="20"/>
          <w:szCs w:val="20"/>
          <w:vertAlign w:val="superscript"/>
          <w:lang w:val="en-GB"/>
        </w:rPr>
        <w:t>+/-</w:t>
      </w:r>
      <w:r>
        <w:rPr>
          <w:rFonts w:cs="Arial" w:ascii="Arial" w:hAnsi="Arial"/>
          <w:sz w:val="20"/>
          <w:szCs w:val="20"/>
          <w:lang w:val="en-GB"/>
        </w:rPr>
        <w:t xml:space="preserve"> triple-heterozygotes), neurons display a severe aberration of axonal MT bundles consisting in disorganised, intertwined MTs. In addition, these animals show epileptic phenotypes in form of seizure-like behaviours. This occurs in aged adults and can be observed using a well-established electroshock assay </w:t>
      </w:r>
      <w:r>
        <w:fldChar w:fldCharType="begin"/>
      </w:r>
      <w:r>
        <w:rPr/>
        <w:instrText>ADDIN EN.CITE</w:instrText>
      </w:r>
      <w:r>
        <w:rPr/>
        <w:fldChar w:fldCharType="separate"/>
      </w:r>
      <w:bookmarkStart w:id="49" w:name="__Fieldmark__767_4090835577"/>
      <w:r>
        <w:rPr/>
      </w:r>
      <w:r>
        <w:rPr/>
      </w:r>
      <w:r>
        <w:rPr/>
        <w:fldChar w:fldCharType="end"/>
      </w:r>
      <w:r>
        <w:fldChar w:fldCharType="begin"/>
      </w:r>
      <w:r>
        <w:rPr/>
        <w:instrText>ADDIN EN.CITE.DATA</w:instrText>
      </w:r>
      <w:r>
        <w:rPr/>
        <w:fldChar w:fldCharType="separate"/>
      </w:r>
      <w:bookmarkStart w:id="50" w:name="__Fieldmark__766_4090835577"/>
      <w:bookmarkEnd w:id="49"/>
      <w:r>
        <w:rPr/>
      </w:r>
      <w:r>
        <w:rPr>
          <w:rFonts w:cs="Arial" w:ascii="Arial" w:hAnsi="Arial"/>
          <w:sz w:val="20"/>
          <w:szCs w:val="20"/>
          <w:lang w:val="en-GB"/>
        </w:rPr>
        <w:t>(Marley and Baines, 2011)</w:t>
      </w:r>
      <w:r>
        <w:rPr/>
      </w:r>
      <w:r>
        <w:rPr/>
        <w:fldChar w:fldCharType="end"/>
      </w:r>
      <w:hyperlink w:anchor="_ENREF_45" w:tgtFrame="Marley, 2011 #91">
        <w:bookmarkEnd w:id="50"/>
        <w:r>
          <w:rPr>
            <w:rFonts w:cs="Arial" w:ascii="Arial" w:hAnsi="Arial"/>
            <w:sz w:val="20"/>
            <w:szCs w:val="20"/>
            <w:lang w:val="en-GB"/>
          </w:rPr>
          <w:t xml:space="preserve"> (see Methods) in triple-heterozygous larvae </w:t>
        </w:r>
      </w:hyperlink>
      <w:r>
        <w:fldChar w:fldCharType="begin"/>
      </w:r>
      <w:r>
        <w:rPr/>
        <w:instrText>ADDIN EN.CITE &lt;EndNote&gt;&lt;Cite&gt;&lt;Author&gt;Petzold&lt;/Author&gt;&lt;Year&gt;2018&lt;/Year&gt;&lt;RecNum&gt;9782&lt;/RecNum&gt;&lt;DisplayText&gt;(Petzold, 2018)&lt;/DisplayText&gt;&lt;record&gt;&lt;rec-number&gt;9782&lt;/rec-number&gt;&lt;foreign-keys&gt;&lt;key app="EN" db-id="vwexp2xatx0fvxeff5rxex5pvw2vepptvvfs"&gt;9782&lt;/key&gt;&lt;/foreign-keys&gt;&lt;ref-type name="Thesis"&gt;32&lt;/ref-type&gt;&lt;contributors&gt;&lt;authors&gt;&lt;author&gt;Petzold, T.&lt;/author&gt;&lt;/authors&gt;&lt;/contributors&gt;&lt;titles&gt;&lt;title&gt;&lt;style face="normal" font="default" size="100%"&gt;Does axonal microtubule unbundling induce seizure-like behaviour in &lt;/style&gt;&lt;style face="italic" font="default" size="100%"&gt;Drosophila &lt;/style&gt;&lt;style face="normal" font="default" size="100%"&gt;and what is the mechanism for this?&lt;/style&gt;&lt;/title&gt;&lt;secondary-title&gt;Faculty of Biology, Health and Medicine&lt;/secondary-title&gt;&lt;/titles&gt;&lt;pages&gt;26&lt;/pages&gt;&lt;dates&gt;&lt;year&gt;2018&lt;/year&gt;&lt;/dates&gt;&lt;pub-location&gt;Manchester&lt;/pub-location&gt;&lt;publisher&gt;The University of Manchester&lt;/publisher&gt;&lt;work-type&gt;Final year undergraduate project&lt;/work-type&gt;&lt;urls&gt;&lt;/urls&gt;&lt;/record&gt;&lt;/Cite&gt;&lt;/EndNote&gt;</w:instrText>
      </w:r>
      <w:r>
        <w:rPr/>
        <w:fldChar w:fldCharType="separate"/>
      </w:r>
      <w:bookmarkStart w:id="51" w:name="__Fieldmark__778_4090835577"/>
      <w:r>
        <w:rPr/>
      </w:r>
      <w:r>
        <w:rPr>
          <w:rFonts w:cs="Arial" w:ascii="Arial" w:hAnsi="Arial"/>
          <w:sz w:val="20"/>
          <w:szCs w:val="20"/>
          <w:lang w:val="en-GB"/>
        </w:rPr>
        <w:t>(Petzold, 2018)</w:t>
      </w:r>
      <w:r>
        <w:rPr/>
      </w:r>
      <w:r>
        <w:rPr/>
        <w:fldChar w:fldCharType="end"/>
      </w:r>
      <w:hyperlink w:anchor="_ENREF_57" w:tgtFrame="Petzold, 2018 #9782">
        <w:bookmarkEnd w:id="51"/>
        <w:r>
          <w:rPr>
            <w:rFonts w:cs="Arial" w:ascii="Arial" w:hAnsi="Arial"/>
            <w:sz w:val="20"/>
            <w:szCs w:val="20"/>
            <w:lang w:val="en-GB"/>
          </w:rPr>
          <w:t xml:space="preserve">. </w:t>
        </w:r>
      </w:hyperlink>
    </w:p>
    <w:p>
      <w:pPr>
        <w:pStyle w:val="Normal"/>
        <w:spacing w:lineRule="auto" w:line="360" w:before="120" w:after="0"/>
        <w:jc w:val="both"/>
        <w:rPr/>
      </w:pPr>
      <w:r>
        <w:rPr>
          <w:rFonts w:cs="Arial" w:ascii="Arial" w:hAnsi="Arial"/>
          <w:sz w:val="20"/>
          <w:szCs w:val="20"/>
          <w:lang w:val="en-GB"/>
        </w:rPr>
        <w:t xml:space="preserve">The current hypothesis for why this triple-heterozygous condition causes vulnerability to seizure is based on axonal transport, analogous to the above mentioned work in mouse </w:t>
      </w:r>
      <w:r>
        <w:fldChar w:fldCharType="begin"/>
      </w:r>
      <w:r>
        <w:rPr/>
        <w:instrText>ADDIN EN.CITE &lt;EndNote&gt;&lt;Cite&gt;&lt;Author&gt;Nakajima&lt;/Author&gt;&lt;Year&gt;2012&lt;/Year&gt;&lt;RecNum&gt;9026&lt;/RecNum&gt;&lt;DisplayText&gt;(Kazuo Nakajima et al., 2012)&lt;/DisplayText&gt;&lt;record&gt;&lt;rec-number&gt;9026&lt;/rec-number&gt;&lt;foreign-keys&gt;&lt;key app="EN" db-id="vwexp2xatx0fvxeff5rxex5pvw2vepptvvfs"&gt;9026&lt;/key&gt;&lt;/foreign-keys&gt;&lt;ref-type name="Journal Article"&gt;17&lt;/ref-type&gt;&lt;contributors&gt;&lt;authors&gt;&lt;author&gt;Nakajima, Kazuo&lt;/author&gt;&lt;author&gt;Yin, Xiling&lt;/author&gt;&lt;author&gt;Takei, Yosuke&lt;/author&gt;&lt;author&gt;Seog, Dae-Hyun&lt;/author&gt;&lt;author&gt;Homma, Noriko&lt;/author&gt;&lt;author&gt;Hirokawa, Nobutaka&lt;/author&gt;&lt;/authors&gt;&lt;/contributors&gt;&lt;titles&gt;&lt;title&gt;&lt;style face="normal" font="default" size="100%"&gt;Molecular motor KIF5A is essential for GABA&lt;/style&gt;&lt;style face="subscript" font="default" size="100%"&gt;A&lt;/style&gt;&lt;style face="normal" font="default" size="100%"&gt; receptor transport, and KIF5A deletion causes epilepsy&lt;/style&gt;&lt;/title&gt;&lt;secondary-title&gt;Neuron&lt;/secondary-title&gt;&lt;/titles&gt;&lt;pages&gt;945-961&lt;/pages&gt;&lt;volume&gt;76&lt;/volume&gt;&lt;number&gt;5&lt;/number&gt;&lt;keywords&gt;&lt;keyword&gt;kinesin&lt;/keyword&gt;&lt;keyword&gt;kif5&lt;/keyword&gt;&lt;keyword&gt;GABA&lt;/keyword&gt;&lt;keyword&gt;Dendrites&lt;/keyword&gt;&lt;keyword&gt;transport&lt;/keyword&gt;&lt;/keywords&gt;&lt;dates&gt;&lt;year&gt;2012&lt;/year&gt;&lt;/dates&gt;&lt;isbn&gt;0896-6273&lt;/isbn&gt;&lt;label&gt;PDF&lt;/label&gt;&lt;urls&gt;&lt;related-urls&gt;&lt;url&gt;https://www.sciencedirect.com/science/article/pii/S0896627312009324&lt;/url&gt;&lt;/related-urls&gt;&lt;/urls&gt;&lt;electronic-resource-num&gt;https://doi.org/10.1016/j.neuron.2012.10.012&lt;/electronic-resource-num&gt;&lt;/record&gt;&lt;/Cite&gt;&lt;/EndNote&gt;</w:instrText>
      </w:r>
      <w:r>
        <w:rPr/>
        <w:fldChar w:fldCharType="separate"/>
      </w:r>
      <w:bookmarkStart w:id="52" w:name="__Fieldmark__792_4090835577"/>
      <w:r>
        <w:rPr/>
      </w:r>
      <w:r>
        <w:rPr>
          <w:rFonts w:cs="Arial" w:ascii="Arial" w:hAnsi="Arial"/>
          <w:sz w:val="20"/>
          <w:szCs w:val="20"/>
          <w:lang w:val="en-GB"/>
        </w:rPr>
        <w:t>(Kazuo Nakajima et al., 2012)</w:t>
      </w:r>
      <w:r>
        <w:rPr/>
      </w:r>
      <w:r>
        <w:rPr/>
        <w:fldChar w:fldCharType="end"/>
      </w:r>
      <w:hyperlink w:anchor="_ENREF_50" w:tgtFrame="Nakajima, 2012 #9026">
        <w:bookmarkEnd w:id="52"/>
        <w:r>
          <w:rPr>
            <w:rFonts w:cs="Arial" w:ascii="Arial" w:hAnsi="Arial"/>
            <w:sz w:val="20"/>
            <w:szCs w:val="20"/>
            <w:lang w:val="en-GB"/>
          </w:rPr>
          <w:t>: MT disorganisation might lead to the disruption of anterograde transport of voltage-gated channels (e.g. Para or Shaker) in axons or GABA</w:t>
        </w:r>
      </w:hyperlink>
      <w:r>
        <w:rPr>
          <w:rFonts w:cs="Arial" w:ascii="Arial" w:hAnsi="Arial"/>
          <w:sz w:val="20"/>
          <w:szCs w:val="20"/>
          <w:vertAlign w:val="subscript"/>
          <w:lang w:val="en-GB"/>
        </w:rPr>
        <w:t>A</w:t>
      </w:r>
      <w:r>
        <w:rPr>
          <w:rFonts w:cs="Arial" w:ascii="Arial" w:hAnsi="Arial"/>
          <w:sz w:val="20"/>
          <w:szCs w:val="20"/>
          <w:lang w:val="en-GB"/>
        </w:rPr>
        <w:t xml:space="preserve"> receptors (Rdl) in dendrites. Motor proteins known to transport anterogradely in axon and/or dendrites are kinesin-1 (Kinesin heavy chain/Khc) and kinesin-3 (especially Unc-104).</w:t>
      </w:r>
    </w:p>
    <w:p>
      <w:pPr>
        <w:pStyle w:val="Normal"/>
        <w:spacing w:lineRule="auto" w:line="360" w:before="120" w:after="0"/>
        <w:jc w:val="both"/>
        <w:rPr>
          <w:rFonts w:ascii="Arial" w:hAnsi="Arial" w:cs="Arial"/>
          <w:sz w:val="20"/>
          <w:szCs w:val="20"/>
          <w:lang w:val="en-GB"/>
        </w:rPr>
      </w:pPr>
      <w:r>
        <w:rPr>
          <w:rFonts w:cs="Arial" w:ascii="Arial" w:hAnsi="Arial"/>
          <w:sz w:val="20"/>
          <w:szCs w:val="20"/>
          <w:lang w:val="en-GB"/>
        </w:rPr>
        <w:t>Work previous to my study had already shown that a quantifiable seizure-like phenotype can be observed in the triple-heterozygous animals (</w:t>
      </w:r>
      <w:r>
        <w:rPr>
          <w:rFonts w:cs="Arial" w:ascii="Arial" w:hAnsi="Arial"/>
          <w:i/>
          <w:sz w:val="20"/>
          <w:szCs w:val="20"/>
          <w:lang w:val="en-GB"/>
        </w:rPr>
        <w:t>Eb1</w:t>
      </w:r>
      <w:r>
        <w:rPr>
          <w:rFonts w:cs="Arial" w:ascii="Arial" w:hAnsi="Arial"/>
          <w:i/>
          <w:sz w:val="20"/>
          <w:szCs w:val="20"/>
          <w:vertAlign w:val="superscript"/>
          <w:lang w:val="en-GB"/>
        </w:rPr>
        <w:t xml:space="preserve">04524/+ </w:t>
      </w:r>
      <w:r>
        <w:rPr>
          <w:rFonts w:cs="Arial" w:ascii="Arial" w:hAnsi="Arial"/>
          <w:i/>
          <w:sz w:val="20"/>
          <w:szCs w:val="20"/>
          <w:lang w:val="en-GB"/>
        </w:rPr>
        <w:t>msps</w:t>
      </w:r>
      <w:r>
        <w:rPr>
          <w:rFonts w:cs="Arial" w:ascii="Arial" w:hAnsi="Arial"/>
          <w:i/>
          <w:sz w:val="20"/>
          <w:szCs w:val="20"/>
          <w:vertAlign w:val="superscript"/>
          <w:lang w:val="en-GB"/>
        </w:rPr>
        <w:t xml:space="preserve">1/+ </w:t>
      </w:r>
      <w:r>
        <w:rPr>
          <w:rFonts w:cs="Arial" w:ascii="Arial" w:hAnsi="Arial"/>
          <w:i/>
          <w:sz w:val="20"/>
          <w:szCs w:val="20"/>
          <w:lang w:val="en-GB"/>
        </w:rPr>
        <w:t>tau</w:t>
      </w:r>
      <w:r>
        <w:rPr>
          <w:rFonts w:cs="Arial" w:ascii="Arial" w:hAnsi="Arial"/>
          <w:i/>
          <w:sz w:val="20"/>
          <w:szCs w:val="20"/>
          <w:vertAlign w:val="superscript"/>
          <w:lang w:val="en-GB"/>
        </w:rPr>
        <w:t>ko/+</w:t>
      </w:r>
      <w:r>
        <w:rPr>
          <w:rFonts w:cs="Arial" w:ascii="Arial" w:hAnsi="Arial"/>
          <w:sz w:val="20"/>
          <w:szCs w:val="20"/>
          <w:lang w:val="en-GB"/>
        </w:rPr>
        <w:t xml:space="preserve">) at larval stages. Building on this methodology, I could confirm the seizure-like phenotype and could demonstrate that it can be rescued with anti-epileptic drugs. Experiments applying a MT-stabilising drug, using further MT regulators and neuron specific knock-down of Eb1, strongly suggest that seizure induction is mediated by MT aberration primarily in motorneurons. Finally, I provide data showing that loss of kinesin-1 or -3 motor proteins likewise cause seizure-like conditions but through a mechanism that we can currently not link to MTs, whereas loss of GABA-receptors links to MTs in the context of the seizure phenotype.  </w:t>
      </w:r>
    </w:p>
    <w:p>
      <w:pPr>
        <w:pStyle w:val="ListParagraph"/>
        <w:numPr>
          <w:ilvl w:val="0"/>
          <w:numId w:val="1"/>
        </w:numPr>
        <w:spacing w:before="120" w:after="0"/>
        <w:ind w:left="284" w:hanging="360"/>
        <w:rPr>
          <w:rFonts w:ascii="Arial" w:hAnsi="Arial" w:cs="Arial"/>
          <w:b/>
          <w:b/>
          <w:sz w:val="20"/>
          <w:szCs w:val="20"/>
          <w:u w:val="single"/>
          <w:lang w:val="en-GB"/>
        </w:rPr>
      </w:pPr>
      <w:bookmarkStart w:id="53" w:name="_Hlk8225587"/>
      <w:r>
        <w:rPr>
          <w:rFonts w:cs="Arial" w:ascii="Arial" w:hAnsi="Arial"/>
          <w:b/>
          <w:sz w:val="20"/>
          <w:szCs w:val="20"/>
          <w:u w:val="single"/>
          <w:lang w:val="en-GB"/>
        </w:rPr>
        <w:t>Methods and Materials</w:t>
      </w:r>
    </w:p>
    <w:p>
      <w:pPr>
        <w:pStyle w:val="ListParagraph"/>
        <w:numPr>
          <w:ilvl w:val="1"/>
          <w:numId w:val="1"/>
        </w:numPr>
        <w:spacing w:before="120" w:after="0"/>
        <w:ind w:left="284" w:hanging="360"/>
        <w:rPr>
          <w:rFonts w:ascii="Arial" w:hAnsi="Arial" w:cs="Arial"/>
          <w:sz w:val="20"/>
          <w:szCs w:val="20"/>
          <w:u w:val="single"/>
          <w:lang w:val="en-GB"/>
        </w:rPr>
      </w:pPr>
      <w:r>
        <w:rPr>
          <w:rFonts w:cs="Arial" w:ascii="Arial" w:hAnsi="Arial"/>
          <w:sz w:val="20"/>
          <w:szCs w:val="20"/>
          <w:u w:val="single"/>
          <w:lang w:val="en-GB"/>
        </w:rPr>
        <w:t>Fly stocks</w:t>
      </w:r>
    </w:p>
    <w:p>
      <w:pPr>
        <w:pStyle w:val="Normal"/>
        <w:spacing w:lineRule="auto" w:line="360" w:before="120" w:after="0"/>
        <w:jc w:val="both"/>
        <w:rPr/>
      </w:pPr>
      <w:r>
        <w:rPr>
          <w:rFonts w:cs="Arial" w:ascii="Arial" w:hAnsi="Arial"/>
          <w:sz w:val="20"/>
          <w:szCs w:val="20"/>
          <w:lang w:val="en-GB"/>
        </w:rPr>
        <w:t xml:space="preserve">Flies were maintained on standard cornmeal medium at 25°C. Different fly strains were used in this study: </w:t>
      </w:r>
      <w:r>
        <w:rPr>
          <w:rFonts w:cs="Arial" w:ascii="Arial" w:hAnsi="Arial"/>
          <w:b/>
          <w:sz w:val="20"/>
          <w:szCs w:val="20"/>
          <w:lang w:val="en-GB"/>
        </w:rPr>
        <w:t xml:space="preserve">Oregon-R </w:t>
      </w:r>
      <w:r>
        <w:rPr>
          <w:rFonts w:cs="Arial" w:ascii="Arial" w:hAnsi="Arial"/>
          <w:sz w:val="20"/>
          <w:szCs w:val="20"/>
          <w:lang w:val="en-GB"/>
        </w:rPr>
        <w:t xml:space="preserve">(Blooming Stock Centre) controls, </w:t>
      </w:r>
      <w:r>
        <w:rPr>
          <w:rFonts w:cs="Arial" w:ascii="Arial" w:hAnsi="Arial"/>
          <w:b/>
          <w:sz w:val="20"/>
          <w:szCs w:val="20"/>
          <w:lang w:val="en-GB"/>
        </w:rPr>
        <w:t>para</w:t>
      </w:r>
      <w:r>
        <w:rPr>
          <w:rFonts w:cs="Arial" w:ascii="Arial" w:hAnsi="Arial"/>
          <w:b/>
          <w:i/>
          <w:sz w:val="20"/>
          <w:szCs w:val="20"/>
          <w:vertAlign w:val="superscript"/>
          <w:lang w:val="en-GB"/>
        </w:rPr>
        <w:t>bss1</w:t>
      </w:r>
      <w:r>
        <w:rPr>
          <w:rFonts w:cs="Arial" w:ascii="Arial" w:hAnsi="Arial"/>
          <w:sz w:val="20"/>
          <w:szCs w:val="20"/>
          <w:lang w:val="en-GB"/>
        </w:rPr>
        <w:t xml:space="preserve"> (Richard Baines; gain-of-function mutant allele; </w:t>
      </w:r>
      <w:r>
        <w:fldChar w:fldCharType="begin"/>
      </w:r>
      <w:r>
        <w:rPr/>
        <w:instrText>ADDIN EN.CITE</w:instrText>
      </w:r>
      <w:r>
        <w:rPr/>
        <w:fldChar w:fldCharType="separate"/>
      </w:r>
      <w:bookmarkStart w:id="54" w:name="__Fieldmark__858_4090835577"/>
      <w:r>
        <w:rPr/>
      </w:r>
      <w:r>
        <w:rPr/>
      </w:r>
      <w:r>
        <w:rPr/>
        <w:fldChar w:fldCharType="end"/>
      </w:r>
      <w:r>
        <w:fldChar w:fldCharType="begin"/>
      </w:r>
      <w:r>
        <w:rPr/>
        <w:instrText>ADDIN EN.CITE.DATA</w:instrText>
      </w:r>
      <w:r>
        <w:rPr/>
        <w:fldChar w:fldCharType="separate"/>
      </w:r>
      <w:bookmarkStart w:id="55" w:name="__Fieldmark__857_4090835577"/>
      <w:bookmarkEnd w:id="54"/>
      <w:r>
        <w:rPr/>
      </w:r>
      <w:r>
        <w:rPr>
          <w:rFonts w:cs="Arial" w:ascii="Arial" w:hAnsi="Arial"/>
          <w:sz w:val="20"/>
          <w:szCs w:val="20"/>
          <w:lang w:val="en-GB"/>
        </w:rPr>
        <w:t>(Howlett et al., 2013; Parker et al., 2011)</w:t>
      </w:r>
      <w:r>
        <w:rPr/>
      </w:r>
      <w:r>
        <w:rPr/>
        <w:fldChar w:fldCharType="end"/>
      </w:r>
      <w:hyperlink w:anchor="_ENREF_55" w:tgtFrame="Parker, 2011 #7">
        <w:bookmarkEnd w:id="55"/>
        <w:r>
          <w:rPr>
            <w:rFonts w:cs="Arial" w:ascii="Arial" w:hAnsi="Arial"/>
            <w:sz w:val="20"/>
            <w:szCs w:val="20"/>
            <w:lang w:val="en-GB"/>
          </w:rPr>
          <w:t xml:space="preserve">), </w:t>
        </w:r>
      </w:hyperlink>
      <w:r>
        <w:rPr>
          <w:rFonts w:cs="Arial" w:ascii="Arial" w:hAnsi="Arial"/>
          <w:b/>
          <w:i/>
          <w:sz w:val="20"/>
          <w:szCs w:val="20"/>
          <w:lang w:val="en-GB"/>
        </w:rPr>
        <w:t>eb1</w:t>
      </w:r>
      <w:r>
        <w:rPr>
          <w:rFonts w:cs="Arial" w:ascii="Arial" w:hAnsi="Arial"/>
          <w:b/>
          <w:i/>
          <w:sz w:val="20"/>
          <w:szCs w:val="20"/>
          <w:vertAlign w:val="superscript"/>
          <w:lang w:val="en-GB"/>
        </w:rPr>
        <w:t>04524/+</w:t>
      </w:r>
      <w:r>
        <w:rPr>
          <w:rFonts w:cs="Arial" w:ascii="Arial" w:hAnsi="Arial"/>
          <w:i/>
          <w:sz w:val="20"/>
          <w:szCs w:val="20"/>
          <w:lang w:val="en-GB"/>
        </w:rPr>
        <w:t xml:space="preserve"> </w:t>
      </w:r>
      <w:r>
        <w:rPr>
          <w:rFonts w:cs="Arial" w:ascii="Arial" w:hAnsi="Arial"/>
          <w:sz w:val="20"/>
          <w:szCs w:val="20"/>
          <w:lang w:val="en-GB"/>
        </w:rPr>
        <w:t xml:space="preserve">(Blooming Stock Centre;  hypomorphic allele; </w:t>
      </w:r>
      <w:r>
        <w:fldChar w:fldCharType="begin"/>
      </w:r>
      <w:r>
        <w:rPr/>
        <w:instrText>ADDIN EN.CITE &lt;EndNote&gt;&lt;Cite&gt;&lt;Author&gt;Elliott&lt;/Author&gt;&lt;Year&gt;2005&lt;/Year&gt;&lt;RecNum&gt;103&lt;/RecNum&gt;&lt;DisplayText&gt;(Elliott et al., 2005)&lt;/DisplayText&gt;&lt;record&gt;&lt;rec-number&gt;103&lt;/rec-number&gt;&lt;foreign-keys&gt;&lt;key app="EN" db-id="vedta2ppje59fceprax5xvwqzxt2awx0xd99"&gt;103&lt;/key&gt;&lt;/foreign-keys&gt;&lt;ref-type name="Journal Article"&gt;17&lt;/ref-type&gt;&lt;contributors&gt;&lt;authors&gt;&lt;author&gt;Elliott, S. L.&lt;/author&gt;&lt;author&gt;Cullen, C. F.&lt;/author&gt;&lt;author&gt;Wrobel, N.&lt;/author&gt;&lt;author&gt;Kernan, M. J.&lt;/author&gt;&lt;author&gt;Ohkura, H.&lt;/author&gt;&lt;/authors&gt;&lt;/contributors&gt;&lt;auth-address&gt;Univ Edinburgh, Wellcome Trust Ctr Cell Biol, Inst Cell Biol, Sch Biol Sci, Edinburgh EH9 3JR, Midlothian, Scotland&amp;#xD;SUNY Stony Brook, Dept Neurobiol &amp;amp; Behav, Stony Brook, NY 11794 USA&lt;/auth-address&gt;&lt;titles&gt;&lt;title&gt;EB1 is essential during Drosophila development and plays a crucial role in the integrity of chordotonal mechanosensory organs&lt;/title&gt;&lt;secondary-title&gt;Molecular Biology of the Cell&lt;/secondary-title&gt;&lt;alt-title&gt;Mol Biol Cell&lt;/alt-title&gt;&lt;/titles&gt;&lt;periodical&gt;&lt;full-title&gt;Molecular Biology of the Cell&lt;/full-title&gt;&lt;abbr-1&gt;Mol Biol Cell&lt;/abbr-1&gt;&lt;/periodical&gt;&lt;alt-periodical&gt;&lt;full-title&gt;Molecular Biology of the Cell&lt;/full-title&gt;&lt;abbr-1&gt;Mol Biol Cell&lt;/abbr-1&gt;&lt;/alt-periodical&gt;&lt;pages&gt;891-901&lt;/pages&gt;&lt;volume&gt;16&lt;/volume&gt;&lt;number&gt;2&lt;/number&gt;&lt;keywords&gt;&lt;keyword&gt;adenomatous polyposis-coli&lt;/keyword&gt;&lt;keyword&gt;binding protein eb1&lt;/keyword&gt;&lt;keyword&gt;mitotic spindle&lt;/keyword&gt;&lt;keyword&gt;monoclonal-antibodies&lt;/keyword&gt;&lt;keyword&gt;microtubules&lt;/keyword&gt;&lt;keyword&gt;yeast&lt;/keyword&gt;&lt;keyword&gt;dynamics&lt;/keyword&gt;&lt;keyword&gt;transduction&lt;/keyword&gt;&lt;keyword&gt;cytoskeleton&lt;/keyword&gt;&lt;keyword&gt;orientation&lt;/keyword&gt;&lt;/keywords&gt;&lt;dates&gt;&lt;year&gt;2005&lt;/year&gt;&lt;pub-dates&gt;&lt;date&gt;Feb&lt;/date&gt;&lt;/pub-dates&gt;&lt;/dates&gt;&lt;isbn&gt;1059-1524&lt;/isbn&gt;&lt;accession-num&gt;ISI:000226563600037&lt;/accession-num&gt;&lt;urls&gt;&lt;related-urls&gt;&lt;url&gt;&amp;lt;Go to ISI&amp;gt;://000226563600037&lt;/url&gt;&lt;/related-urls&gt;&lt;/urls&gt;&lt;language&gt;English&lt;/language&gt;&lt;/record&gt;&lt;/Cite&gt;&lt;/EndNote&gt;</w:instrText>
      </w:r>
      <w:r>
        <w:rPr/>
        <w:fldChar w:fldCharType="separate"/>
      </w:r>
      <w:bookmarkStart w:id="56" w:name="__Fieldmark__885_4090835577"/>
      <w:r>
        <w:rPr/>
      </w:r>
      <w:r>
        <w:rPr>
          <w:rFonts w:cs="Arial" w:ascii="Arial" w:hAnsi="Arial"/>
          <w:sz w:val="20"/>
          <w:szCs w:val="20"/>
          <w:lang w:val="en-GB"/>
        </w:rPr>
        <w:t>(Elliott et al., 2005)</w:t>
      </w:r>
      <w:r>
        <w:rPr/>
      </w:r>
      <w:r>
        <w:rPr/>
        <w:fldChar w:fldCharType="end"/>
      </w:r>
      <w:hyperlink w:anchor="_ENREF_16" w:tgtFrame="Elliott, 2005 #103">
        <w:bookmarkEnd w:id="56"/>
        <w:r>
          <w:rPr>
            <w:rFonts w:cs="Arial" w:ascii="Arial" w:hAnsi="Arial"/>
            <w:sz w:val="20"/>
            <w:szCs w:val="20"/>
            <w:lang w:val="en-GB"/>
          </w:rPr>
          <w:t xml:space="preserve">), </w:t>
        </w:r>
      </w:hyperlink>
      <w:r>
        <w:rPr>
          <w:rFonts w:cs="Arial" w:ascii="Arial" w:hAnsi="Arial"/>
          <w:b/>
          <w:i/>
          <w:sz w:val="20"/>
          <w:szCs w:val="20"/>
          <w:lang w:val="en-GB"/>
        </w:rPr>
        <w:t>msps</w:t>
      </w:r>
      <w:r>
        <w:rPr>
          <w:rFonts w:cs="Arial" w:ascii="Arial" w:hAnsi="Arial"/>
          <w:b/>
          <w:i/>
          <w:sz w:val="20"/>
          <w:szCs w:val="20"/>
          <w:vertAlign w:val="superscript"/>
          <w:lang w:val="en-GB"/>
        </w:rPr>
        <w:t>1/+</w:t>
      </w:r>
      <w:r>
        <w:rPr>
          <w:rFonts w:cs="Arial" w:ascii="Arial" w:hAnsi="Arial"/>
          <w:sz w:val="20"/>
          <w:szCs w:val="20"/>
          <w:lang w:val="en-GB"/>
        </w:rPr>
        <w:t xml:space="preserve"> (gift from H. Ohkura;  null allele of the XMAP215 homologue); </w:t>
      </w:r>
      <w:r>
        <w:rPr>
          <w:rFonts w:cs="Arial" w:ascii="Arial" w:hAnsi="Arial"/>
          <w:b/>
          <w:i/>
          <w:sz w:val="20"/>
          <w:szCs w:val="20"/>
          <w:lang w:val="en-GB"/>
        </w:rPr>
        <w:t>tau</w:t>
      </w:r>
      <w:r>
        <w:rPr>
          <w:rFonts w:cs="Arial" w:ascii="Arial" w:hAnsi="Arial"/>
          <w:b/>
          <w:i/>
          <w:sz w:val="20"/>
          <w:szCs w:val="20"/>
          <w:vertAlign w:val="superscript"/>
          <w:lang w:val="en-GB"/>
        </w:rPr>
        <w:t>ko/+</w:t>
      </w:r>
      <w:r>
        <w:rPr>
          <w:rFonts w:cs="Arial" w:ascii="Arial" w:hAnsi="Arial"/>
          <w:sz w:val="20"/>
          <w:szCs w:val="20"/>
          <w:lang w:val="en-GB"/>
        </w:rPr>
        <w:t xml:space="preserve"> (gift from L. Partdridge; amorphic allele deleting exons 2 to 6; </w:t>
      </w:r>
      <w:r>
        <w:fldChar w:fldCharType="begin"/>
      </w:r>
      <w:r>
        <w:rPr/>
        <w:instrText>ADDIN EN.CITE &lt;EndNote&gt;&lt;Cite&gt;&lt;Author&gt;Burnouf&lt;/Author&gt;&lt;Year&gt;2016&lt;/Year&gt;&lt;RecNum&gt;61&lt;/RecNum&gt;&lt;DisplayText&gt;(Burnouf et al., 2016)&lt;/DisplayText&gt;&lt;record&gt;&lt;rec-number&gt;61&lt;/rec-number&gt;&lt;foreign-keys&gt;&lt;key app="EN" db-id="vedta2ppje59fceprax5xvwqzxt2awx0xd99"&gt;61&lt;/key&gt;&lt;/foreign-keys&gt;&lt;ref-type name="Journal Article"&gt;17&lt;/ref-type&gt;&lt;contributors&gt;&lt;authors&gt;&lt;author&gt;Burnouf, S.&lt;/author&gt;&lt;author&gt;Gronke, S.&lt;/author&gt;&lt;author&gt;Augustin, H.&lt;/author&gt;&lt;author&gt;Dols, J.&lt;/author&gt;&lt;author&gt;Gorsky, M. K.&lt;/author&gt;&lt;author&gt;Werner, J.&lt;/author&gt;&lt;author&gt;Kerr, F.&lt;/author&gt;&lt;author&gt;Alic, N.&lt;/author&gt;&lt;author&gt;Martinez, P.&lt;/author&gt;&lt;author&gt;Partridge, L.&lt;/author&gt;&lt;/authors&gt;&lt;/contributors&gt;&lt;auth-address&gt;Max Planck Inst Biol Ageing, Joseph Stelzmann Str 9b, D-50931 Cologne, Germany&amp;#xD;CECAD Cologne Excellence Cluster Cellular Stress, D-50931 Cologne, Germany&amp;#xD;UCL, Inst Hlth Ageing, Dept Genet Evolut &amp;amp; Environm, Darwin Bldg,Gower St, London WC1E 6BT, England&lt;/auth-address&gt;&lt;titles&gt;&lt;title&gt;Deletion of endogenous Tau proteins is not detrimental in Drosophila&lt;/title&gt;&lt;secondary-title&gt;Scientific Reports&lt;/secondary-title&gt;&lt;alt-title&gt;Sci Rep-Uk&lt;/alt-title&gt;&lt;/titles&gt;&lt;periodical&gt;&lt;full-title&gt;Scientific Reports&lt;/full-title&gt;&lt;abbr-1&gt;Sci Rep-Uk&lt;/abbr-1&gt;&lt;/periodical&gt;&lt;alt-periodical&gt;&lt;full-title&gt;Scientific Reports&lt;/full-title&gt;&lt;abbr-1&gt;Sci Rep-Uk&lt;/abbr-1&gt;&lt;/alt-periodical&gt;&lt;volume&gt;6&lt;/volume&gt;&lt;keywords&gt;&lt;keyword&gt;alzheimers-disease&lt;/keyword&gt;&lt;keyword&gt;deficient mice&lt;/keyword&gt;&lt;keyword&gt;beta toxicity&lt;/keyword&gt;&lt;keyword&gt;mouse model&lt;/keyword&gt;&lt;keyword&gt;in-vivo&lt;/keyword&gt;&lt;keyword&gt;phosphorylation&lt;/keyword&gt;&lt;keyword&gt;par-1&lt;/keyword&gt;&lt;keyword&gt;degeneration&lt;/keyword&gt;&lt;keyword&gt;expression&lt;/keyword&gt;&lt;keyword&gt;mutants&lt;/keyword&gt;&lt;/keywords&gt;&lt;dates&gt;&lt;year&gt;2016&lt;/year&gt;&lt;pub-dates&gt;&lt;date&gt;Mar 15&lt;/date&gt;&lt;/pub-dates&gt;&lt;/dates&gt;&lt;isbn&gt;2045-2322&lt;/isbn&gt;&lt;accession-num&gt;ISI:000372050400002&lt;/accession-num&gt;&lt;urls&gt;&lt;related-urls&gt;&lt;url&gt;&amp;lt;Go to ISI&amp;gt;://000372050400002&lt;/url&gt;&lt;/related-urls&gt;&lt;/urls&gt;&lt;electronic-resource-num&gt;Artn 23102&amp;#xD;10.1038/Srep23102&lt;/electronic-resource-num&gt;&lt;language&gt;English&lt;/language&gt;&lt;/record&gt;&lt;/Cite&gt;&lt;/EndNote&gt;</w:instrText>
      </w:r>
      <w:r>
        <w:rPr/>
        <w:fldChar w:fldCharType="separate"/>
      </w:r>
      <w:bookmarkStart w:id="57" w:name="__Fieldmark__915_4090835577"/>
      <w:r>
        <w:rPr/>
      </w:r>
      <w:r>
        <w:rPr>
          <w:rFonts w:cs="Arial" w:ascii="Arial" w:hAnsi="Arial"/>
          <w:sz w:val="20"/>
          <w:szCs w:val="20"/>
          <w:lang w:val="en-GB"/>
        </w:rPr>
        <w:t>(Burnouf et al., 2016)</w:t>
      </w:r>
      <w:r>
        <w:rPr/>
      </w:r>
      <w:r>
        <w:rPr/>
        <w:fldChar w:fldCharType="end"/>
      </w:r>
      <w:hyperlink w:anchor="_ENREF_7" w:tgtFrame="Burnouf, 2016 #61">
        <w:bookmarkEnd w:id="57"/>
        <w:r>
          <w:rPr>
            <w:rFonts w:cs="Arial" w:ascii="Arial" w:hAnsi="Arial"/>
            <w:sz w:val="20"/>
            <w:szCs w:val="20"/>
            <w:lang w:val="en-GB"/>
          </w:rPr>
          <w:t xml:space="preserve">), </w:t>
        </w:r>
      </w:hyperlink>
      <w:r>
        <w:rPr>
          <w:rFonts w:cs="Arial" w:ascii="Arial" w:hAnsi="Arial"/>
          <w:b/>
          <w:i/>
          <w:sz w:val="20"/>
          <w:szCs w:val="20"/>
          <w:lang w:val="en-GB"/>
        </w:rPr>
        <w:t>Khc</w:t>
      </w:r>
      <w:r>
        <w:rPr>
          <w:rFonts w:cs="Arial" w:ascii="Arial" w:hAnsi="Arial"/>
          <w:b/>
          <w:i/>
          <w:sz w:val="20"/>
          <w:szCs w:val="20"/>
          <w:vertAlign w:val="superscript"/>
          <w:lang w:val="en-GB"/>
        </w:rPr>
        <w:t>8/+</w:t>
      </w:r>
      <w:r>
        <w:rPr>
          <w:rFonts w:cs="Arial" w:ascii="Arial" w:hAnsi="Arial"/>
          <w:sz w:val="20"/>
          <w:szCs w:val="20"/>
          <w:lang w:val="en-GB"/>
        </w:rPr>
        <w:t xml:space="preserve"> (Blooming Stock Centre, stock #1607) is an amorphic allele, resulting from several point mutations, such as Nucleotide change C 16269635T leading to an aa change R210term. This mutation leads to a lack of molecular function of the gene product. It is also called a “Loss-of-function mutation”. </w:t>
      </w:r>
      <w:r>
        <w:rPr>
          <w:rFonts w:cs="Arial" w:ascii="Arial" w:hAnsi="Arial"/>
          <w:i/>
          <w:sz w:val="20"/>
          <w:szCs w:val="20"/>
          <w:lang w:val="en-GB"/>
        </w:rPr>
        <w:t xml:space="preserve">Imac is </w:t>
      </w:r>
      <w:r>
        <w:rPr>
          <w:rFonts w:cs="Arial" w:ascii="Arial" w:hAnsi="Arial"/>
          <w:sz w:val="20"/>
          <w:szCs w:val="20"/>
          <w:lang w:val="en-GB"/>
        </w:rPr>
        <w:t xml:space="preserve">a gene encoding a Kinesin 3, also known as unc-104. </w:t>
      </w:r>
      <w:r>
        <w:rPr>
          <w:rFonts w:cs="Arial" w:ascii="Arial" w:hAnsi="Arial"/>
          <w:b/>
          <w:i/>
          <w:sz w:val="20"/>
          <w:szCs w:val="20"/>
          <w:lang w:val="en-GB"/>
        </w:rPr>
        <w:t>Imac</w:t>
      </w:r>
      <w:r>
        <w:rPr>
          <w:rFonts w:cs="Arial" w:ascii="Arial" w:hAnsi="Arial"/>
          <w:b/>
          <w:i/>
          <w:sz w:val="20"/>
          <w:szCs w:val="20"/>
          <w:vertAlign w:val="superscript"/>
          <w:lang w:val="en-GB"/>
        </w:rPr>
        <w:t>170</w:t>
      </w:r>
      <w:r>
        <w:rPr>
          <w:rFonts w:cs="Arial" w:ascii="Arial" w:hAnsi="Arial"/>
          <w:sz w:val="20"/>
          <w:szCs w:val="20"/>
          <w:lang w:val="en-GB"/>
        </w:rPr>
        <w:t xml:space="preserve"> (Pack-Chung et al.,2007) is an allele, resulting from the non-sense mutation (G16763061A nucleotide change) leading to premature stop codon (FlyBase Organisation, 2019). </w:t>
      </w:r>
      <w:r>
        <w:rPr>
          <w:rFonts w:cs="Arial" w:ascii="Arial" w:hAnsi="Arial"/>
          <w:b/>
          <w:i/>
          <w:sz w:val="20"/>
          <w:szCs w:val="20"/>
          <w:lang w:val="en-GB"/>
        </w:rPr>
        <w:t>Rdl</w:t>
      </w:r>
      <w:r>
        <w:rPr>
          <w:rFonts w:cs="Arial" w:ascii="Arial" w:hAnsi="Arial"/>
          <w:b/>
          <w:i/>
          <w:sz w:val="20"/>
          <w:szCs w:val="20"/>
          <w:vertAlign w:val="superscript"/>
          <w:lang w:val="en-GB"/>
        </w:rPr>
        <w:t>1/+</w:t>
      </w:r>
      <w:r>
        <w:rPr>
          <w:rFonts w:cs="Arial" w:ascii="Arial" w:hAnsi="Arial"/>
          <w:sz w:val="20"/>
          <w:szCs w:val="20"/>
          <w:lang w:val="en-GB"/>
        </w:rPr>
        <w:t xml:space="preserve"> (Blooming Stock Centre, stock #1687), is a chromosomal aberration induced by gamma ray, more specifically an inversion of chromosome 3 </w:t>
      </w:r>
      <w:r>
        <w:fldChar w:fldCharType="begin"/>
      </w:r>
      <w:r>
        <w:rPr/>
        <w:instrText>ADDIN EN.CITE</w:instrText>
      </w:r>
      <w:r>
        <w:rPr/>
        <w:fldChar w:fldCharType="separate"/>
      </w:r>
      <w:bookmarkStart w:id="58" w:name="__Fieldmark__952_4090835577"/>
      <w:r>
        <w:rPr/>
      </w:r>
      <w:r>
        <w:rPr/>
      </w:r>
      <w:r>
        <w:rPr/>
        <w:fldChar w:fldCharType="end"/>
      </w:r>
      <w:r>
        <w:fldChar w:fldCharType="begin"/>
      </w:r>
      <w:r>
        <w:rPr/>
        <w:instrText>ADDIN EN.CITE.DATA</w:instrText>
      </w:r>
      <w:r>
        <w:rPr/>
        <w:fldChar w:fldCharType="separate"/>
      </w:r>
      <w:bookmarkStart w:id="59" w:name="__Fieldmark__951_4090835577"/>
      <w:bookmarkEnd w:id="58"/>
      <w:r>
        <w:rPr/>
      </w:r>
      <w:r>
        <w:rPr>
          <w:rFonts w:cs="Arial" w:ascii="Arial" w:hAnsi="Arial"/>
          <w:sz w:val="20"/>
          <w:szCs w:val="20"/>
          <w:lang w:val="en-GB"/>
        </w:rPr>
        <w:t>(Stilwell and Ffrench-Constant, 1998)</w:t>
      </w:r>
      <w:r>
        <w:rPr/>
      </w:r>
      <w:r>
        <w:rPr/>
        <w:fldChar w:fldCharType="end"/>
      </w:r>
      <w:hyperlink w:anchor="_ENREF_78" w:tgtFrame="Stilwell, 1998 #86">
        <w:bookmarkEnd w:id="59"/>
        <w:r>
          <w:rPr>
            <w:rFonts w:cs="Arial" w:ascii="Arial" w:hAnsi="Arial"/>
            <w:sz w:val="20"/>
            <w:szCs w:val="20"/>
            <w:lang w:val="en-GB"/>
          </w:rPr>
          <w:t xml:space="preserve">. </w:t>
        </w:r>
      </w:hyperlink>
      <w:r>
        <w:rPr>
          <w:rFonts w:cs="Arial" w:ascii="Arial" w:hAnsi="Arial"/>
          <w:b/>
          <w:i/>
          <w:sz w:val="20"/>
          <w:szCs w:val="20"/>
          <w:lang w:val="en-GB"/>
        </w:rPr>
        <w:t>Efa6</w:t>
      </w:r>
      <w:r>
        <w:rPr>
          <w:rFonts w:cs="Arial" w:ascii="Arial" w:hAnsi="Arial"/>
          <w:b/>
          <w:i/>
          <w:sz w:val="20"/>
          <w:szCs w:val="20"/>
          <w:vertAlign w:val="superscript"/>
          <w:lang w:val="en-GB"/>
        </w:rPr>
        <w:t>GX6w</w:t>
      </w:r>
      <w:r>
        <w:rPr>
          <w:rFonts w:cs="Arial" w:ascii="Arial" w:hAnsi="Arial"/>
          <w:sz w:val="20"/>
          <w:szCs w:val="20"/>
          <w:lang w:val="en-GB"/>
        </w:rPr>
        <w:t xml:space="preserve"> is a genomically engineered null allele (Blooming Stock Centre, stock #</w:t>
      </w:r>
      <w:r>
        <w:rPr>
          <w:lang w:val="en-GB"/>
        </w:rPr>
        <w:t xml:space="preserve"> </w:t>
      </w:r>
      <w:r>
        <w:rPr>
          <w:rFonts w:cs="Arial" w:ascii="Arial" w:hAnsi="Arial"/>
          <w:sz w:val="20"/>
          <w:szCs w:val="20"/>
          <w:lang w:val="en-GB"/>
        </w:rPr>
        <w:t>60587),</w:t>
      </w:r>
      <w:r>
        <w:rPr>
          <w:rFonts w:cs="Arial" w:ascii="Arial" w:hAnsi="Arial"/>
          <w:b/>
          <w:i/>
          <w:sz w:val="20"/>
          <w:szCs w:val="20"/>
          <w:lang w:val="en-GB"/>
        </w:rPr>
        <w:t xml:space="preserve"> UAS-Rdl-HA</w:t>
      </w:r>
      <w:r>
        <w:rPr>
          <w:rFonts w:cs="Arial" w:ascii="Arial" w:hAnsi="Arial"/>
          <w:sz w:val="20"/>
          <w:szCs w:val="20"/>
          <w:lang w:val="en-GB"/>
        </w:rPr>
        <w:t xml:space="preserve"> (Kueppers et al., 2003), </w:t>
      </w:r>
      <w:r>
        <w:rPr>
          <w:rFonts w:cs="Arial" w:ascii="Arial" w:hAnsi="Arial"/>
          <w:b/>
          <w:i/>
          <w:sz w:val="20"/>
          <w:szCs w:val="20"/>
          <w:lang w:val="en-GB"/>
        </w:rPr>
        <w:t>UAS-eb1-RNA</w:t>
      </w:r>
      <w:r>
        <w:rPr>
          <w:rFonts w:cs="Arial" w:ascii="Arial" w:hAnsi="Arial"/>
          <w:b/>
          <w:i/>
          <w:sz w:val="20"/>
          <w:szCs w:val="20"/>
          <w:vertAlign w:val="subscript"/>
          <w:lang w:val="en-GB"/>
        </w:rPr>
        <w:t>i</w:t>
      </w:r>
      <w:r>
        <w:rPr>
          <w:rFonts w:cs="Arial" w:ascii="Arial" w:hAnsi="Arial"/>
          <w:b/>
          <w:sz w:val="20"/>
          <w:szCs w:val="20"/>
          <w:lang w:val="en-GB"/>
        </w:rPr>
        <w:t xml:space="preserve"> </w:t>
      </w:r>
      <w:r>
        <w:rPr>
          <w:rFonts w:cs="Arial" w:ascii="Arial" w:hAnsi="Arial"/>
          <w:sz w:val="20"/>
          <w:szCs w:val="20"/>
          <w:lang w:val="en-GB"/>
        </w:rPr>
        <w:t xml:space="preserve">(Blooming Stock Centre), </w:t>
      </w:r>
      <w:r>
        <w:rPr>
          <w:rFonts w:cs="Arial" w:ascii="Arial" w:hAnsi="Arial"/>
          <w:b/>
          <w:i/>
          <w:sz w:val="20"/>
          <w:szCs w:val="20"/>
          <w:lang w:val="en-GB"/>
        </w:rPr>
        <w:t>elav-GAL4</w:t>
      </w:r>
      <w:r>
        <w:rPr>
          <w:rFonts w:cs="Arial" w:ascii="Arial" w:hAnsi="Arial"/>
          <w:sz w:val="20"/>
          <w:szCs w:val="20"/>
          <w:lang w:val="en-GB"/>
        </w:rPr>
        <w:t xml:space="preserve"> (pan-neuronal driver on chromosome 3; </w:t>
      </w:r>
      <w:r>
        <w:fldChar w:fldCharType="begin"/>
      </w:r>
      <w:r>
        <w:rPr/>
        <w:instrText>ADDIN EN.CITE &lt;EndNote&gt;&lt;Cite&gt;&lt;Author&gt;Luo&lt;/Author&gt;&lt;Year&gt;1994&lt;/Year&gt;&lt;RecNum&gt;87&lt;/RecNum&gt;&lt;DisplayText&gt;(Luo et al., 1994)&lt;/DisplayText&gt;&lt;record&gt;&lt;rec-number&gt;87&lt;/rec-number&gt;&lt;foreign-keys&gt;&lt;key app="EN" db-id="vedta2ppje59fceprax5xvwqzxt2awx0xd99"&gt;87&lt;/key&gt;&lt;/foreign-keys&gt;&lt;ref-type name="Journal Article"&gt;17&lt;/ref-type&gt;&lt;contributors&gt;&lt;authors&gt;&lt;author&gt;Luo, L.&lt;/author&gt;&lt;author&gt;Liao, Y. J.&lt;/author&gt;&lt;author&gt;Jan, L. Y.&lt;/author&gt;&lt;author&gt;Jan, Y. N.&lt;/author&gt;&lt;/authors&gt;&lt;/contributors&gt;&lt;auth-address&gt;Howard Hughes Medical Institute, Department of Physiology, University of California at San Francisco 94143.&lt;/auth-address&gt;&lt;titles&gt;&lt;title&gt;Distinct morphogenetic functions of similar small GTPases: Drosophila Drac1 is involved in axonal outgrowth and myoblast fusion&lt;/title&gt;&lt;secondary-title&gt;Genes Dev&lt;/secondary-title&gt;&lt;/titles&gt;&lt;periodical&gt;&lt;full-title&gt;Genes Dev&lt;/full-title&gt;&lt;/periodical&gt;&lt;pages&gt;1787-802&lt;/pages&gt;&lt;volume&gt;8&lt;/volume&gt;&lt;number&gt;15&lt;/number&gt;&lt;edition&gt;1994/08/01&lt;/edition&gt;&lt;keywords&gt;&lt;keyword&gt;Actins/metabolism&lt;/keyword&gt;&lt;keyword&gt;Amino Acid Sequence&lt;/keyword&gt;&lt;keyword&gt;Animals&lt;/keyword&gt;&lt;keyword&gt;Axons/*physiology&lt;/keyword&gt;&lt;keyword&gt;Base Sequence&lt;/keyword&gt;&lt;keyword&gt;Cell Fusion/physiology&lt;/keyword&gt;&lt;keyword&gt;Drosophila/embryology&lt;/keyword&gt;&lt;keyword&gt;*Drosophila Proteins&lt;/keyword&gt;&lt;keyword&gt;Embryonic Development&lt;/keyword&gt;&lt;keyword&gt;GTP-Binding Proteins/genetics/*physiology&lt;/keyword&gt;&lt;keyword&gt;Gene Expression Regulation, Developmental/physiology&lt;/keyword&gt;&lt;keyword&gt;Molecular Sequence Data&lt;/keyword&gt;&lt;keyword&gt;Morphogenesis/*physiology&lt;/keyword&gt;&lt;keyword&gt;Muscles/cytology/*embryology&lt;/keyword&gt;&lt;keyword&gt;Mutagenesis, Site-Directed&lt;/keyword&gt;&lt;keyword&gt;Nervous System/embryology/metabolism&lt;/keyword&gt;&lt;keyword&gt;*rac GTP-Binding Proteins&lt;/keyword&gt;&lt;/keywords&gt;&lt;dates&gt;&lt;year&gt;1994&lt;/year&gt;&lt;pub-dates&gt;&lt;date&gt;Aug 1&lt;/date&gt;&lt;/pub-dates&gt;&lt;/dates&gt;&lt;isbn&gt;0890-9369 (Print)&amp;#xD;0890-9369 (Linking)&lt;/isbn&gt;&lt;accession-num&gt;7958857&lt;/accession-num&gt;&lt;urls&gt;&lt;related-urls&gt;&lt;url&gt;http://www.ncbi.nlm.nih.gov/pubmed/7958857&lt;/url&gt;&lt;/related-urls&gt;&lt;/urls&gt;&lt;language&gt;eng&lt;/language&gt;&lt;/record&gt;&lt;/Cite&gt;&lt;/EndNote&gt;</w:instrText>
      </w:r>
      <w:r>
        <w:rPr/>
        <w:fldChar w:fldCharType="separate"/>
      </w:r>
      <w:bookmarkStart w:id="60" w:name="__Fieldmark__995_4090835577"/>
      <w:r>
        <w:rPr/>
      </w:r>
      <w:r>
        <w:rPr>
          <w:rFonts w:cs="Arial" w:ascii="Arial" w:hAnsi="Arial"/>
          <w:sz w:val="20"/>
          <w:szCs w:val="20"/>
          <w:lang w:val="en-GB"/>
        </w:rPr>
        <w:t>(Luo et al., 1994)</w:t>
      </w:r>
      <w:r>
        <w:rPr/>
      </w:r>
      <w:r>
        <w:rPr/>
        <w:fldChar w:fldCharType="end"/>
      </w:r>
      <w:hyperlink w:anchor="_ENREF_42" w:tgtFrame="Luo, 1994 #87">
        <w:bookmarkEnd w:id="60"/>
        <w:r>
          <w:rPr>
            <w:rFonts w:cs="Arial" w:ascii="Arial" w:hAnsi="Arial"/>
            <w:sz w:val="20"/>
            <w:szCs w:val="20"/>
            <w:lang w:val="en-GB"/>
          </w:rPr>
          <w:t xml:space="preserve">), </w:t>
        </w:r>
      </w:hyperlink>
      <w:r>
        <w:rPr>
          <w:rFonts w:cs="Arial" w:ascii="Arial" w:hAnsi="Arial"/>
          <w:b/>
          <w:i/>
          <w:sz w:val="20"/>
          <w:szCs w:val="20"/>
          <w:lang w:val="en-GB"/>
        </w:rPr>
        <w:t>Ok6-Gal4</w:t>
      </w:r>
      <w:r>
        <w:rPr>
          <w:rFonts w:cs="Arial" w:ascii="Arial" w:hAnsi="Arial"/>
          <w:i/>
          <w:sz w:val="20"/>
          <w:szCs w:val="20"/>
          <w:lang w:val="en-GB"/>
        </w:rPr>
        <w:t xml:space="preserve"> </w:t>
      </w:r>
      <w:r>
        <w:rPr>
          <w:rFonts w:cs="Arial" w:ascii="Arial" w:hAnsi="Arial"/>
          <w:sz w:val="20"/>
          <w:szCs w:val="20"/>
          <w:lang w:val="en-GB"/>
        </w:rPr>
        <w:t xml:space="preserve">(motorneuron-specific driver on chromosome 2L; </w:t>
      </w:r>
      <w:r>
        <w:fldChar w:fldCharType="begin"/>
      </w:r>
      <w:r>
        <w:rPr/>
        <w:instrText>ADDIN EN.CITE</w:instrText>
      </w:r>
      <w:r>
        <w:rPr/>
        <w:fldChar w:fldCharType="separate"/>
      </w:r>
      <w:bookmarkStart w:id="61" w:name="__Fieldmark__1013_4090835577"/>
      <w:r>
        <w:rPr/>
      </w:r>
      <w:r>
        <w:rPr/>
      </w:r>
      <w:r>
        <w:rPr/>
        <w:fldChar w:fldCharType="end"/>
      </w:r>
      <w:r>
        <w:fldChar w:fldCharType="begin"/>
      </w:r>
      <w:r>
        <w:rPr/>
        <w:instrText>ADDIN EN.CITE.DATA</w:instrText>
      </w:r>
      <w:r>
        <w:rPr/>
        <w:fldChar w:fldCharType="separate"/>
      </w:r>
      <w:bookmarkStart w:id="62" w:name="__Fieldmark__1012_4090835577"/>
      <w:bookmarkEnd w:id="61"/>
      <w:r>
        <w:rPr/>
      </w:r>
      <w:r>
        <w:rPr>
          <w:rFonts w:cs="Arial" w:ascii="Arial" w:hAnsi="Arial"/>
          <w:sz w:val="20"/>
          <w:szCs w:val="20"/>
          <w:lang w:val="en-GB"/>
        </w:rPr>
        <w:t>(Sanyal, 2009)</w:t>
      </w:r>
      <w:r>
        <w:rPr/>
      </w:r>
      <w:r>
        <w:rPr/>
        <w:fldChar w:fldCharType="end"/>
      </w:r>
      <w:hyperlink w:anchor="_ENREF_74" w:tgtFrame="Sanyal, 2009 #88">
        <w:bookmarkEnd w:id="62"/>
        <w:r>
          <w:rPr>
            <w:rFonts w:cs="Arial" w:ascii="Arial" w:hAnsi="Arial"/>
            <w:sz w:val="20"/>
            <w:szCs w:val="20"/>
            <w:lang w:val="en-GB"/>
          </w:rPr>
          <w:t xml:space="preserve">), and </w:t>
        </w:r>
      </w:hyperlink>
      <w:r>
        <w:rPr>
          <w:rFonts w:eastAsia="Times New Roman" w:cs="Arial" w:ascii="Arial" w:hAnsi="Arial"/>
          <w:b/>
          <w:i/>
          <w:iCs/>
          <w:sz w:val="20"/>
          <w:szCs w:val="20"/>
          <w:lang w:val="en-GB" w:eastAsia="pt-PT"/>
        </w:rPr>
        <w:t>ChaT:Bac-Gal4</w:t>
      </w:r>
      <w:r>
        <w:rPr>
          <w:rFonts w:eastAsia="Times New Roman" w:cs="Arial" w:ascii="Arial" w:hAnsi="Arial"/>
          <w:b/>
          <w:iCs/>
          <w:sz w:val="20"/>
          <w:szCs w:val="20"/>
          <w:lang w:val="en-GB" w:eastAsia="pt-PT"/>
        </w:rPr>
        <w:t xml:space="preserve"> </w:t>
      </w:r>
      <w:r>
        <w:rPr>
          <w:rFonts w:eastAsia="Times New Roman" w:cs="Arial" w:ascii="Arial" w:hAnsi="Arial"/>
          <w:iCs/>
          <w:sz w:val="20"/>
          <w:szCs w:val="20"/>
          <w:lang w:val="en-GB" w:eastAsia="pt-PT"/>
        </w:rPr>
        <w:t xml:space="preserve">(specific for cholinergic neurons; chromosome 3R; </w:t>
      </w:r>
      <w:r>
        <w:fldChar w:fldCharType="begin"/>
      </w:r>
      <w:r>
        <w:rPr/>
        <w:instrText>ADDIN EN.CITE &lt;EndNote&gt;&lt;Cite&gt;&lt;Author&gt;Salvaterra&lt;/Author&gt;&lt;Year&gt;2001&lt;/Year&gt;&lt;RecNum&gt;89&lt;/RecNum&gt;&lt;DisplayText&gt;(Salvaterra and Kitamoto, 2001)&lt;/DisplayText&gt;&lt;record&gt;&lt;rec-number&gt;89&lt;/rec-number&gt;&lt;foreign-keys&gt;&lt;key app="EN" db-id="vedta2ppje59fceprax5xvwqzxt2awx0xd99"&gt;89&lt;/key&gt;&lt;/foreign-keys&gt;&lt;ref-type name="Journal Article"&gt;17&lt;/ref-type&gt;&lt;contributors&gt;&lt;authors&gt;&lt;author&gt;Salvaterra, P. M.&lt;/author&gt;&lt;author&gt;Kitamoto, T.&lt;/author&gt;&lt;/authors&gt;&lt;/contributors&gt;&lt;auth-address&gt;Division of Neuroscience, Beckman Research Institute of the City of Hope, 1450 E. Duarte Road, Duarte, CA 91010, USA. psalv@coh.org&lt;/auth-address&gt;&lt;titles&gt;&lt;title&gt;Drosophila cholinergic neurons and processes visualized with Gal4/UAS-GFP&lt;/title&gt;&lt;secondary-title&gt;Brain Res Gene Expr Patterns&lt;/secondary-title&gt;&lt;/titles&gt;&lt;periodical&gt;&lt;full-title&gt;Brain Res Gene Expr Patterns&lt;/full-title&gt;&lt;/periodical&gt;&lt;pages&gt;73-82&lt;/pages&gt;&lt;volume&gt;1&lt;/volume&gt;&lt;number&gt;1&lt;/number&gt;&lt;edition&gt;2004/03/17&lt;/edition&gt;&lt;dates&gt;&lt;year&gt;2001&lt;/year&gt;&lt;pub-dates&gt;&lt;date&gt;Aug&lt;/date&gt;&lt;/pub-dates&gt;&lt;/dates&gt;&lt;accession-num&gt;15018821&lt;/accession-num&gt;&lt;urls&gt;&lt;related-urls&gt;&lt;url&gt;http://www.ncbi.nlm.nih.gov/pubmed/15018821&lt;/url&gt;&lt;/related-urls&gt;&lt;/urls&gt;&lt;electronic-resource-num&gt;S1567-133X(01)00011-4 [pii]&lt;/electronic-resource-num&gt;&lt;language&gt;eng&lt;/language&gt;&lt;/record&gt;&lt;/Cite&gt;&lt;/EndNote&gt;</w:instrText>
      </w:r>
      <w:r>
        <w:rPr/>
        <w:fldChar w:fldCharType="separate"/>
      </w:r>
      <w:bookmarkStart w:id="63" w:name="__Fieldmark__1031_4090835577"/>
      <w:r>
        <w:rPr/>
      </w:r>
      <w:r>
        <w:rPr>
          <w:rFonts w:eastAsia="Times New Roman" w:cs="Arial" w:ascii="Arial" w:hAnsi="Arial"/>
          <w:iCs/>
          <w:sz w:val="20"/>
          <w:szCs w:val="20"/>
          <w:lang w:val="en-GB" w:eastAsia="pt-PT"/>
        </w:rPr>
        <w:t>(Salvaterra and Kitamoto, 2001)</w:t>
      </w:r>
      <w:r>
        <w:rPr/>
      </w:r>
      <w:r>
        <w:rPr/>
        <w:fldChar w:fldCharType="end"/>
      </w:r>
      <w:hyperlink w:anchor="_ENREF_71" w:tgtFrame="Salvaterra, 2001 #89">
        <w:bookmarkEnd w:id="63"/>
        <w:r>
          <w:rPr>
            <w:rFonts w:eastAsia="Times New Roman" w:cs="Arial" w:ascii="Arial" w:hAnsi="Arial"/>
            <w:iCs/>
            <w:sz w:val="20"/>
            <w:szCs w:val="20"/>
            <w:lang w:val="en-GB" w:eastAsia="pt-PT"/>
          </w:rPr>
          <w:t xml:space="preserve">; </w:t>
        </w:r>
      </w:hyperlink>
      <w:r>
        <w:rPr>
          <w:rFonts w:cs="Arial" w:ascii="Arial" w:hAnsi="Arial"/>
          <w:b/>
          <w:sz w:val="20"/>
          <w:szCs w:val="20"/>
          <w:lang w:val="en-GB"/>
        </w:rPr>
        <w:t>CTG</w:t>
      </w:r>
      <w:r>
        <w:rPr>
          <w:rFonts w:cs="Arial" w:ascii="Arial" w:hAnsi="Arial"/>
          <w:sz w:val="20"/>
          <w:szCs w:val="20"/>
          <w:lang w:val="en-GB"/>
        </w:rPr>
        <w:t xml:space="preserve"> (</w:t>
      </w:r>
      <w:r>
        <w:rPr>
          <w:rFonts w:cs="Arial" w:ascii="Arial" w:hAnsi="Arial"/>
          <w:i/>
          <w:sz w:val="20"/>
          <w:szCs w:val="20"/>
          <w:lang w:val="en-GB"/>
        </w:rPr>
        <w:t>Cyo</w:t>
      </w:r>
      <w:r>
        <w:rPr>
          <w:rFonts w:cs="Arial" w:ascii="Arial" w:hAnsi="Arial"/>
          <w:sz w:val="20"/>
          <w:szCs w:val="20"/>
          <w:lang w:val="en-GB"/>
        </w:rPr>
        <w:t xml:space="preserve">, </w:t>
      </w:r>
      <w:r>
        <w:rPr>
          <w:rFonts w:cs="Arial" w:ascii="Arial" w:hAnsi="Arial"/>
          <w:i/>
          <w:sz w:val="20"/>
          <w:szCs w:val="20"/>
          <w:lang w:val="en-GB"/>
        </w:rPr>
        <w:t>twist</w:t>
      </w:r>
      <w:r>
        <w:rPr>
          <w:rFonts w:cs="Arial" w:ascii="Arial" w:hAnsi="Arial"/>
          <w:sz w:val="20"/>
          <w:szCs w:val="20"/>
          <w:lang w:val="en-GB"/>
        </w:rPr>
        <w:t xml:space="preserve">-GAL4 UAS-2xEGFP) and </w:t>
      </w:r>
      <w:r>
        <w:rPr>
          <w:rFonts w:cs="Arial" w:ascii="Arial" w:hAnsi="Arial"/>
          <w:b/>
          <w:sz w:val="20"/>
          <w:szCs w:val="20"/>
          <w:lang w:val="en-GB"/>
        </w:rPr>
        <w:t>TTG</w:t>
      </w:r>
      <w:r>
        <w:rPr>
          <w:rFonts w:cs="Arial" w:ascii="Arial" w:hAnsi="Arial"/>
          <w:sz w:val="20"/>
          <w:szCs w:val="20"/>
          <w:lang w:val="en-GB"/>
        </w:rPr>
        <w:t xml:space="preserve"> (</w:t>
      </w:r>
      <w:r>
        <w:rPr>
          <w:rFonts w:cs="Arial" w:ascii="Arial" w:hAnsi="Arial"/>
          <w:i/>
          <w:sz w:val="20"/>
          <w:szCs w:val="20"/>
          <w:lang w:val="en-GB"/>
        </w:rPr>
        <w:t>TM3</w:t>
      </w:r>
      <w:r>
        <w:rPr>
          <w:rFonts w:cs="Arial" w:ascii="Arial" w:hAnsi="Arial"/>
          <w:sz w:val="20"/>
          <w:szCs w:val="20"/>
          <w:lang w:val="en-GB"/>
        </w:rPr>
        <w:t xml:space="preserve">, </w:t>
      </w:r>
      <w:r>
        <w:rPr>
          <w:rFonts w:cs="Arial" w:ascii="Arial" w:hAnsi="Arial"/>
          <w:i/>
          <w:sz w:val="20"/>
          <w:szCs w:val="20"/>
          <w:lang w:val="en-GB"/>
        </w:rPr>
        <w:t>twist</w:t>
      </w:r>
      <w:r>
        <w:rPr>
          <w:rFonts w:cs="Arial" w:ascii="Arial" w:hAnsi="Arial"/>
          <w:sz w:val="20"/>
          <w:szCs w:val="20"/>
          <w:lang w:val="en-GB"/>
        </w:rPr>
        <w:t xml:space="preserve">-GAL4 UAS-2xEGFP) balancer chromosomes </w:t>
      </w:r>
      <w:r>
        <w:fldChar w:fldCharType="begin"/>
      </w:r>
      <w:r>
        <w:rPr/>
        <w:instrText>ADDIN EN.CITE</w:instrText>
      </w:r>
      <w:r>
        <w:rPr/>
        <w:fldChar w:fldCharType="separate"/>
      </w:r>
      <w:bookmarkStart w:id="64" w:name="__Fieldmark__1057_4090835577"/>
      <w:r>
        <w:rPr/>
      </w:r>
      <w:r>
        <w:rPr/>
      </w:r>
      <w:r>
        <w:rPr/>
        <w:fldChar w:fldCharType="end"/>
      </w:r>
      <w:r>
        <w:fldChar w:fldCharType="begin"/>
      </w:r>
      <w:r>
        <w:rPr/>
        <w:instrText>ADDIN EN.CITE.DATA</w:instrText>
      </w:r>
      <w:r>
        <w:rPr/>
        <w:fldChar w:fldCharType="separate"/>
      </w:r>
      <w:bookmarkStart w:id="65" w:name="__Fieldmark__1056_4090835577"/>
      <w:bookmarkEnd w:id="64"/>
      <w:r>
        <w:rPr/>
      </w:r>
      <w:r>
        <w:rPr>
          <w:rFonts w:cs="Arial" w:ascii="Arial" w:hAnsi="Arial"/>
          <w:sz w:val="20"/>
          <w:szCs w:val="20"/>
          <w:lang w:val="en-GB"/>
        </w:rPr>
        <w:t>(Halfon et al., 2002)</w:t>
      </w:r>
      <w:r>
        <w:rPr/>
      </w:r>
      <w:r>
        <w:rPr/>
        <w:fldChar w:fldCharType="end"/>
      </w:r>
      <w:bookmarkEnd w:id="65"/>
    </w:p>
    <w:p>
      <w:pPr>
        <w:pStyle w:val="ListParagraph"/>
        <w:numPr>
          <w:ilvl w:val="1"/>
          <w:numId w:val="1"/>
        </w:numPr>
        <w:spacing w:before="120" w:after="0"/>
        <w:ind w:left="284" w:hanging="360"/>
        <w:rPr>
          <w:rFonts w:ascii="Arial" w:hAnsi="Arial" w:cs="Arial"/>
          <w:sz w:val="20"/>
          <w:szCs w:val="20"/>
          <w:u w:val="single"/>
          <w:lang w:val="en-GB"/>
        </w:rPr>
      </w:pPr>
      <w:r>
        <w:rPr>
          <w:rFonts w:cs="Arial" w:ascii="Arial" w:hAnsi="Arial"/>
          <w:sz w:val="20"/>
          <w:szCs w:val="20"/>
          <w:u w:val="single"/>
          <w:lang w:val="en-GB"/>
        </w:rPr>
        <w:t>Induction of seizure-like phenotype in L3 larvae by electroshocking</w:t>
      </w:r>
    </w:p>
    <w:p>
      <w:pPr>
        <w:pStyle w:val="Normal"/>
        <w:spacing w:lineRule="auto" w:line="360" w:before="120" w:after="0"/>
        <w:jc w:val="both"/>
        <w:rPr/>
      </w:pPr>
      <w:bookmarkStart w:id="66" w:name="_Hlk6742806"/>
      <w:r>
        <w:rPr>
          <w:rFonts w:cs="Arial" w:ascii="Arial" w:hAnsi="Arial"/>
          <w:sz w:val="20"/>
          <w:szCs w:val="20"/>
          <w:lang w:val="en-GB"/>
        </w:rPr>
        <w:t xml:space="preserve">The first step of this experiment consists in the establishment of different settings by using a voltmeter measuring the voltage emitted by the power source. </w:t>
      </w:r>
      <w:bookmarkEnd w:id="66"/>
      <w:r>
        <w:rPr>
          <w:rFonts w:cs="Arial" w:ascii="Arial" w:hAnsi="Arial"/>
          <w:sz w:val="20"/>
          <w:szCs w:val="20"/>
          <w:lang w:val="en-GB"/>
        </w:rPr>
        <w:t xml:space="preserve">Larvae were kept in 25°C. To avoid bias, they were left for 25 minutes at room temperature. Afterwards, larvae from each genotype were washed in water to eliminate food-residues using a brush. Larvae were placed in a dry petri dish and the excess of water was removed with absorbent paper. Larvae were only taken when they showed movements which could then be compared to movements after the electroshock induction. Larvae were electroshocked for 2 seconds using the probe which is linked to a power source. Seizure-like phenotype was described as a full paralysis of larvae body. This epileptic-like phenotype ended when larvae return to have a full peristaltic wave along their body resulting from contraction </w:t>
      </w:r>
      <w:r>
        <w:fldChar w:fldCharType="begin"/>
      </w:r>
      <w:r>
        <w:rPr/>
        <w:instrText>ADDIN EN.CITE</w:instrText>
      </w:r>
      <w:r>
        <w:rPr/>
        <w:fldChar w:fldCharType="separate"/>
      </w:r>
      <w:bookmarkStart w:id="67" w:name="__Fieldmark__1099_4090835577"/>
      <w:r>
        <w:rPr/>
      </w:r>
      <w:r>
        <w:rPr/>
      </w:r>
      <w:r>
        <w:rPr/>
        <w:fldChar w:fldCharType="end"/>
      </w:r>
      <w:r>
        <w:fldChar w:fldCharType="begin"/>
      </w:r>
      <w:r>
        <w:rPr/>
        <w:instrText>ADDIN EN.CITE.DATA</w:instrText>
      </w:r>
      <w:r>
        <w:rPr/>
        <w:fldChar w:fldCharType="separate"/>
      </w:r>
      <w:bookmarkStart w:id="68" w:name="__Fieldmark__1098_4090835577"/>
      <w:bookmarkEnd w:id="67"/>
      <w:r>
        <w:rPr/>
      </w:r>
      <w:r>
        <w:rPr>
          <w:rFonts w:cs="Arial" w:ascii="Arial" w:hAnsi="Arial"/>
          <w:sz w:val="20"/>
          <w:szCs w:val="20"/>
          <w:lang w:val="en-GB"/>
        </w:rPr>
        <w:t>(Marley and Baines, 2011)</w:t>
      </w:r>
      <w:r>
        <w:rPr/>
      </w:r>
      <w:r>
        <w:rPr/>
        <w:fldChar w:fldCharType="end"/>
      </w:r>
      <w:hyperlink w:anchor="_ENREF_45" w:tgtFrame="Marley, 2011 #91">
        <w:bookmarkEnd w:id="68"/>
        <w:r>
          <w:rPr>
            <w:rFonts w:cs="Arial" w:ascii="Arial" w:hAnsi="Arial"/>
            <w:sz w:val="20"/>
            <w:szCs w:val="20"/>
            <w:lang w:val="en-GB"/>
          </w:rPr>
          <w:t xml:space="preserve">. In total, 25 control and 25 mutant larvae were analysed per genotype. </w:t>
        </w:r>
      </w:hyperlink>
    </w:p>
    <w:p>
      <w:pPr>
        <w:pStyle w:val="ListParagraph"/>
        <w:numPr>
          <w:ilvl w:val="1"/>
          <w:numId w:val="1"/>
        </w:numPr>
        <w:spacing w:before="120" w:after="0"/>
        <w:ind w:left="284" w:hanging="360"/>
        <w:rPr>
          <w:rFonts w:ascii="Arial" w:hAnsi="Arial" w:cs="Arial"/>
          <w:sz w:val="20"/>
          <w:szCs w:val="20"/>
          <w:u w:val="single"/>
          <w:lang w:val="en-GB"/>
        </w:rPr>
      </w:pPr>
      <w:r>
        <w:rPr>
          <w:rFonts w:cs="Arial" w:ascii="Arial" w:hAnsi="Arial"/>
          <w:sz w:val="20"/>
          <w:szCs w:val="20"/>
          <w:u w:val="single"/>
          <w:lang w:val="en-GB"/>
        </w:rPr>
        <w:t xml:space="preserve">Drug feeding and seizure-like behaviour test in L3 </w:t>
      </w:r>
      <w:r>
        <w:rPr>
          <w:rFonts w:cs="Arial" w:ascii="Arial" w:hAnsi="Arial"/>
          <w:i/>
          <w:sz w:val="20"/>
          <w:szCs w:val="20"/>
          <w:u w:val="single"/>
          <w:lang w:val="en-GB"/>
        </w:rPr>
        <w:t>Drosophila</w:t>
      </w:r>
      <w:r>
        <w:rPr>
          <w:rFonts w:cs="Arial" w:ascii="Arial" w:hAnsi="Arial"/>
          <w:sz w:val="20"/>
          <w:szCs w:val="20"/>
          <w:u w:val="single"/>
          <w:lang w:val="en-GB"/>
        </w:rPr>
        <w:t xml:space="preserve"> larvae</w:t>
      </w:r>
    </w:p>
    <w:p>
      <w:pPr>
        <w:pStyle w:val="Normal"/>
        <w:spacing w:lineRule="auto" w:line="360" w:before="120" w:after="0"/>
        <w:jc w:val="both"/>
        <w:rPr/>
      </w:pPr>
      <w:r>
        <w:rPr>
          <w:rFonts w:cs="Arial" w:ascii="Arial" w:hAnsi="Arial"/>
          <w:sz w:val="20"/>
          <w:szCs w:val="20"/>
          <w:lang w:val="en-GB"/>
        </w:rPr>
        <w:t xml:space="preserve">Phenytoin and Valproate (1.2  mM, Sigma) were added to standard cornmeal medium, which as melted previously. Epothilone B (10μM) was applied in a normal vial on the top of cornmeal medium. Eggs were lay down and larvae fed on each drug. After L3 larvae formation, approximately 30 larvae were collected for each AEDs and induced to electroshock stimulations at 3V during 2 seconds. In response to electroshock L3 larvae undergo a series of contractions and paralysis </w:t>
      </w:r>
      <w:r>
        <w:fldChar w:fldCharType="begin"/>
      </w:r>
      <w:r>
        <w:rPr/>
        <w:instrText>ADDIN EN.CITE</w:instrText>
      </w:r>
      <w:r>
        <w:rPr/>
        <w:fldChar w:fldCharType="separate"/>
      </w:r>
      <w:bookmarkStart w:id="69" w:name="__Fieldmark__1135_4090835577"/>
      <w:r>
        <w:rPr/>
      </w:r>
      <w:r>
        <w:rPr/>
      </w:r>
      <w:r>
        <w:rPr/>
        <w:fldChar w:fldCharType="end"/>
      </w:r>
      <w:r>
        <w:fldChar w:fldCharType="begin"/>
      </w:r>
      <w:r>
        <w:rPr/>
        <w:instrText>ADDIN EN.CITE.DATA</w:instrText>
      </w:r>
      <w:r>
        <w:rPr/>
        <w:fldChar w:fldCharType="separate"/>
      </w:r>
      <w:bookmarkStart w:id="70" w:name="__Fieldmark__1134_4090835577"/>
      <w:bookmarkEnd w:id="69"/>
      <w:r>
        <w:rPr/>
      </w:r>
      <w:r>
        <w:rPr>
          <w:rFonts w:cs="Arial" w:ascii="Arial" w:hAnsi="Arial"/>
          <w:sz w:val="20"/>
          <w:szCs w:val="20"/>
          <w:lang w:val="en-GB"/>
        </w:rPr>
        <w:t>(Marley and Baines, 2011)</w:t>
      </w:r>
      <w:r>
        <w:rPr/>
      </w:r>
      <w:r>
        <w:rPr/>
        <w:fldChar w:fldCharType="end"/>
      </w:r>
      <w:hyperlink w:anchor="_ENREF_45" w:tgtFrame="Marley, 2011 #91">
        <w:bookmarkEnd w:id="70"/>
        <w:r>
          <w:rPr>
            <w:rFonts w:cs="Arial" w:ascii="Arial" w:hAnsi="Arial"/>
            <w:sz w:val="20"/>
            <w:szCs w:val="20"/>
            <w:lang w:val="en-GB"/>
          </w:rPr>
          <w:t xml:space="preserve">. Recovery time was measured. </w:t>
        </w:r>
      </w:hyperlink>
    </w:p>
    <w:p>
      <w:pPr>
        <w:pStyle w:val="ListParagraph"/>
        <w:numPr>
          <w:ilvl w:val="1"/>
          <w:numId w:val="1"/>
        </w:numPr>
        <w:spacing w:before="120" w:after="0"/>
        <w:ind w:left="284" w:hanging="360"/>
        <w:rPr>
          <w:rFonts w:ascii="Arial" w:hAnsi="Arial" w:cs="Arial"/>
          <w:sz w:val="20"/>
          <w:szCs w:val="20"/>
          <w:u w:val="single"/>
          <w:lang w:val="en-GB"/>
        </w:rPr>
      </w:pPr>
      <w:r>
        <w:rPr>
          <w:rFonts w:cs="Arial" w:ascii="Arial" w:hAnsi="Arial"/>
          <w:sz w:val="20"/>
          <w:szCs w:val="20"/>
          <w:u w:val="single"/>
          <w:lang w:val="en-GB"/>
        </w:rPr>
        <w:t xml:space="preserve">Dissection and staining of L3 larvae brains </w:t>
      </w:r>
    </w:p>
    <w:p>
      <w:pPr>
        <w:pStyle w:val="Normal"/>
        <w:spacing w:lineRule="auto" w:line="360" w:before="120" w:after="0"/>
        <w:jc w:val="both"/>
        <w:rPr>
          <w:rFonts w:ascii="Arial" w:hAnsi="Arial" w:cs="Arial"/>
          <w:sz w:val="20"/>
          <w:szCs w:val="20"/>
          <w:lang w:val="en-GB"/>
        </w:rPr>
      </w:pPr>
      <w:r>
        <w:rPr>
          <w:rFonts w:cs="Arial" w:ascii="Arial" w:hAnsi="Arial"/>
          <w:sz w:val="20"/>
          <w:szCs w:val="20"/>
          <w:lang w:val="en-GB"/>
        </w:rPr>
        <w:t>About 20 L3 larvae per genotype were dissected with two forceps in PBS (phosphate buffered saline); media and brains were kept on ice. CNSs were fixed with 4% PFA</w:t>
      </w:r>
      <w:r>
        <w:rPr>
          <w:rFonts w:cs="Arial" w:ascii="Arial" w:hAnsi="Arial"/>
          <w:b/>
          <w:sz w:val="20"/>
          <w:szCs w:val="20"/>
          <w:lang w:val="en-GB"/>
        </w:rPr>
        <w:t xml:space="preserve"> </w:t>
      </w:r>
      <w:r>
        <w:rPr>
          <w:rFonts w:cs="Arial" w:ascii="Arial" w:hAnsi="Arial"/>
          <w:sz w:val="20"/>
          <w:szCs w:val="20"/>
          <w:lang w:val="en-GB"/>
        </w:rPr>
        <w:t>(paraformaldehyde) for 30 minutes under rotation. Afterwards, the brains were washed 4 times with PBT</w:t>
      </w:r>
      <w:r>
        <w:rPr>
          <w:rFonts w:cs="Arial" w:ascii="Arial" w:hAnsi="Arial"/>
          <w:b/>
          <w:sz w:val="20"/>
          <w:szCs w:val="20"/>
          <w:lang w:val="en-GB"/>
        </w:rPr>
        <w:t xml:space="preserve"> </w:t>
      </w:r>
      <w:r>
        <w:rPr>
          <w:rFonts w:cs="Arial" w:ascii="Arial" w:hAnsi="Arial"/>
          <w:sz w:val="20"/>
          <w:szCs w:val="20"/>
          <w:lang w:val="en-GB"/>
        </w:rPr>
        <w:t>(PBS supplemented with 0.3% Triton X-100) and incubated with primary antibodies in PBT for 2 hours at room temperature or overnight at 4°C: anti-HA (rat, 1:500, Sigma) and anti-Fas2 (mouse, 1:10, Sigma). Brains were then washed four times with PBT and incubated with secondary antibodies for 2 hours at room temperature or overnight at 4 °C: anti-mouse-Cy3 (donkey; 1:200, Sigma), anti-rat-Alexa488 (donkey; 1:200, Sigma). Secondary antibodies were co-incubated with Atto647-conjugated phalloidin (1:500, Sigma). Finally, larvae CNS were washed four times with PBT and embedded using ProLong Gold..</w:t>
      </w:r>
    </w:p>
    <w:p>
      <w:pPr>
        <w:pStyle w:val="ListParagraph"/>
        <w:numPr>
          <w:ilvl w:val="1"/>
          <w:numId w:val="1"/>
        </w:numPr>
        <w:spacing w:before="120" w:after="0"/>
        <w:ind w:left="284" w:hanging="360"/>
        <w:rPr>
          <w:rFonts w:ascii="Arial" w:hAnsi="Arial" w:cs="Arial"/>
          <w:sz w:val="20"/>
          <w:szCs w:val="20"/>
          <w:u w:val="single"/>
          <w:lang w:val="en-GB"/>
        </w:rPr>
      </w:pPr>
      <w:r>
        <w:rPr>
          <w:rFonts w:cs="Arial" w:ascii="Arial" w:hAnsi="Arial"/>
          <w:sz w:val="20"/>
          <w:szCs w:val="20"/>
          <w:u w:val="single"/>
          <w:lang w:val="en-GB"/>
        </w:rPr>
        <w:t>Microscopy and image analysis</w:t>
      </w:r>
    </w:p>
    <w:p>
      <w:pPr>
        <w:pStyle w:val="Normal"/>
        <w:spacing w:lineRule="auto" w:line="360"/>
        <w:jc w:val="both"/>
        <w:rPr>
          <w:rFonts w:ascii="Arial" w:hAnsi="Arial" w:cs="Arial"/>
          <w:sz w:val="20"/>
          <w:szCs w:val="20"/>
          <w:lang w:val="en-GB"/>
        </w:rPr>
      </w:pPr>
      <w:r>
        <w:rPr>
          <w:rFonts w:cs="Arial" w:ascii="Arial" w:hAnsi="Arial"/>
          <w:sz w:val="20"/>
          <w:szCs w:val="20"/>
          <w:lang w:val="en-GB"/>
        </w:rPr>
        <w:t xml:space="preserve">Larvae selection was made using the microscope Leica Microsystems MZ10F, GFP Plus fluorophore. A stereomicroscope Leica MZ75 microscope was used for brains dissection. All the observation were done in 10X and 40X magnification and images captured with the </w:t>
      </w:r>
      <w:r>
        <w:rPr>
          <w:rFonts w:cs="Arial" w:ascii="Arial" w:hAnsi="Arial"/>
          <w:sz w:val="20"/>
          <w:szCs w:val="20"/>
          <w:u w:val="single"/>
          <w:lang w:val="en-GB"/>
        </w:rPr>
        <w:t>BleuFOX3</w:t>
      </w:r>
      <w:r>
        <w:rPr>
          <w:rFonts w:cs="Arial" w:ascii="Arial" w:hAnsi="Arial"/>
          <w:sz w:val="20"/>
          <w:szCs w:val="20"/>
          <w:lang w:val="en-GB"/>
        </w:rPr>
        <w:t xml:space="preserve"> of the Olympus BX51 and Leica DL6000 Microscope with Hamamatsu digital camera C10600ORAC-R</w:t>
      </w:r>
      <w:r>
        <w:rPr>
          <w:rFonts w:cs="Arial" w:ascii="Arial" w:hAnsi="Arial"/>
          <w:sz w:val="20"/>
          <w:szCs w:val="20"/>
          <w:vertAlign w:val="superscript"/>
          <w:lang w:val="en-GB"/>
        </w:rPr>
        <w:t>2</w:t>
      </w:r>
      <w:r>
        <w:rPr>
          <w:rFonts w:cs="Arial" w:ascii="Arial" w:hAnsi="Arial"/>
          <w:sz w:val="20"/>
          <w:szCs w:val="20"/>
          <w:lang w:val="en-GB"/>
        </w:rPr>
        <w:t xml:space="preserve"> with specific filter sets for Alexa488, Cy3 and Phalloidin. </w:t>
      </w:r>
    </w:p>
    <w:p>
      <w:pPr>
        <w:pStyle w:val="Normal"/>
        <w:spacing w:lineRule="auto" w:line="360" w:before="120" w:after="0"/>
        <w:rPr>
          <w:rFonts w:ascii="Arial" w:hAnsi="Arial" w:cs="Arial"/>
          <w:sz w:val="20"/>
          <w:szCs w:val="20"/>
          <w:lang w:val="en-GB"/>
        </w:rPr>
      </w:pPr>
      <w:r>
        <w:rPr>
          <w:rFonts w:cs="Arial" w:ascii="Arial" w:hAnsi="Arial"/>
          <w:sz w:val="20"/>
          <w:szCs w:val="20"/>
          <w:lang w:val="en-GB"/>
        </w:rPr>
        <w:t xml:space="preserve">Image analyses was carried out with Fiji ImageJ software. Signal intensity could be calculated by placing of all images in the same position and with squares (having the same size) placed in two parts of the ventral nerve cord, one in the neuropil and the other in the cortex containing cell bodies. The ratio of measured intensities was calculated with Excel (Microsoft Office 365). </w:t>
      </w:r>
    </w:p>
    <w:p>
      <w:pPr>
        <w:pStyle w:val="Normal"/>
        <w:spacing w:lineRule="auto" w:line="360" w:before="120" w:after="0"/>
        <w:rPr>
          <w:rFonts w:ascii="Arial" w:hAnsi="Arial" w:cs="Arial"/>
          <w:sz w:val="20"/>
          <w:szCs w:val="20"/>
          <w:lang w:val="en-GB"/>
        </w:rPr>
      </w:pPr>
      <w:r>
        <w:rPr>
          <w:rFonts w:cs="Arial" w:ascii="Arial" w:hAnsi="Arial"/>
          <w:sz w:val="20"/>
          <w:szCs w:val="20"/>
          <w:lang w:val="en-GB"/>
        </w:rPr>
        <w:t xml:space="preserve">Statistical analyses were carried out with GraphPad Prism version 7 software. Power analysis was done to ensure that a sufficient number of larvae was used to obtain significant results (25 to 50 larvae per genotype per experimental condition). Sample size is indicated in each diagram. The results are calculated as mean ± standard error of the mean (SEM). Significance between groups or genotypes was assessed using non-parametric tests: two-way ANOVA, Mann-Whitney test, and Kruskal-Wallis test with 95% confidence intervals. Asterisks correspond to the level of significance of the results. P value &lt; 0.05 is considered significant. **** = p value &lt; 0.0001, *** = p value &lt; 0.001, ** = p value &lt; 0.01, * = p value &lt; 0.05 and ns = not significant. </w:t>
      </w:r>
    </w:p>
    <w:p>
      <w:pPr>
        <w:pStyle w:val="ListParagraph"/>
        <w:numPr>
          <w:ilvl w:val="0"/>
          <w:numId w:val="1"/>
        </w:numPr>
        <w:spacing w:before="120" w:after="0"/>
        <w:ind w:left="284" w:hanging="360"/>
        <w:rPr>
          <w:rFonts w:ascii="Arial" w:hAnsi="Arial" w:cs="Arial"/>
          <w:b/>
          <w:b/>
          <w:sz w:val="20"/>
          <w:szCs w:val="20"/>
          <w:u w:val="single"/>
          <w:lang w:val="en-GB"/>
        </w:rPr>
      </w:pPr>
      <w:r>
        <w:rPr>
          <w:rFonts w:cs="Arial" w:ascii="Arial" w:hAnsi="Arial"/>
          <w:sz w:val="20"/>
          <w:szCs w:val="20"/>
          <w:lang w:val="en-GB"/>
        </w:rPr>
        <w:t xml:space="preserve"> </w:t>
      </w:r>
      <w:r>
        <w:rPr>
          <w:rFonts w:cs="Arial" w:ascii="Arial" w:hAnsi="Arial"/>
          <w:b/>
          <w:sz w:val="20"/>
          <w:szCs w:val="20"/>
          <w:u w:val="single"/>
          <w:lang w:val="en-GB"/>
        </w:rPr>
        <w:t>Results</w:t>
      </w:r>
    </w:p>
    <w:p>
      <w:pPr>
        <w:pStyle w:val="ListParagraph"/>
        <w:numPr>
          <w:ilvl w:val="1"/>
          <w:numId w:val="1"/>
        </w:numPr>
        <w:spacing w:before="120" w:after="0"/>
        <w:ind w:left="284" w:hanging="360"/>
        <w:rPr>
          <w:rFonts w:ascii="Arial" w:hAnsi="Arial" w:cs="Arial"/>
          <w:sz w:val="20"/>
          <w:szCs w:val="20"/>
          <w:u w:val="single"/>
          <w:lang w:val="en-GB"/>
        </w:rPr>
      </w:pPr>
      <w:r>
        <w:rPr>
          <w:rFonts w:cs="Arial" w:ascii="Arial" w:hAnsi="Arial"/>
          <w:sz w:val="20"/>
          <w:szCs w:val="20"/>
          <w:u w:val="single"/>
          <w:lang w:val="en-GB"/>
        </w:rPr>
        <w:t>Electroshock experiment: Calibration curve</w:t>
      </w:r>
    </w:p>
    <w:p>
      <w:pPr>
        <w:pStyle w:val="Normal"/>
        <w:spacing w:lineRule="auto" w:line="360" w:before="120" w:after="0"/>
        <w:jc w:val="both"/>
        <w:rPr/>
      </w:pPr>
      <w:r>
        <w:rPr>
          <w:rFonts w:cs="Arial" w:ascii="Arial" w:hAnsi="Arial"/>
          <w:sz w:val="20"/>
          <w:szCs w:val="20"/>
          <w:lang w:val="en-GB"/>
        </w:rPr>
        <w:t xml:space="preserve">To test my hypothesis that microtubule aberrations cause seizure-like behaviours in </w:t>
      </w:r>
      <w:r>
        <w:rPr>
          <w:rFonts w:cs="Arial" w:ascii="Arial" w:hAnsi="Arial"/>
          <w:i/>
          <w:sz w:val="20"/>
          <w:szCs w:val="20"/>
          <w:lang w:val="en-GB"/>
        </w:rPr>
        <w:t>Drosophila</w:t>
      </w:r>
      <w:r>
        <w:rPr>
          <w:rFonts w:cs="Arial" w:ascii="Arial" w:hAnsi="Arial"/>
          <w:sz w:val="20"/>
          <w:szCs w:val="20"/>
          <w:lang w:val="en-GB"/>
        </w:rPr>
        <w:t>, I used electroshock assays where seizures are induced in larvae with custom-made probe and the recovery time (T</w:t>
      </w:r>
      <w:r>
        <w:rPr>
          <w:rFonts w:cs="Arial" w:ascii="Arial" w:hAnsi="Arial"/>
          <w:sz w:val="20"/>
          <w:szCs w:val="20"/>
          <w:vertAlign w:val="subscript"/>
          <w:lang w:val="en-GB"/>
        </w:rPr>
        <w:t>Rec</w:t>
      </w:r>
      <w:r>
        <w:rPr>
          <w:rFonts w:cs="Arial" w:ascii="Arial" w:hAnsi="Arial"/>
          <w:sz w:val="20"/>
          <w:szCs w:val="20"/>
          <w:lang w:val="en-GB"/>
        </w:rPr>
        <w:t xml:space="preserve">) until larvae showed normal movements again was determined. Long recovery periods indicate seizure-like conditions as a fly model of epilepsy </w:t>
      </w:r>
      <w:r>
        <w:fldChar w:fldCharType="begin"/>
      </w:r>
      <w:r>
        <w:rPr/>
        <w:instrText>ADDIN EN.CITE</w:instrText>
      </w:r>
      <w:r>
        <w:rPr/>
        <w:fldChar w:fldCharType="separate"/>
      </w:r>
      <w:bookmarkStart w:id="71" w:name="__Fieldmark__1277_4090835577"/>
      <w:r>
        <w:rPr/>
      </w:r>
      <w:r>
        <w:rPr/>
      </w:r>
      <w:r>
        <w:rPr/>
        <w:fldChar w:fldCharType="end"/>
      </w:r>
      <w:r>
        <w:fldChar w:fldCharType="begin"/>
      </w:r>
      <w:r>
        <w:rPr/>
        <w:instrText>ADDIN EN.CITE.DATA</w:instrText>
      </w:r>
      <w:r>
        <w:rPr/>
        <w:fldChar w:fldCharType="separate"/>
      </w:r>
      <w:bookmarkStart w:id="72" w:name="__Fieldmark__1276_4090835577"/>
      <w:bookmarkEnd w:id="71"/>
      <w:r>
        <w:rPr/>
      </w:r>
      <w:r>
        <w:rPr>
          <w:rFonts w:cs="Arial" w:ascii="Arial" w:hAnsi="Arial"/>
          <w:sz w:val="20"/>
          <w:szCs w:val="20"/>
          <w:lang w:val="en-GB"/>
        </w:rPr>
        <w:t>(Marley and Baines, 2011)</w:t>
      </w:r>
      <w:r>
        <w:rPr/>
      </w:r>
      <w:r>
        <w:rPr/>
        <w:fldChar w:fldCharType="end"/>
      </w:r>
      <w:hyperlink w:anchor="_ENREF_45" w:tgtFrame="Marley, 2011 #91">
        <w:bookmarkEnd w:id="72"/>
        <w:r>
          <w:rPr>
            <w:rFonts w:cs="Arial" w:ascii="Arial" w:hAnsi="Arial"/>
            <w:sz w:val="20"/>
            <w:szCs w:val="20"/>
            <w:lang w:val="en-GB"/>
          </w:rPr>
          <w:t xml:space="preserve">. To optimize the electroshock assay, the probe had to be calibrated. This is necessary, because custom-made probes differ in shape which impacts on shock application, and there will be differences between experimentators in how the probe is applied. The aim of calibration is to determine a voltage at which strong seizure-like conditions are induced in seizure models, but recovery periods are kept as short as possible to keep time investment in experiments as low as possible. For the calibration, I used </w:t>
        </w:r>
      </w:hyperlink>
      <w:r>
        <w:rPr>
          <w:rFonts w:cs="Arial" w:ascii="Arial" w:hAnsi="Arial"/>
          <w:i/>
          <w:sz w:val="20"/>
          <w:szCs w:val="20"/>
          <w:lang w:val="en-GB"/>
        </w:rPr>
        <w:t>para</w:t>
      </w:r>
      <w:r>
        <w:rPr>
          <w:rFonts w:cs="Arial" w:ascii="Arial" w:hAnsi="Arial"/>
          <w:i/>
          <w:sz w:val="20"/>
          <w:szCs w:val="20"/>
          <w:vertAlign w:val="superscript"/>
          <w:lang w:val="en-GB"/>
        </w:rPr>
        <w:t>bss1</w:t>
      </w:r>
      <w:r>
        <w:rPr>
          <w:rFonts w:cs="Arial" w:ascii="Arial" w:hAnsi="Arial"/>
          <w:i/>
          <w:sz w:val="20"/>
          <w:szCs w:val="20"/>
          <w:lang w:val="en-GB"/>
        </w:rPr>
        <w:t xml:space="preserve"> </w:t>
      </w:r>
      <w:r>
        <w:rPr>
          <w:rFonts w:cs="Arial" w:ascii="Arial" w:hAnsi="Arial"/>
          <w:sz w:val="20"/>
          <w:szCs w:val="20"/>
          <w:lang w:val="en-GB"/>
        </w:rPr>
        <w:t xml:space="preserve">mutant larvae as a well-established fly model for epilepsy </w:t>
      </w:r>
      <w:r>
        <w:fldChar w:fldCharType="begin"/>
      </w:r>
      <w:r>
        <w:rPr/>
        <w:instrText>ADDIN EN.CITE</w:instrText>
      </w:r>
      <w:r>
        <w:rPr/>
        <w:fldChar w:fldCharType="separate"/>
      </w:r>
      <w:bookmarkStart w:id="73" w:name="__Fieldmark__1306_4090835577"/>
      <w:r>
        <w:rPr/>
      </w:r>
      <w:r>
        <w:rPr/>
      </w:r>
      <w:r>
        <w:rPr/>
        <w:fldChar w:fldCharType="end"/>
      </w:r>
      <w:r>
        <w:fldChar w:fldCharType="begin"/>
      </w:r>
      <w:r>
        <w:rPr/>
        <w:instrText>ADDIN EN.CITE.DATA</w:instrText>
      </w:r>
      <w:r>
        <w:rPr/>
        <w:fldChar w:fldCharType="separate"/>
      </w:r>
      <w:bookmarkStart w:id="74" w:name="__Fieldmark__1305_4090835577"/>
      <w:bookmarkEnd w:id="73"/>
      <w:r>
        <w:rPr/>
      </w:r>
      <w:r>
        <w:rPr>
          <w:rFonts w:cs="Arial" w:ascii="Arial" w:hAnsi="Arial"/>
          <w:sz w:val="20"/>
          <w:szCs w:val="20"/>
          <w:lang w:val="en-GB"/>
        </w:rPr>
        <w:t>(Marley and Baines, 2011)</w:t>
      </w:r>
      <w:r>
        <w:rPr/>
      </w:r>
      <w:r>
        <w:rPr/>
        <w:fldChar w:fldCharType="end"/>
      </w:r>
      <w:hyperlink w:anchor="_ENREF_45" w:tgtFrame="Marley, 2011 #91">
        <w:bookmarkEnd w:id="74"/>
        <w:r>
          <w:rPr>
            <w:rFonts w:cs="Arial" w:ascii="Arial" w:hAnsi="Arial"/>
            <w:sz w:val="20"/>
            <w:szCs w:val="20"/>
            <w:lang w:val="en-GB"/>
          </w:rPr>
          <w:t xml:space="preserve"> and Oregon-R wild-type larvae as my standard control, to work out the most time-effective procedure that would clearly separate between both conditions. Electroshocks were done in 25 larvae per genotype at 0V, 2V, 3V, 4V, 6V, 8V for 2 seconds. This time was set-up by previous experiments done in my host laboratory and in Baines’ Laboratory and was maintained constant during the entire set of experiments. The appropriate voltage, which is established when a significant difference is present between T</w:t>
        </w:r>
      </w:hyperlink>
      <w:r>
        <w:rPr>
          <w:rFonts w:cs="Arial" w:ascii="Arial" w:hAnsi="Arial"/>
          <w:sz w:val="20"/>
          <w:szCs w:val="20"/>
          <w:vertAlign w:val="subscript"/>
          <w:lang w:val="en-GB"/>
        </w:rPr>
        <w:t>Rec</w:t>
      </w:r>
      <w:r>
        <w:rPr>
          <w:rFonts w:cs="Arial" w:ascii="Arial" w:hAnsi="Arial"/>
          <w:sz w:val="20"/>
          <w:szCs w:val="20"/>
          <w:lang w:val="en-GB"/>
        </w:rPr>
        <w:t xml:space="preserve"> of control and mutant larvae, was determined statistically using the </w:t>
      </w:r>
      <w:r>
        <w:rPr>
          <w:rFonts w:eastAsia="Times New Roman" w:cs="Arial" w:ascii="Arial" w:hAnsi="Arial"/>
          <w:sz w:val="20"/>
          <w:szCs w:val="20"/>
          <w:lang w:val="en-GB" w:eastAsia="pt-PT"/>
        </w:rPr>
        <w:t xml:space="preserve">Sidak's multiple comparisons test. </w:t>
      </w:r>
    </w:p>
    <w:p>
      <w:pPr>
        <w:pStyle w:val="Normal"/>
        <w:spacing w:lineRule="auto" w:line="360" w:before="120" w:after="0"/>
        <w:jc w:val="both"/>
        <w:rPr/>
      </w:pPr>
      <w:r>
        <w:rPr>
          <w:rFonts w:cs="Arial" w:ascii="Arial" w:hAnsi="Arial"/>
          <w:sz w:val="20"/>
          <w:szCs w:val="20"/>
          <w:lang w:val="en-GB"/>
        </w:rPr>
        <w:t>Electroshocking with 3V was lowest voltage where the recovery time of para</w:t>
      </w:r>
      <w:r>
        <w:rPr>
          <w:rFonts w:cs="Arial" w:ascii="Arial" w:hAnsi="Arial"/>
          <w:i/>
          <w:sz w:val="20"/>
          <w:szCs w:val="20"/>
          <w:vertAlign w:val="superscript"/>
          <w:lang w:val="en-GB"/>
        </w:rPr>
        <w:t>bss1</w:t>
      </w:r>
      <w:r>
        <w:rPr>
          <w:rFonts w:cs="Arial" w:ascii="Arial" w:hAnsi="Arial"/>
          <w:sz w:val="20"/>
          <w:szCs w:val="20"/>
          <w:lang w:val="en-GB"/>
        </w:rPr>
        <w:t xml:space="preserve"> larvae was significantly enhanced relative to that of Oregon-R larvae, with a mean difference of </w:t>
      </w:r>
      <w:r>
        <w:rPr>
          <w:rFonts w:cs="Arial" w:ascii="Arial" w:hAnsi="Arial"/>
          <w:b/>
          <w:sz w:val="18"/>
          <w:szCs w:val="18"/>
          <w:lang w:val="en-GB"/>
        </w:rPr>
        <w:t>134s</w:t>
      </w:r>
      <w:r>
        <w:rPr>
          <w:rFonts w:cs="Arial" w:ascii="Arial" w:hAnsi="Arial"/>
          <w:sz w:val="18"/>
          <w:szCs w:val="18"/>
          <w:lang w:val="en-GB"/>
        </w:rPr>
        <w:t xml:space="preserve"> and a 95% Confidence Interval (CI) of [90.7 ; 177.3] (Fig.1 for details). </w:t>
      </w:r>
      <w:r>
        <w:rPr>
          <w:lang w:val="en-GB"/>
        </w:rPr>
        <w:t xml:space="preserve">3V is the lowest voltage at which the difference between </w:t>
      </w:r>
      <w:r>
        <w:rPr>
          <w:i/>
          <w:lang w:val="en-GB"/>
        </w:rPr>
        <w:t>para</w:t>
      </w:r>
      <w:r>
        <w:rPr>
          <w:i/>
          <w:vertAlign w:val="superscript"/>
          <w:lang w:val="en-GB"/>
        </w:rPr>
        <w:t>bss1</w:t>
      </w:r>
      <w:r>
        <w:rPr>
          <w:lang w:val="en-GB"/>
        </w:rPr>
        <w:t xml:space="preserve"> and Oregon-R is statistically stable</w:t>
      </w:r>
      <w:r>
        <w:rPr>
          <w:rFonts w:cs="Arial" w:ascii="Arial" w:hAnsi="Arial"/>
          <w:sz w:val="20"/>
          <w:szCs w:val="20"/>
          <w:lang w:val="en-GB"/>
        </w:rPr>
        <w:t>. At higher voltages, difference T</w:t>
      </w:r>
      <w:r>
        <w:rPr>
          <w:rFonts w:cs="Arial" w:ascii="Arial" w:hAnsi="Arial"/>
          <w:sz w:val="20"/>
          <w:szCs w:val="20"/>
          <w:vertAlign w:val="subscript"/>
          <w:lang w:val="en-GB"/>
        </w:rPr>
        <w:t>Rec</w:t>
      </w:r>
      <w:r>
        <w:rPr>
          <w:rFonts w:cs="Arial" w:ascii="Arial" w:hAnsi="Arial"/>
          <w:sz w:val="20"/>
          <w:szCs w:val="20"/>
          <w:lang w:val="en-GB"/>
        </w:rPr>
        <w:t xml:space="preserve"> between the control and </w:t>
      </w:r>
      <w:r>
        <w:rPr>
          <w:rFonts w:cs="Arial" w:ascii="Arial" w:hAnsi="Arial"/>
          <w:sz w:val="18"/>
          <w:szCs w:val="18"/>
          <w:lang w:val="en-GB"/>
        </w:rPr>
        <w:t>para</w:t>
      </w:r>
      <w:r>
        <w:rPr>
          <w:rFonts w:cs="Arial" w:ascii="Arial" w:hAnsi="Arial"/>
          <w:i/>
          <w:iCs/>
          <w:sz w:val="18"/>
          <w:szCs w:val="18"/>
          <w:vertAlign w:val="superscript"/>
          <w:lang w:val="en-GB"/>
        </w:rPr>
        <w:t>bss1</w:t>
      </w:r>
      <w:r>
        <w:rPr>
          <w:rFonts w:cs="Arial" w:ascii="Arial" w:hAnsi="Arial"/>
          <w:sz w:val="20"/>
          <w:szCs w:val="20"/>
          <w:lang w:val="en-GB"/>
        </w:rPr>
        <w:t xml:space="preserve"> mutant larvae does not improve but the overall recovery times become longer, extending the experimental time unnecessarily. I therefore chose 3V as my standard, which lies well in between other reported values of 4V </w:t>
      </w:r>
      <w:r>
        <w:fldChar w:fldCharType="begin"/>
      </w:r>
      <w:r>
        <w:rPr/>
        <w:instrText>ADDIN EN.CITE &lt;EndNote&gt;&lt;Cite&gt;&lt;Author&gt;Petzold&lt;/Author&gt;&lt;Year&gt;2018&lt;/Year&gt;&lt;RecNum&gt;9782&lt;/RecNum&gt;&lt;DisplayText&gt;(Petzold, 2018)&lt;/DisplayText&gt;&lt;record&gt;&lt;rec-number&gt;9782&lt;/rec-number&gt;&lt;foreign-keys&gt;&lt;key app="EN" db-id="vwexp2xatx0fvxeff5rxex5pvw2vepptvvfs"&gt;9782&lt;/key&gt;&lt;/foreign-keys&gt;&lt;ref-type name="Thesis"&gt;32&lt;/ref-type&gt;&lt;contributors&gt;&lt;authors&gt;&lt;author&gt;Petzold, T.&lt;/author&gt;&lt;/authors&gt;&lt;/contributors&gt;&lt;titles&gt;&lt;title&gt;&lt;style face="normal" font="default" size="100%"&gt;Does axonal microtubule unbundling induce seizure-like behaviour in &lt;/style&gt;&lt;style face="italic" font="default" size="100%"&gt;Drosophila &lt;/style&gt;&lt;style face="normal" font="default" size="100%"&gt;and what is the mechanism for this?&lt;/style&gt;&lt;/title&gt;&lt;secondary-title&gt;Faculty of Biology, Health and Medicine&lt;/secondary-title&gt;&lt;/titles&gt;&lt;pages&gt;26&lt;/pages&gt;&lt;dates&gt;&lt;year&gt;2018&lt;/year&gt;&lt;/dates&gt;&lt;pub-location&gt;Manchester&lt;/pub-location&gt;&lt;publisher&gt;The University of Manchester&lt;/publisher&gt;&lt;work-type&gt;Final year undergraduate project&lt;/work-type&gt;&lt;urls&gt;&lt;/urls&gt;&lt;/record&gt;&lt;/Cite&gt;&lt;/EndNote&gt;</w:instrText>
      </w:r>
      <w:r>
        <w:rPr/>
        <w:fldChar w:fldCharType="separate"/>
      </w:r>
      <w:bookmarkStart w:id="75" w:name="__Fieldmark__1365_4090835577"/>
      <w:r>
        <w:rPr/>
      </w:r>
      <w:r>
        <w:rPr>
          <w:rFonts w:cs="Arial" w:ascii="Arial" w:hAnsi="Arial"/>
          <w:sz w:val="20"/>
          <w:szCs w:val="20"/>
          <w:lang w:val="en-GB"/>
        </w:rPr>
        <w:t>(Petzold, 2018)</w:t>
      </w:r>
      <w:r>
        <w:rPr/>
      </w:r>
      <w:r>
        <w:rPr/>
        <w:fldChar w:fldCharType="end"/>
      </w:r>
      <w:hyperlink w:anchor="_ENREF_57" w:tgtFrame="Petzold, 2018 #9782">
        <w:bookmarkEnd w:id="75"/>
        <w:r>
          <w:rPr>
            <w:rFonts w:cs="Arial" w:ascii="Arial" w:hAnsi="Arial"/>
            <w:sz w:val="20"/>
            <w:szCs w:val="20"/>
            <w:lang w:val="en-GB"/>
          </w:rPr>
          <w:t xml:space="preserve"> and 2.5V </w:t>
        </w:r>
      </w:hyperlink>
      <w:r>
        <w:fldChar w:fldCharType="begin"/>
      </w:r>
      <w:r>
        <w:rPr/>
        <w:instrText>ADDIN EN.CITE &lt;EndNote&gt;&lt;Cite&gt;&lt;Author&gt;Baines&lt;/Author&gt;&lt;Year&gt;2017&lt;/Year&gt;&lt;RecNum&gt;117&lt;/RecNum&gt;&lt;DisplayText&gt;(Baines, 2017)&lt;/DisplayText&gt;&lt;record&gt;&lt;rec-number&gt;117&lt;/rec-number&gt;&lt;foreign-keys&gt;&lt;key app="EN" db-id="vedta2ppje59fceprax5xvwqzxt2awx0xd99"&gt;117&lt;/key&gt;&lt;/foreign-keys&gt;&lt;ref-type name="Book Section"&gt;5&lt;/ref-type&gt;&lt;contributors&gt;&lt;authors&gt;&lt;author&gt;Baines, R A., Giachello, C.N.G. and Lin W-H.&lt;/author&gt;&lt;/authors&gt;&lt;secondary-authors&gt;&lt;author&gt;Asla Pitkänen, Paul Buckmaster, DVM, PhD, Aristea S Galanopoulou, Solomon L. Moshé&lt;/author&gt;&lt;/secondary-authors&gt;&lt;/contributors&gt;&lt;titles&gt;&lt;title&gt;Drosophila&lt;/title&gt;&lt;secondary-title&gt;Models of Seizures and Epilepsy&lt;/secondary-title&gt;&lt;/titles&gt;&lt;pages&gt;345-355&lt;/pages&gt;&lt;edition&gt;Second Edition&lt;/edition&gt;&lt;section&gt;14&lt;/section&gt;&lt;dates&gt;&lt;year&gt;2017&lt;/year&gt;&lt;/dates&gt;&lt;publisher&gt;Elsevier&lt;/publisher&gt;&lt;urls&gt;&lt;/urls&gt;&lt;/record&gt;&lt;/Cite&gt;&lt;/EndNote&gt;</w:instrText>
      </w:r>
      <w:r>
        <w:rPr/>
        <w:fldChar w:fldCharType="separate"/>
      </w:r>
      <w:bookmarkStart w:id="76" w:name="__Fieldmark__1376_4090835577"/>
      <w:r>
        <w:rPr/>
      </w:r>
      <w:r>
        <w:rPr>
          <w:rFonts w:cs="Arial" w:ascii="Arial" w:hAnsi="Arial"/>
          <w:sz w:val="20"/>
          <w:szCs w:val="20"/>
          <w:lang w:val="en-GB"/>
        </w:rPr>
        <w:t>(Baines, 2017)</w:t>
      </w:r>
      <w:r>
        <w:rPr/>
      </w:r>
      <w:r>
        <w:rPr/>
        <w:fldChar w:fldCharType="end"/>
      </w:r>
      <w:bookmarkEnd w:id="76"/>
    </w:p>
    <w:p>
      <w:pPr>
        <w:pStyle w:val="Normal"/>
        <w:spacing w:lineRule="auto" w:line="360" w:before="120" w:after="0"/>
        <w:jc w:val="both"/>
        <w:rPr>
          <w:rFonts w:ascii="Arial" w:hAnsi="Arial" w:cs="Arial"/>
          <w:color w:val="FF0000"/>
          <w:sz w:val="20"/>
          <w:szCs w:val="20"/>
          <w:lang w:val="en-GB"/>
        </w:rPr>
      </w:pPr>
      <w:r>
        <w:rPr>
          <w:rFonts w:cs="Arial" w:ascii="Arial" w:hAnsi="Arial"/>
          <w:color w:val="FF0000"/>
          <w:sz w:val="20"/>
          <w:szCs w:val="20"/>
          <w:lang w:val="en-GB"/>
        </w:rPr>
      </w:r>
    </w:p>
    <w:p>
      <w:pPr>
        <w:pStyle w:val="Normal"/>
        <w:spacing w:lineRule="auto" w:line="240" w:before="120" w:after="0"/>
        <w:jc w:val="both"/>
        <w:rPr>
          <w:rFonts w:ascii="Arial" w:hAnsi="Arial" w:cs="Arial"/>
          <w:sz w:val="18"/>
          <w:szCs w:val="18"/>
          <w:lang w:val="en-GB"/>
        </w:rPr>
      </w:pPr>
      <w:r>
        <w:drawing>
          <wp:anchor behindDoc="0" distT="0" distB="0" distL="114300" distR="114300" simplePos="0" locked="0" layoutInCell="1" allowOverlap="1" relativeHeight="8">
            <wp:simplePos x="0" y="0"/>
            <wp:positionH relativeFrom="margin">
              <wp:posOffset>-295275</wp:posOffset>
            </wp:positionH>
            <wp:positionV relativeFrom="paragraph">
              <wp:posOffset>5715</wp:posOffset>
            </wp:positionV>
            <wp:extent cx="2803525" cy="2425700"/>
            <wp:effectExtent l="0" t="0" r="0" b="0"/>
            <wp:wrapSquare wrapText="bothSides"/>
            <wp:docPr id="3" name="Imagem 4" descr="Uma imagem com texto&#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4" descr="Uma imagem com texto&#10;&#10;Descrição gerada com confiança alta"/>
                    <pic:cNvPicPr>
                      <a:picLocks noChangeAspect="1" noChangeArrowheads="1"/>
                    </pic:cNvPicPr>
                  </pic:nvPicPr>
                  <pic:blipFill>
                    <a:blip r:embed="rId4"/>
                    <a:srcRect l="6038" t="9198" r="4218" b="3760"/>
                    <a:stretch>
                      <a:fillRect/>
                    </a:stretch>
                  </pic:blipFill>
                  <pic:spPr bwMode="auto">
                    <a:xfrm>
                      <a:off x="0" y="0"/>
                      <a:ext cx="2803525" cy="2425700"/>
                    </a:xfrm>
                    <a:prstGeom prst="rect">
                      <a:avLst/>
                    </a:prstGeom>
                  </pic:spPr>
                </pic:pic>
              </a:graphicData>
            </a:graphic>
          </wp:anchor>
        </w:drawing>
      </w:r>
      <w:r>
        <w:rPr>
          <w:rFonts w:cs="Arial" w:ascii="Arial" w:hAnsi="Arial"/>
          <w:b/>
          <w:sz w:val="18"/>
          <w:szCs w:val="18"/>
          <w:lang w:val="en-GB"/>
        </w:rPr>
        <w:t>F</w:t>
      </w:r>
      <w:r>
        <w:rPr>
          <w:rFonts w:cs="Arial" w:ascii="Arial" w:hAnsi="Arial"/>
          <w:b/>
          <w:sz w:val="18"/>
          <w:szCs w:val="18"/>
          <w:lang w:val="en-GB"/>
        </w:rPr>
        <w:t xml:space="preserve">ig.1: </w:t>
      </w:r>
      <w:r>
        <w:rPr>
          <w:rFonts w:cs="Arial" w:ascii="Arial" w:hAnsi="Arial"/>
          <w:sz w:val="18"/>
          <w:szCs w:val="18"/>
          <w:lang w:val="en-GB"/>
        </w:rPr>
        <w:t>Recovery time as a function of different voltages. 25 wild-type and 25 para</w:t>
      </w:r>
      <w:r>
        <w:rPr>
          <w:rFonts w:cs="Arial" w:ascii="Arial" w:hAnsi="Arial"/>
          <w:i/>
          <w:iCs/>
          <w:sz w:val="18"/>
          <w:szCs w:val="18"/>
          <w:vertAlign w:val="superscript"/>
          <w:lang w:val="en-GB"/>
        </w:rPr>
        <w:t>bss1</w:t>
      </w:r>
      <w:r>
        <w:rPr>
          <w:rFonts w:cs="Arial" w:ascii="Arial" w:hAnsi="Arial"/>
          <w:sz w:val="18"/>
          <w:szCs w:val="18"/>
          <w:lang w:val="en-GB"/>
        </w:rPr>
        <w:t xml:space="preserve"> (bss) were electro-shocked at 0, 2, 3, 4, 6, 8V and the recovery time measured in seconds. Differences in recovery time at each voltage was statistically assessed using </w:t>
      </w:r>
      <w:r>
        <w:rPr>
          <w:rFonts w:eastAsia="Times New Roman" w:cs="Arial" w:ascii="Arial" w:hAnsi="Arial"/>
          <w:sz w:val="18"/>
          <w:szCs w:val="18"/>
          <w:lang w:val="en-GB" w:eastAsia="pt-PT"/>
        </w:rPr>
        <w:t>Sidak's multiple comparisons test (P values &lt; 0.0001).</w:t>
      </w:r>
      <w:r>
        <w:rPr>
          <w:rFonts w:cs="Arial" w:ascii="Arial" w:hAnsi="Arial"/>
          <w:sz w:val="18"/>
          <w:szCs w:val="18"/>
          <w:lang w:val="en-GB"/>
        </w:rPr>
        <w:t xml:space="preserve"> At 3V, </w:t>
      </w:r>
      <w:r>
        <w:rPr>
          <w:rFonts w:cs="Arial" w:ascii="Arial" w:hAnsi="Arial"/>
          <w:sz w:val="20"/>
          <w:szCs w:val="20"/>
          <w:lang w:val="en-GB"/>
        </w:rPr>
        <w:t>T</w:t>
      </w:r>
      <w:r>
        <w:rPr>
          <w:rFonts w:cs="Arial" w:ascii="Arial" w:hAnsi="Arial"/>
          <w:sz w:val="20"/>
          <w:szCs w:val="20"/>
          <w:vertAlign w:val="subscript"/>
          <w:lang w:val="en-GB"/>
        </w:rPr>
        <w:t>Rec</w:t>
      </w:r>
      <w:r>
        <w:rPr>
          <w:rFonts w:cs="Arial" w:ascii="Arial" w:hAnsi="Arial"/>
          <w:sz w:val="20"/>
          <w:szCs w:val="20"/>
          <w:lang w:val="en-GB"/>
        </w:rPr>
        <w:t xml:space="preserve">-wt: </w:t>
      </w:r>
      <w:r>
        <w:rPr>
          <w:rFonts w:eastAsia="Times New Roman" w:cs="Arial" w:ascii="Arial" w:hAnsi="Arial"/>
          <w:sz w:val="20"/>
          <w:szCs w:val="20"/>
          <w:lang w:val="en-GB" w:eastAsia="pt-PT"/>
        </w:rPr>
        <w:t>36.87</w:t>
      </w:r>
      <w:r>
        <w:rPr>
          <w:rFonts w:cs="Arial" w:ascii="Arial" w:hAnsi="Arial"/>
          <w:sz w:val="20"/>
          <w:szCs w:val="20"/>
          <w:lang w:val="en-GB"/>
        </w:rPr>
        <w:t xml:space="preserve">s ± </w:t>
      </w:r>
      <w:r>
        <w:rPr>
          <w:rFonts w:eastAsia="Times New Roman" w:cs="Arial" w:ascii="Arial" w:hAnsi="Arial"/>
          <w:sz w:val="20"/>
          <w:szCs w:val="20"/>
          <w:lang w:val="en-GB" w:eastAsia="pt-PT"/>
        </w:rPr>
        <w:t xml:space="preserve">16.84 </w:t>
      </w:r>
      <w:r>
        <w:rPr>
          <w:rFonts w:cs="Arial" w:ascii="Arial" w:hAnsi="Arial"/>
          <w:sz w:val="20"/>
          <w:szCs w:val="20"/>
          <w:lang w:val="en-GB"/>
        </w:rPr>
        <w:t>SD, T</w:t>
      </w:r>
      <w:r>
        <w:rPr>
          <w:rFonts w:cs="Arial" w:ascii="Arial" w:hAnsi="Arial"/>
          <w:sz w:val="20"/>
          <w:szCs w:val="20"/>
          <w:vertAlign w:val="subscript"/>
          <w:lang w:val="en-GB"/>
        </w:rPr>
        <w:t>Rec</w:t>
      </w:r>
      <w:r>
        <w:rPr>
          <w:rFonts w:cs="Arial" w:ascii="Arial" w:hAnsi="Arial"/>
          <w:sz w:val="20"/>
          <w:szCs w:val="20"/>
          <w:lang w:val="en-GB"/>
        </w:rPr>
        <w:t>-</w:t>
      </w:r>
      <w:r>
        <w:rPr>
          <w:rFonts w:cs="Arial" w:ascii="Arial" w:hAnsi="Arial"/>
          <w:i/>
          <w:sz w:val="20"/>
          <w:szCs w:val="20"/>
          <w:lang w:val="en-GB"/>
        </w:rPr>
        <w:t>para</w:t>
      </w:r>
      <w:r>
        <w:rPr>
          <w:rFonts w:cs="Arial" w:ascii="Arial" w:hAnsi="Arial"/>
          <w:i/>
          <w:sz w:val="20"/>
          <w:szCs w:val="20"/>
          <w:vertAlign w:val="superscript"/>
          <w:lang w:val="en-GB"/>
        </w:rPr>
        <w:t>bss1</w:t>
      </w:r>
      <w:r>
        <w:rPr>
          <w:rFonts w:cs="Arial" w:ascii="Arial" w:hAnsi="Arial"/>
          <w:sz w:val="20"/>
          <w:szCs w:val="20"/>
          <w:lang w:val="en-GB"/>
        </w:rPr>
        <w:t>: 168.1s ± 62.33 SD; P</w:t>
      </w:r>
      <w:r>
        <w:rPr>
          <w:rFonts w:cs="Arial" w:ascii="Arial" w:hAnsi="Arial"/>
          <w:sz w:val="20"/>
          <w:szCs w:val="20"/>
          <w:vertAlign w:val="subscript"/>
          <w:lang w:val="en-GB"/>
        </w:rPr>
        <w:t>Sid</w:t>
      </w:r>
      <w:r>
        <w:rPr>
          <w:rFonts w:cs="Arial" w:ascii="Arial" w:hAnsi="Arial"/>
          <w:sz w:val="20"/>
          <w:szCs w:val="20"/>
          <w:lang w:val="en-GB"/>
        </w:rPr>
        <w:t>&lt; 0.0001</w:t>
      </w:r>
      <w:r>
        <w:rPr>
          <w:rFonts w:cs="Arial" w:ascii="Arial" w:hAnsi="Arial"/>
          <w:sz w:val="18"/>
          <w:szCs w:val="18"/>
          <w:lang w:val="en-GB"/>
        </w:rPr>
        <w:t>. Note that the mean of the T</w:t>
      </w:r>
      <w:r>
        <w:rPr>
          <w:rFonts w:cs="Arial" w:ascii="Arial" w:hAnsi="Arial"/>
          <w:sz w:val="18"/>
          <w:szCs w:val="18"/>
          <w:vertAlign w:val="subscript"/>
          <w:lang w:val="en-GB"/>
        </w:rPr>
        <w:t>Rec</w:t>
      </w:r>
      <w:r>
        <w:rPr>
          <w:rFonts w:cs="Arial" w:ascii="Arial" w:hAnsi="Arial"/>
          <w:sz w:val="18"/>
          <w:szCs w:val="18"/>
          <w:lang w:val="en-GB"/>
        </w:rPr>
        <w:t xml:space="preserve"> for para</w:t>
      </w:r>
      <w:r>
        <w:rPr>
          <w:rFonts w:cs="Arial" w:ascii="Arial" w:hAnsi="Arial"/>
          <w:i/>
          <w:sz w:val="18"/>
          <w:szCs w:val="18"/>
          <w:vertAlign w:val="superscript"/>
          <w:lang w:val="en-GB"/>
        </w:rPr>
        <w:t>bss1</w:t>
      </w:r>
      <w:r>
        <w:rPr>
          <w:rFonts w:cs="Arial" w:ascii="Arial" w:hAnsi="Arial"/>
          <w:i/>
          <w:sz w:val="18"/>
          <w:szCs w:val="18"/>
          <w:lang w:val="en-GB"/>
        </w:rPr>
        <w:t xml:space="preserve"> </w:t>
      </w:r>
      <w:r>
        <w:rPr>
          <w:rFonts w:cs="Arial" w:ascii="Arial" w:hAnsi="Arial"/>
          <w:sz w:val="18"/>
          <w:szCs w:val="18"/>
          <w:lang w:val="en-GB"/>
        </w:rPr>
        <w:t xml:space="preserve">mutant at 3V (which is about 168.1 s) is inferior to those at 4, 6, and 8V (218.9 s; 249.2 s and 254.8 s respectively). </w:t>
      </w:r>
    </w:p>
    <w:p>
      <w:pPr>
        <w:pStyle w:val="Normal"/>
        <w:spacing w:lineRule="auto" w:line="360" w:before="120" w:after="0"/>
        <w:jc w:val="both"/>
        <w:rPr>
          <w:rFonts w:ascii="Arial" w:hAnsi="Arial" w:cs="Arial"/>
          <w:color w:val="FF0000"/>
          <w:sz w:val="20"/>
          <w:szCs w:val="20"/>
          <w:lang w:val="en-GB"/>
        </w:rPr>
      </w:pPr>
      <w:r>
        <w:rPr>
          <w:rFonts w:cs="Arial" w:ascii="Arial" w:hAnsi="Arial"/>
          <w:color w:val="FF0000"/>
          <w:sz w:val="20"/>
          <w:szCs w:val="20"/>
          <w:lang w:val="en-GB"/>
        </w:rPr>
      </w:r>
    </w:p>
    <w:p>
      <w:pPr>
        <w:pStyle w:val="Normal"/>
        <w:spacing w:lineRule="auto" w:line="360" w:before="120" w:after="0"/>
        <w:jc w:val="both"/>
        <w:rPr>
          <w:rFonts w:ascii="Arial" w:hAnsi="Arial" w:cs="Arial"/>
          <w:color w:val="FF0000"/>
          <w:sz w:val="20"/>
          <w:szCs w:val="20"/>
          <w:lang w:val="en-GB"/>
        </w:rPr>
      </w:pPr>
      <w:r>
        <w:rPr>
          <w:rFonts w:cs="Arial" w:ascii="Arial" w:hAnsi="Arial"/>
          <w:color w:val="FF0000"/>
          <w:sz w:val="20"/>
          <w:szCs w:val="20"/>
          <w:lang w:val="en-GB"/>
        </w:rPr>
      </w:r>
    </w:p>
    <w:p>
      <w:pPr>
        <w:pStyle w:val="Normal"/>
        <w:spacing w:lineRule="auto" w:line="360" w:before="120" w:after="0"/>
        <w:jc w:val="both"/>
        <w:rPr>
          <w:rFonts w:ascii="Arial" w:hAnsi="Arial" w:cs="Arial"/>
          <w:color w:val="FF0000"/>
          <w:sz w:val="20"/>
          <w:szCs w:val="20"/>
          <w:lang w:val="en-GB"/>
        </w:rPr>
      </w:pPr>
      <w:r>
        <w:rPr>
          <w:rFonts w:cs="Arial" w:ascii="Arial" w:hAnsi="Arial"/>
          <w:color w:val="FF0000"/>
          <w:sz w:val="20"/>
          <w:szCs w:val="20"/>
          <w:lang w:val="en-GB"/>
        </w:rPr>
      </w:r>
    </w:p>
    <w:p>
      <w:pPr>
        <w:pStyle w:val="ListParagraph"/>
        <w:numPr>
          <w:ilvl w:val="1"/>
          <w:numId w:val="1"/>
        </w:numPr>
        <w:spacing w:before="120" w:after="0"/>
        <w:ind w:left="426" w:hanging="426"/>
        <w:rPr>
          <w:rFonts w:ascii="Arial" w:hAnsi="Arial" w:cs="Arial"/>
          <w:sz w:val="20"/>
          <w:szCs w:val="20"/>
          <w:u w:val="single"/>
          <w:lang w:val="en-GB"/>
        </w:rPr>
      </w:pPr>
      <w:r>
        <w:rPr>
          <w:rFonts w:cs="Arial" w:ascii="Arial" w:hAnsi="Arial"/>
          <w:sz w:val="20"/>
          <w:szCs w:val="20"/>
          <w:u w:val="single"/>
          <w:lang w:val="en-GB"/>
        </w:rPr>
        <w:t xml:space="preserve">Triple heterozygous show seizure-like phenotype which can be rescued by anti-epileptic drugs </w:t>
      </w:r>
    </w:p>
    <w:p>
      <w:pPr>
        <w:pStyle w:val="Normal"/>
        <w:spacing w:lineRule="auto" w:line="360" w:before="120" w:after="0"/>
        <w:jc w:val="both"/>
        <w:rPr/>
      </w:pPr>
      <w:r>
        <w:rPr>
          <w:rFonts w:cs="Arial" w:ascii="Arial" w:hAnsi="Arial"/>
          <w:sz w:val="20"/>
          <w:szCs w:val="20"/>
          <w:lang w:val="en-GB"/>
        </w:rPr>
        <w:t xml:space="preserve">As explained in the introduction, my first aim was to test whether </w:t>
      </w:r>
      <w:r>
        <w:rPr>
          <w:rFonts w:cs="Arial" w:ascii="Arial" w:hAnsi="Arial"/>
          <w:bCs/>
          <w:i/>
          <w:iCs/>
          <w:sz w:val="20"/>
          <w:szCs w:val="20"/>
          <w:lang w:val="en-US"/>
        </w:rPr>
        <w:t>Eb1</w:t>
      </w:r>
      <w:r>
        <w:rPr>
          <w:rFonts w:cs="Arial" w:ascii="Arial" w:hAnsi="Arial"/>
          <w:bCs/>
          <w:i/>
          <w:iCs/>
          <w:sz w:val="20"/>
          <w:szCs w:val="20"/>
          <w:vertAlign w:val="superscript"/>
          <w:lang w:val="en-US"/>
        </w:rPr>
        <w:t>04524/+</w:t>
      </w:r>
      <w:r>
        <w:rPr>
          <w:rFonts w:cs="Arial" w:ascii="Arial" w:hAnsi="Arial"/>
          <w:bCs/>
          <w:i/>
          <w:iCs/>
          <w:sz w:val="20"/>
          <w:szCs w:val="20"/>
          <w:lang w:val="en-US"/>
        </w:rPr>
        <w:t xml:space="preserve"> msps</w:t>
      </w:r>
      <w:r>
        <w:rPr>
          <w:rFonts w:cs="Arial" w:ascii="Arial" w:hAnsi="Arial"/>
          <w:bCs/>
          <w:i/>
          <w:iCs/>
          <w:sz w:val="20"/>
          <w:szCs w:val="20"/>
          <w:vertAlign w:val="superscript"/>
          <w:lang w:val="en-US"/>
        </w:rPr>
        <w:t>1/+</w:t>
      </w:r>
      <w:r>
        <w:rPr>
          <w:rFonts w:cs="Arial" w:ascii="Arial" w:hAnsi="Arial"/>
          <w:bCs/>
          <w:i/>
          <w:iCs/>
          <w:sz w:val="20"/>
          <w:szCs w:val="20"/>
          <w:lang w:val="en-US"/>
        </w:rPr>
        <w:t xml:space="preserve"> tau</w:t>
      </w:r>
      <w:r>
        <w:rPr>
          <w:rFonts w:cs="Arial" w:ascii="Arial" w:hAnsi="Arial"/>
          <w:bCs/>
          <w:i/>
          <w:iCs/>
          <w:sz w:val="20"/>
          <w:szCs w:val="20"/>
          <w:vertAlign w:val="superscript"/>
          <w:lang w:val="en-US"/>
        </w:rPr>
        <w:t>ko/+</w:t>
      </w:r>
      <w:r>
        <w:rPr>
          <w:rFonts w:cs="Arial" w:ascii="Arial" w:hAnsi="Arial"/>
          <w:sz w:val="20"/>
          <w:szCs w:val="20"/>
          <w:lang w:val="en-GB"/>
        </w:rPr>
        <w:t xml:space="preserve"> triple-heterozygous larvae display true seizure-like phenotypes. In agreement with previous reports </w:t>
      </w:r>
      <w:r>
        <w:fldChar w:fldCharType="begin"/>
      </w:r>
      <w:r>
        <w:rPr/>
        <w:instrText>ADDIN EN.CITE &lt;EndNote&gt;&lt;Cite&gt;&lt;Author&gt;Petzold&lt;/Author&gt;&lt;Year&gt;2018&lt;/Year&gt;&lt;RecNum&gt;9782&lt;/RecNum&gt;&lt;DisplayText&gt;(Petzold, 2018)&lt;/DisplayText&gt;&lt;record&gt;&lt;rec-number&gt;9782&lt;/rec-number&gt;&lt;foreign-keys&gt;&lt;key app="EN" db-id="vwexp2xatx0fvxeff5rxex5pvw2vepptvvfs"&gt;9782&lt;/key&gt;&lt;/foreign-keys&gt;&lt;ref-type name="Thesis"&gt;32&lt;/ref-type&gt;&lt;contributors&gt;&lt;authors&gt;&lt;author&gt;Petzold, T.&lt;/author&gt;&lt;/authors&gt;&lt;/contributors&gt;&lt;titles&gt;&lt;title&gt;&lt;style face="normal" font="default" size="100%"&gt;Does axonal microtubule unbundling induce seizure-like behaviour in &lt;/style&gt;&lt;style face="italic" font="default" size="100%"&gt;Drosophila &lt;/style&gt;&lt;style face="normal" font="default" size="100%"&gt;and what is the mechanism for this?&lt;/style&gt;&lt;/title&gt;&lt;secondary-title&gt;Faculty of Biology, Health and Medicine&lt;/secondary-title&gt;&lt;/titles&gt;&lt;pages&gt;26&lt;/pages&gt;&lt;dates&gt;&lt;year&gt;2018&lt;/year&gt;&lt;/dates&gt;&lt;pub-location&gt;Manchester&lt;/pub-location&gt;&lt;publisher&gt;The University of Manchester&lt;/publisher&gt;&lt;work-type&gt;Final year undergraduate project&lt;/work-type&gt;&lt;urls&gt;&lt;/urls&gt;&lt;/record&gt;&lt;/Cite&gt;&lt;/EndNote&gt;</w:instrText>
      </w:r>
      <w:r>
        <w:rPr/>
        <w:fldChar w:fldCharType="separate"/>
      </w:r>
      <w:bookmarkStart w:id="77" w:name="__Fieldmark__1433_4090835577"/>
      <w:r>
        <w:rPr/>
      </w:r>
      <w:r>
        <w:rPr>
          <w:rFonts w:cs="Arial" w:ascii="Arial" w:hAnsi="Arial"/>
          <w:sz w:val="20"/>
          <w:szCs w:val="20"/>
          <w:lang w:val="en-GB"/>
        </w:rPr>
        <w:t>(Petzold, 2018)</w:t>
      </w:r>
      <w:r>
        <w:rPr/>
      </w:r>
      <w:r>
        <w:rPr/>
        <w:fldChar w:fldCharType="end"/>
      </w:r>
      <w:hyperlink w:anchor="_ENREF_57" w:tgtFrame="Petzold, 2018 #9782">
        <w:bookmarkEnd w:id="77"/>
        <w:r>
          <w:rPr>
            <w:rFonts w:cs="Arial" w:ascii="Arial" w:hAnsi="Arial"/>
            <w:sz w:val="20"/>
            <w:szCs w:val="20"/>
            <w:lang w:val="en-GB"/>
          </w:rPr>
          <w:t xml:space="preserve">, I found a stark increase in recovery time from wild-type controls to </w:t>
        </w:r>
      </w:hyperlink>
      <w:r>
        <w:rPr>
          <w:rFonts w:cs="Arial" w:ascii="Arial" w:hAnsi="Arial"/>
          <w:bCs/>
          <w:i/>
          <w:iCs/>
          <w:sz w:val="20"/>
          <w:szCs w:val="20"/>
          <w:lang w:val="en-US"/>
        </w:rPr>
        <w:t>Eb1</w:t>
      </w:r>
      <w:r>
        <w:rPr>
          <w:rFonts w:cs="Arial" w:ascii="Arial" w:hAnsi="Arial"/>
          <w:bCs/>
          <w:i/>
          <w:iCs/>
          <w:sz w:val="20"/>
          <w:szCs w:val="20"/>
          <w:vertAlign w:val="superscript"/>
          <w:lang w:val="en-US"/>
        </w:rPr>
        <w:t>04524/+</w:t>
      </w:r>
      <w:r>
        <w:rPr>
          <w:rFonts w:cs="Arial" w:ascii="Arial" w:hAnsi="Arial"/>
          <w:bCs/>
          <w:i/>
          <w:iCs/>
          <w:sz w:val="20"/>
          <w:szCs w:val="20"/>
          <w:lang w:val="en-US"/>
        </w:rPr>
        <w:t xml:space="preserve"> msps</w:t>
      </w:r>
      <w:r>
        <w:rPr>
          <w:rFonts w:cs="Arial" w:ascii="Arial" w:hAnsi="Arial"/>
          <w:bCs/>
          <w:i/>
          <w:iCs/>
          <w:sz w:val="20"/>
          <w:szCs w:val="20"/>
          <w:vertAlign w:val="superscript"/>
          <w:lang w:val="en-US"/>
        </w:rPr>
        <w:t>1/+</w:t>
      </w:r>
      <w:r>
        <w:rPr>
          <w:rFonts w:cs="Arial" w:ascii="Arial" w:hAnsi="Arial"/>
          <w:bCs/>
          <w:i/>
          <w:iCs/>
          <w:sz w:val="20"/>
          <w:szCs w:val="20"/>
          <w:lang w:val="en-US"/>
        </w:rPr>
        <w:t xml:space="preserve"> tau</w:t>
      </w:r>
      <w:r>
        <w:rPr>
          <w:rFonts w:cs="Arial" w:ascii="Arial" w:hAnsi="Arial"/>
          <w:bCs/>
          <w:i/>
          <w:iCs/>
          <w:sz w:val="20"/>
          <w:szCs w:val="20"/>
          <w:vertAlign w:val="superscript"/>
          <w:lang w:val="en-US"/>
        </w:rPr>
        <w:t>ko/+</w:t>
      </w:r>
      <w:r>
        <w:rPr>
          <w:rFonts w:cs="Arial" w:ascii="Arial" w:hAnsi="Arial"/>
          <w:sz w:val="20"/>
          <w:szCs w:val="20"/>
          <w:lang w:val="en-GB"/>
        </w:rPr>
        <w:t xml:space="preserve"> , with a mean difference of about </w:t>
      </w:r>
      <w:r>
        <w:rPr>
          <w:rFonts w:cs="Arial" w:ascii="Arial" w:hAnsi="Arial"/>
          <w:b/>
          <w:sz w:val="20"/>
          <w:szCs w:val="20"/>
          <w:lang w:val="en-GB"/>
        </w:rPr>
        <w:t>90.43</w:t>
      </w:r>
      <w:r>
        <w:rPr>
          <w:rFonts w:cs="Arial" w:ascii="Arial" w:hAnsi="Arial"/>
          <w:sz w:val="20"/>
          <w:szCs w:val="20"/>
          <w:lang w:val="en-GB"/>
        </w:rPr>
        <w:t>s (Fig.2)</w:t>
      </w:r>
    </w:p>
    <w:p>
      <w:pPr>
        <w:pStyle w:val="ListParagraph"/>
        <w:spacing w:lineRule="auto" w:line="360" w:before="120" w:after="0"/>
        <w:contextualSpacing/>
        <w:jc w:val="both"/>
        <w:rPr>
          <w:rFonts w:ascii="Arial" w:hAnsi="Arial"/>
          <w:b/>
          <w:b/>
          <w:sz w:val="18"/>
          <w:szCs w:val="18"/>
          <w:lang w:val="en-GB"/>
        </w:rPr>
      </w:pPr>
      <w:r>
        <w:rPr>
          <w:rFonts w:ascii="Arial" w:hAnsi="Arial"/>
          <w:b/>
          <w:sz w:val="18"/>
          <w:szCs w:val="18"/>
          <w:lang w:val="en-GB"/>
        </w:rPr>
      </w:r>
    </w:p>
    <w:p>
      <w:pPr>
        <w:pStyle w:val="ListParagraph"/>
        <w:spacing w:lineRule="auto" w:line="240" w:before="120" w:after="0"/>
        <w:contextualSpacing/>
        <w:jc w:val="both"/>
        <w:rPr>
          <w:rFonts w:ascii="Arial" w:hAnsi="Arial" w:cs="Arial"/>
          <w:sz w:val="18"/>
          <w:szCs w:val="18"/>
          <w:lang w:val="en-GB"/>
        </w:rPr>
      </w:pPr>
      <w:r>
        <w:drawing>
          <wp:anchor behindDoc="0" distT="0" distB="0" distL="114300" distR="114300" simplePos="0" locked="0" layoutInCell="1" allowOverlap="1" relativeHeight="9">
            <wp:simplePos x="0" y="0"/>
            <wp:positionH relativeFrom="margin">
              <wp:posOffset>238125</wp:posOffset>
            </wp:positionH>
            <wp:positionV relativeFrom="paragraph">
              <wp:posOffset>11430</wp:posOffset>
            </wp:positionV>
            <wp:extent cx="1828800" cy="1990725"/>
            <wp:effectExtent l="0" t="0" r="0" b="0"/>
            <wp:wrapSquare wrapText="bothSides"/>
            <wp:docPr id="4" name="Imagem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6" descr=""/>
                    <pic:cNvPicPr>
                      <a:picLocks noChangeAspect="1" noChangeArrowheads="1"/>
                    </pic:cNvPicPr>
                  </pic:nvPicPr>
                  <pic:blipFill>
                    <a:blip r:embed="rId5"/>
                    <a:srcRect l="3179" t="4508" r="8833" b="2349"/>
                    <a:stretch>
                      <a:fillRect/>
                    </a:stretch>
                  </pic:blipFill>
                  <pic:spPr bwMode="auto">
                    <a:xfrm>
                      <a:off x="0" y="0"/>
                      <a:ext cx="1828800" cy="1990725"/>
                    </a:xfrm>
                    <a:prstGeom prst="rect">
                      <a:avLst/>
                    </a:prstGeom>
                  </pic:spPr>
                </pic:pic>
              </a:graphicData>
            </a:graphic>
          </wp:anchor>
        </w:drawing>
      </w:r>
      <w:r>
        <w:rPr>
          <w:rFonts w:ascii="Arial" w:hAnsi="Arial"/>
          <w:b/>
          <w:sz w:val="18"/>
          <w:szCs w:val="18"/>
          <w:lang w:val="en-GB"/>
        </w:rPr>
        <w:t>F</w:t>
      </w:r>
      <w:r>
        <w:rPr>
          <w:rFonts w:ascii="Arial" w:hAnsi="Arial"/>
          <w:b/>
          <w:sz w:val="18"/>
          <w:szCs w:val="18"/>
          <w:lang w:val="en-GB"/>
        </w:rPr>
        <w:t xml:space="preserve">ig. 2. </w:t>
      </w:r>
      <w:r>
        <w:rPr>
          <w:rFonts w:cs="Arial" w:ascii="Arial" w:hAnsi="Arial"/>
          <w:i/>
          <w:sz w:val="18"/>
          <w:szCs w:val="18"/>
          <w:lang w:val="en-GB"/>
        </w:rPr>
        <w:t>Eb1</w:t>
      </w:r>
      <w:r>
        <w:rPr>
          <w:rFonts w:cs="Arial" w:ascii="Arial" w:hAnsi="Arial"/>
          <w:i/>
          <w:sz w:val="18"/>
          <w:szCs w:val="18"/>
          <w:vertAlign w:val="superscript"/>
          <w:lang w:val="en-GB"/>
        </w:rPr>
        <w:t>04524/+</w:t>
      </w:r>
      <w:r>
        <w:rPr>
          <w:rFonts w:cs="Arial" w:ascii="Arial" w:hAnsi="Arial"/>
          <w:i/>
          <w:sz w:val="18"/>
          <w:szCs w:val="18"/>
          <w:lang w:val="en-GB"/>
        </w:rPr>
        <w:t>msps</w:t>
      </w:r>
      <w:r>
        <w:rPr>
          <w:rFonts w:cs="Arial" w:ascii="Arial" w:hAnsi="Arial"/>
          <w:i/>
          <w:sz w:val="18"/>
          <w:szCs w:val="18"/>
          <w:vertAlign w:val="superscript"/>
          <w:lang w:val="en-GB"/>
        </w:rPr>
        <w:t>1/+</w:t>
      </w:r>
      <w:r>
        <w:rPr>
          <w:rFonts w:cs="Arial" w:ascii="Arial" w:hAnsi="Arial"/>
          <w:i/>
          <w:sz w:val="18"/>
          <w:szCs w:val="18"/>
          <w:lang w:val="en-GB"/>
        </w:rPr>
        <w:t>tau</w:t>
      </w:r>
      <w:r>
        <w:rPr>
          <w:rFonts w:cs="Arial" w:ascii="Arial" w:hAnsi="Arial"/>
          <w:i/>
          <w:sz w:val="18"/>
          <w:szCs w:val="18"/>
          <w:vertAlign w:val="superscript"/>
          <w:lang w:val="en-GB"/>
        </w:rPr>
        <w:t>ko/+</w:t>
      </w:r>
      <w:r>
        <w:rPr>
          <w:rFonts w:cs="Arial" w:ascii="Arial" w:hAnsi="Arial"/>
          <w:sz w:val="18"/>
          <w:szCs w:val="18"/>
          <w:lang w:val="en-GB"/>
        </w:rPr>
        <w:t xml:space="preserve"> triple heterozygous larvae display extended recovery time from electroshock.  30 wild-type and 50 </w:t>
      </w:r>
      <w:r>
        <w:rPr>
          <w:rFonts w:cs="Arial" w:ascii="Arial" w:hAnsi="Arial"/>
          <w:i/>
          <w:sz w:val="18"/>
          <w:szCs w:val="18"/>
          <w:lang w:val="en-GB"/>
        </w:rPr>
        <w:t>Eb1</w:t>
      </w:r>
      <w:r>
        <w:rPr>
          <w:rFonts w:cs="Arial" w:ascii="Arial" w:hAnsi="Arial"/>
          <w:i/>
          <w:sz w:val="18"/>
          <w:szCs w:val="18"/>
          <w:vertAlign w:val="superscript"/>
          <w:lang w:val="en-GB"/>
        </w:rPr>
        <w:t>04524/+</w:t>
      </w:r>
      <w:r>
        <w:rPr>
          <w:rFonts w:cs="Arial" w:ascii="Arial" w:hAnsi="Arial"/>
          <w:i/>
          <w:sz w:val="18"/>
          <w:szCs w:val="18"/>
          <w:lang w:val="en-GB"/>
        </w:rPr>
        <w:t>msps</w:t>
      </w:r>
      <w:r>
        <w:rPr>
          <w:rFonts w:cs="Arial" w:ascii="Arial" w:hAnsi="Arial"/>
          <w:i/>
          <w:sz w:val="18"/>
          <w:szCs w:val="18"/>
          <w:vertAlign w:val="superscript"/>
          <w:lang w:val="en-GB"/>
        </w:rPr>
        <w:t>1/+</w:t>
      </w:r>
      <w:r>
        <w:rPr>
          <w:rFonts w:cs="Arial" w:ascii="Arial" w:hAnsi="Arial"/>
          <w:i/>
          <w:sz w:val="18"/>
          <w:szCs w:val="18"/>
          <w:lang w:val="en-GB"/>
        </w:rPr>
        <w:t>tau</w:t>
      </w:r>
      <w:r>
        <w:rPr>
          <w:rFonts w:cs="Arial" w:ascii="Arial" w:hAnsi="Arial"/>
          <w:i/>
          <w:sz w:val="18"/>
          <w:szCs w:val="18"/>
          <w:vertAlign w:val="superscript"/>
          <w:lang w:val="en-GB"/>
        </w:rPr>
        <w:t>ko/+</w:t>
      </w:r>
      <w:r>
        <w:rPr>
          <w:rFonts w:cs="Arial" w:ascii="Arial" w:hAnsi="Arial"/>
          <w:sz w:val="18"/>
          <w:szCs w:val="18"/>
          <w:lang w:val="en-GB"/>
        </w:rPr>
        <w:t xml:space="preserve"> triple heterozygous larvae were electro-shocked at 3V revealing a mean difference in recovery time of </w:t>
      </w:r>
      <w:r>
        <w:rPr>
          <w:rFonts w:cs="Arial" w:ascii="Arial" w:hAnsi="Arial"/>
          <w:b/>
          <w:sz w:val="18"/>
          <w:szCs w:val="18"/>
          <w:lang w:val="en-GB"/>
        </w:rPr>
        <w:t>90.43</w:t>
      </w:r>
      <w:r>
        <w:rPr>
          <w:rFonts w:cs="Arial" w:ascii="Arial" w:hAnsi="Arial"/>
          <w:sz w:val="18"/>
          <w:szCs w:val="18"/>
          <w:lang w:val="en-GB"/>
        </w:rPr>
        <w:t>s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wt</w:t>
      </w:r>
      <w:r>
        <w:rPr>
          <w:rFonts w:cs="Arial" w:ascii="Arial" w:hAnsi="Arial"/>
          <w:sz w:val="18"/>
          <w:szCs w:val="18"/>
          <w:lang w:val="en-GB"/>
        </w:rPr>
        <w:t>: 36.86 ± 16.84SD,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triple</w:t>
      </w:r>
      <w:r>
        <w:rPr>
          <w:rFonts w:cs="Arial" w:ascii="Arial" w:hAnsi="Arial"/>
          <w:sz w:val="18"/>
          <w:szCs w:val="18"/>
          <w:lang w:val="en-GB"/>
        </w:rPr>
        <w:t xml:space="preserve">: </w:t>
      </w:r>
      <w:r>
        <w:rPr>
          <w:rFonts w:cs="Arial" w:ascii="Arial" w:hAnsi="Arial"/>
          <w:sz w:val="20"/>
          <w:szCs w:val="20"/>
          <w:lang w:val="en-GB"/>
        </w:rPr>
        <w:t>127.3 ± 53.25</w:t>
      </w:r>
      <w:r>
        <w:rPr>
          <w:rFonts w:cs="Arial" w:ascii="Arial" w:hAnsi="Arial"/>
          <w:sz w:val="18"/>
          <w:szCs w:val="18"/>
          <w:lang w:val="en-GB"/>
        </w:rPr>
        <w:t>SD; P</w:t>
      </w:r>
      <w:r>
        <w:rPr>
          <w:rFonts w:cs="Arial" w:ascii="Arial" w:hAnsi="Arial"/>
          <w:sz w:val="18"/>
          <w:szCs w:val="18"/>
          <w:vertAlign w:val="subscript"/>
          <w:lang w:val="en-GB"/>
        </w:rPr>
        <w:t xml:space="preserve"> </w:t>
      </w:r>
      <w:r>
        <w:rPr>
          <w:rFonts w:cs="Arial" w:ascii="Arial" w:hAnsi="Arial"/>
          <w:sz w:val="18"/>
          <w:szCs w:val="18"/>
          <w:lang w:val="en-GB"/>
        </w:rPr>
        <w:t>&lt;0.0001). Each bars shows the mean T</w:t>
      </w:r>
      <w:r>
        <w:rPr>
          <w:rFonts w:cs="Arial" w:ascii="Arial" w:hAnsi="Arial"/>
          <w:sz w:val="18"/>
          <w:szCs w:val="18"/>
          <w:vertAlign w:val="subscript"/>
          <w:lang w:val="en-GB"/>
        </w:rPr>
        <w:t>Rec</w:t>
      </w:r>
      <w:r>
        <w:rPr>
          <w:rFonts w:cs="Arial" w:ascii="Arial" w:hAnsi="Arial"/>
          <w:sz w:val="18"/>
          <w:szCs w:val="18"/>
          <w:lang w:val="en-GB"/>
        </w:rPr>
        <w:t xml:space="preserve">, error bars indicate SD, **** p&lt;0.0001 </w:t>
      </w:r>
    </w:p>
    <w:p>
      <w:pPr>
        <w:pStyle w:val="ListParagraph"/>
        <w:spacing w:lineRule="auto" w:line="360" w:before="120" w:after="0"/>
        <w:contextualSpacing/>
        <w:jc w:val="both"/>
        <w:rPr>
          <w:rFonts w:ascii="Arial" w:hAnsi="Arial" w:cs="Arial"/>
          <w:sz w:val="18"/>
          <w:szCs w:val="18"/>
          <w:lang w:val="en-GB"/>
        </w:rPr>
      </w:pPr>
      <w:r>
        <w:rPr>
          <w:rFonts w:cs="Arial" w:ascii="Arial" w:hAnsi="Arial"/>
          <w:sz w:val="18"/>
          <w:szCs w:val="18"/>
          <w:lang w:val="en-GB"/>
        </w:rPr>
      </w:r>
    </w:p>
    <w:p>
      <w:pPr>
        <w:pStyle w:val="ListParagraph"/>
        <w:spacing w:lineRule="auto" w:line="360" w:before="120" w:after="0"/>
        <w:ind w:left="0" w:hanging="0"/>
        <w:jc w:val="both"/>
        <w:rPr/>
      </w:pPr>
      <w:r>
        <w:rPr>
          <w:rFonts w:cs="Arial" w:ascii="Arial" w:hAnsi="Arial"/>
          <w:sz w:val="20"/>
          <w:szCs w:val="20"/>
          <w:lang w:val="en-GB"/>
        </w:rPr>
        <w:t>To test whether these seizure-like phenotypes are caused by typical epilepsy-linked mechanisms, I tested whether the anti-epileptic drugs (AEDs) Phenytoin and Valproate have an ameliorating effect. Phenytoin causes the inactivation of voltage-dependent Na</w:t>
      </w:r>
      <w:r>
        <w:rPr>
          <w:rFonts w:cs="Arial" w:ascii="Arial" w:hAnsi="Arial"/>
          <w:sz w:val="20"/>
          <w:szCs w:val="20"/>
          <w:vertAlign w:val="superscript"/>
          <w:lang w:val="en-GB"/>
        </w:rPr>
        <w:t>+</w:t>
      </w:r>
      <w:r>
        <w:rPr>
          <w:rFonts w:cs="Arial" w:ascii="Arial" w:hAnsi="Arial"/>
          <w:sz w:val="20"/>
          <w:szCs w:val="20"/>
          <w:lang w:val="en-GB"/>
        </w:rPr>
        <w:t xml:space="preserve"> channels </w:t>
      </w:r>
      <w:r>
        <w:fldChar w:fldCharType="begin"/>
      </w:r>
      <w:r>
        <w:rPr/>
        <w:instrText>ADDIN EN.CITE &lt;EndNote&gt;&lt;Cite&gt;&lt;Author&gt;Rogawski&lt;/Author&gt;&lt;Year&gt;2004&lt;/Year&gt;&lt;RecNum&gt;25&lt;/RecNum&gt;&lt;DisplayText&gt;(Rogawski and Loscher, 2004a)&lt;/DisplayText&gt;&lt;record&gt;&lt;rec-number&gt;25&lt;/rec-number&gt;&lt;foreign-keys&gt;&lt;key app="EN" db-id="vedta2ppje59fceprax5xvwqzxt2awx0xd99"&gt;25&lt;/key&gt;&lt;/foreign-keys&gt;&lt;ref-type name="Journal Article"&gt;17&lt;/ref-type&gt;&lt;contributors&gt;&lt;authors&gt;&lt;author&gt;Rogawski, M. A.&lt;/author&gt;&lt;author&gt;Loscher, W.&lt;/author&gt;&lt;/authors&gt;&lt;/contributors&gt;&lt;auth-address&gt;NINDS, Epilepsy Res Stn, NIH, Bethesda, MD 20892 USA&amp;#xD;Univ Vet Med, Dept Pharmacol Toxicol &amp;amp; Pharm, D-30559 Hannover, Germany&amp;#xD;Ctr Syst Neurosci, D-30559 Hannover, Germany&lt;/auth-address&gt;&lt;titles&gt;&lt;title&gt;The neurobiology of antiepileptic drugs&lt;/title&gt;&lt;secondary-title&gt;Nature Reviews Neuroscience&lt;/secondary-title&gt;&lt;alt-title&gt;Nat Rev Neurosci&lt;/alt-title&gt;&lt;/titles&gt;&lt;periodical&gt;&lt;full-title&gt;Nature Reviews Neuroscience&lt;/full-title&gt;&lt;abbr-1&gt;Nat Rev Neurosci&lt;/abbr-1&gt;&lt;/periodical&gt;&lt;alt-periodical&gt;&lt;full-title&gt;Nature Reviews Neuroscience&lt;/full-title&gt;&lt;abbr-1&gt;Nat Rev Neurosci&lt;/abbr-1&gt;&lt;/alt-periodical&gt;&lt;pages&gt;553-564&lt;/pages&gt;&lt;volume&gt;5&lt;/volume&gt;&lt;number&gt;7&lt;/number&gt;&lt;keywords&gt;&lt;keyword&gt;idiopathic generalized epilepsy&lt;/keyword&gt;&lt;keyword&gt;childhood absence epilepsy&lt;/keyword&gt;&lt;keyword&gt;rat hippocampal-neurons&lt;/keyword&gt;&lt;keyword&gt;calcium-channel subunit&lt;/keyword&gt;&lt;keyword&gt;persistent na+ current&lt;/keyword&gt;&lt;keyword&gt;febrile seizures plus&lt;/keyword&gt;&lt;keyword&gt;voltage-gated na+&lt;/keyword&gt;&lt;keyword&gt;transmembrane segment ivs6&lt;/keyword&gt;&lt;keyword&gt;status epilepticus model&lt;/keyword&gt;&lt;keyword&gt;primary afferent neurons&lt;/keyword&gt;&lt;/keywords&gt;&lt;dates&gt;&lt;year&gt;2004&lt;/year&gt;&lt;pub-dates&gt;&lt;date&gt;Jul&lt;/date&gt;&lt;/pub-dates&gt;&lt;/dates&gt;&lt;isbn&gt;1471-003X&lt;/isbn&gt;&lt;accession-num&gt;ISI:000222435000014&lt;/accession-num&gt;&lt;urls&gt;&lt;related-urls&gt;&lt;url&gt;&amp;lt;Go to ISI&amp;gt;://000222435000014&lt;/url&gt;&lt;/related-urls&gt;&lt;/urls&gt;&lt;electronic-resource-num&gt;10.1038/nrn1430&lt;/electronic-resource-num&gt;&lt;language&gt;English&lt;/language&gt;&lt;/record&gt;&lt;/Cite&gt;&lt;/EndNote&gt;</w:instrText>
      </w:r>
      <w:r>
        <w:rPr/>
        <w:fldChar w:fldCharType="separate"/>
      </w:r>
      <w:bookmarkStart w:id="78" w:name="__Fieldmark__1510_4090835577"/>
      <w:r>
        <w:rPr/>
      </w:r>
      <w:r>
        <w:rPr>
          <w:rFonts w:cs="Arial" w:ascii="Arial" w:hAnsi="Arial"/>
          <w:sz w:val="20"/>
          <w:szCs w:val="20"/>
          <w:lang w:val="en-GB"/>
        </w:rPr>
        <w:t>(Rogawski and Loscher, 2004a)</w:t>
      </w:r>
      <w:r>
        <w:rPr/>
      </w:r>
      <w:r>
        <w:rPr/>
        <w:fldChar w:fldCharType="end"/>
      </w:r>
      <w:hyperlink w:anchor="_ENREF_68" w:tgtFrame="Rogawski, 2004 #19">
        <w:bookmarkEnd w:id="78"/>
        <w:r>
          <w:rPr>
            <w:rFonts w:cs="Arial" w:ascii="Arial" w:hAnsi="Arial"/>
            <w:sz w:val="20"/>
            <w:szCs w:val="20"/>
            <w:lang w:val="en-GB"/>
          </w:rPr>
          <w:t>. Valproate is an anti-epileptic drug and a mood stabiliser up-regulating GABAergic transmission and down-regulating voltage-dependent Na</w:t>
        </w:r>
      </w:hyperlink>
      <w:r>
        <w:rPr>
          <w:rFonts w:cs="Arial" w:ascii="Arial" w:hAnsi="Arial"/>
          <w:sz w:val="20"/>
          <w:szCs w:val="20"/>
          <w:vertAlign w:val="superscript"/>
          <w:lang w:val="en-GB"/>
        </w:rPr>
        <w:t>+</w:t>
      </w:r>
      <w:r>
        <w:rPr>
          <w:rFonts w:cs="Arial" w:ascii="Arial" w:hAnsi="Arial"/>
          <w:sz w:val="20"/>
          <w:szCs w:val="20"/>
          <w:lang w:val="en-GB"/>
        </w:rPr>
        <w:t xml:space="preserve"> channels </w:t>
      </w:r>
      <w:r>
        <w:fldChar w:fldCharType="begin"/>
      </w:r>
      <w:r>
        <w:rPr/>
        <w:instrText>ADDIN EN.CITE</w:instrText>
      </w:r>
      <w:r>
        <w:rPr/>
        <w:fldChar w:fldCharType="separate"/>
      </w:r>
      <w:bookmarkStart w:id="79" w:name="__Fieldmark__1524_4090835577"/>
      <w:r>
        <w:rPr/>
      </w:r>
      <w:r>
        <w:rPr/>
      </w:r>
      <w:r>
        <w:rPr/>
        <w:fldChar w:fldCharType="end"/>
      </w:r>
      <w:r>
        <w:fldChar w:fldCharType="begin"/>
      </w:r>
      <w:r>
        <w:rPr/>
        <w:instrText>ADDIN EN.CITE.DATA</w:instrText>
      </w:r>
      <w:r>
        <w:rPr/>
        <w:fldChar w:fldCharType="separate"/>
      </w:r>
      <w:bookmarkStart w:id="80" w:name="__Fieldmark__1523_4090835577"/>
      <w:bookmarkEnd w:id="79"/>
      <w:r>
        <w:rPr/>
      </w:r>
      <w:r>
        <w:rPr>
          <w:rFonts w:cs="Arial" w:ascii="Arial" w:hAnsi="Arial"/>
          <w:sz w:val="20"/>
          <w:szCs w:val="20"/>
          <w:lang w:val="en-GB"/>
        </w:rPr>
        <w:t>(Castro et al., 2005; Perucca, 2002)</w:t>
      </w:r>
      <w:r>
        <w:rPr/>
      </w:r>
      <w:r>
        <w:rPr/>
        <w:fldChar w:fldCharType="end"/>
      </w:r>
      <w:hyperlink w:anchor="_ENREF_56" w:tgtFrame="Perucca, 2002 #6">
        <w:bookmarkEnd w:id="80"/>
        <w:r>
          <w:rPr>
            <w:rFonts w:cs="Arial" w:ascii="Arial" w:hAnsi="Arial"/>
            <w:sz w:val="20"/>
            <w:szCs w:val="20"/>
            <w:lang w:val="en-GB"/>
          </w:rPr>
          <w:t xml:space="preserve">. Importantly, both drugs were shown previously to suppress seizure-like phenotypes in genetic </w:t>
        </w:r>
      </w:hyperlink>
      <w:r>
        <w:rPr>
          <w:rFonts w:cs="Arial" w:ascii="Arial" w:hAnsi="Arial"/>
          <w:i/>
          <w:sz w:val="20"/>
          <w:szCs w:val="20"/>
          <w:lang w:val="en-GB"/>
        </w:rPr>
        <w:t>Drosophila</w:t>
      </w:r>
      <w:r>
        <w:rPr>
          <w:rFonts w:cs="Arial" w:ascii="Arial" w:hAnsi="Arial"/>
          <w:sz w:val="20"/>
          <w:szCs w:val="20"/>
          <w:lang w:val="en-GB"/>
        </w:rPr>
        <w:t xml:space="preserve"> epilepsy models . </w:t>
      </w:r>
    </w:p>
    <w:p>
      <w:pPr>
        <w:pStyle w:val="ListParagraph"/>
        <w:spacing w:lineRule="auto" w:line="360" w:before="120" w:after="0"/>
        <w:ind w:left="0" w:hanging="0"/>
        <w:jc w:val="both"/>
        <w:rPr/>
      </w:pPr>
      <w:r>
        <w:drawing>
          <wp:anchor behindDoc="0" distT="0" distB="0" distL="114300" distR="120650" simplePos="0" locked="0" layoutInCell="1" allowOverlap="1" relativeHeight="16">
            <wp:simplePos x="0" y="0"/>
            <wp:positionH relativeFrom="margin">
              <wp:posOffset>510540</wp:posOffset>
            </wp:positionH>
            <wp:positionV relativeFrom="paragraph">
              <wp:posOffset>2026285</wp:posOffset>
            </wp:positionV>
            <wp:extent cx="4394835" cy="2143125"/>
            <wp:effectExtent l="0" t="0" r="0" b="0"/>
            <wp:wrapTight wrapText="bothSides">
              <wp:wrapPolygon edited="0">
                <wp:start x="2045" y="0"/>
                <wp:lineTo x="-17" y="189"/>
                <wp:lineTo x="-17" y="21294"/>
                <wp:lineTo x="10572" y="21294"/>
                <wp:lineTo x="21534" y="20144"/>
                <wp:lineTo x="21534" y="382"/>
                <wp:lineTo x="3543" y="0"/>
                <wp:lineTo x="2045" y="0"/>
              </wp:wrapPolygon>
            </wp:wrapTight>
            <wp:docPr id="5" name="Imagem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28" descr=""/>
                    <pic:cNvPicPr>
                      <a:picLocks noChangeAspect="1" noChangeArrowheads="1"/>
                    </pic:cNvPicPr>
                  </pic:nvPicPr>
                  <pic:blipFill>
                    <a:blip r:embed="rId6"/>
                    <a:stretch>
                      <a:fillRect/>
                    </a:stretch>
                  </pic:blipFill>
                  <pic:spPr bwMode="auto">
                    <a:xfrm>
                      <a:off x="0" y="0"/>
                      <a:ext cx="4394835" cy="2143125"/>
                    </a:xfrm>
                    <a:prstGeom prst="rect">
                      <a:avLst/>
                    </a:prstGeom>
                  </pic:spPr>
                </pic:pic>
              </a:graphicData>
            </a:graphic>
          </wp:anchor>
        </w:drawing>
      </w:r>
      <w:r>
        <w:rPr>
          <w:rFonts w:cs="Arial" w:ascii="Arial" w:hAnsi="Arial"/>
          <w:sz w:val="20"/>
          <w:szCs w:val="20"/>
          <w:lang w:val="en-GB"/>
        </w:rPr>
        <w:t>W</w:t>
      </w:r>
      <w:r>
        <w:rPr>
          <w:rFonts w:cs="Arial" w:ascii="Arial" w:hAnsi="Arial"/>
          <w:sz w:val="20"/>
          <w:szCs w:val="20"/>
          <w:lang w:val="en-GB"/>
        </w:rPr>
        <w:t>hen I applied Phenytoin and Valproate in the food at previously published concentration throughout larval life (see Methods for details), I found a significant decrease in T</w:t>
      </w:r>
      <w:r>
        <w:rPr>
          <w:rFonts w:cs="Arial" w:ascii="Arial" w:hAnsi="Arial"/>
          <w:sz w:val="20"/>
          <w:szCs w:val="20"/>
          <w:vertAlign w:val="subscript"/>
          <w:lang w:val="en-GB"/>
        </w:rPr>
        <w:t>Rec</w:t>
      </w:r>
      <w:r>
        <w:rPr>
          <w:rFonts w:cs="Arial" w:ascii="Arial" w:hAnsi="Arial"/>
          <w:sz w:val="20"/>
          <w:szCs w:val="20"/>
          <w:lang w:val="en-GB"/>
        </w:rPr>
        <w:t xml:space="preserve"> of </w:t>
      </w:r>
      <w:r>
        <w:rPr>
          <w:rFonts w:cs="Arial" w:ascii="Arial" w:hAnsi="Arial"/>
          <w:i/>
          <w:sz w:val="20"/>
          <w:szCs w:val="20"/>
          <w:lang w:val="en-GB"/>
        </w:rPr>
        <w:t>Eb1</w:t>
      </w:r>
      <w:r>
        <w:rPr>
          <w:rFonts w:cs="Arial" w:ascii="Arial" w:hAnsi="Arial"/>
          <w:i/>
          <w:sz w:val="20"/>
          <w:szCs w:val="20"/>
          <w:vertAlign w:val="superscript"/>
          <w:lang w:val="en-GB"/>
        </w:rPr>
        <w:t>04524/+</w:t>
      </w:r>
      <w:r>
        <w:rPr>
          <w:rFonts w:cs="Arial" w:ascii="Arial" w:hAnsi="Arial"/>
          <w:i/>
          <w:sz w:val="20"/>
          <w:szCs w:val="20"/>
          <w:lang w:val="en-GB"/>
        </w:rPr>
        <w:t>msps</w:t>
      </w:r>
      <w:r>
        <w:rPr>
          <w:rFonts w:cs="Arial" w:ascii="Arial" w:hAnsi="Arial"/>
          <w:i/>
          <w:sz w:val="20"/>
          <w:szCs w:val="20"/>
          <w:vertAlign w:val="superscript"/>
          <w:lang w:val="en-GB"/>
        </w:rPr>
        <w:t>1/+</w:t>
      </w:r>
      <w:r>
        <w:rPr>
          <w:rFonts w:cs="Arial" w:ascii="Arial" w:hAnsi="Arial"/>
          <w:i/>
          <w:sz w:val="20"/>
          <w:szCs w:val="20"/>
          <w:lang w:val="en-GB"/>
        </w:rPr>
        <w:t>tau</w:t>
      </w:r>
      <w:r>
        <w:rPr>
          <w:rFonts w:cs="Arial" w:ascii="Arial" w:hAnsi="Arial"/>
          <w:i/>
          <w:sz w:val="20"/>
          <w:szCs w:val="20"/>
          <w:vertAlign w:val="superscript"/>
          <w:lang w:val="en-GB"/>
        </w:rPr>
        <w:t>ko/+</w:t>
      </w:r>
      <w:r>
        <w:rPr>
          <w:rFonts w:cs="Arial" w:ascii="Arial" w:hAnsi="Arial"/>
          <w:sz w:val="20"/>
          <w:szCs w:val="20"/>
          <w:lang w:val="en-GB"/>
        </w:rPr>
        <w:t xml:space="preserve"> larvae with both drugs (Fig3.a,b). Mutant larvae fed with the AEDs are not completely cured relative to wild-type, but they are significantly reduced by ~ </w:t>
      </w:r>
      <w:r>
        <w:rPr>
          <w:rFonts w:cs="Arial" w:ascii="Arial" w:hAnsi="Arial"/>
          <w:b/>
          <w:sz w:val="20"/>
          <w:szCs w:val="20"/>
          <w:lang w:val="en-GB"/>
        </w:rPr>
        <w:t>51.7</w:t>
      </w:r>
      <w:r>
        <w:rPr>
          <w:rFonts w:cs="Arial" w:ascii="Arial" w:hAnsi="Arial"/>
          <w:sz w:val="20"/>
          <w:szCs w:val="20"/>
          <w:lang w:val="en-GB"/>
        </w:rPr>
        <w:t>% for phenytoin and ~</w:t>
      </w:r>
      <w:r>
        <w:rPr>
          <w:rFonts w:cs="Arial" w:ascii="Arial" w:hAnsi="Arial"/>
          <w:b/>
          <w:sz w:val="20"/>
          <w:szCs w:val="20"/>
          <w:lang w:val="en-GB"/>
        </w:rPr>
        <w:t>38.9</w:t>
      </w:r>
      <w:r>
        <w:rPr>
          <w:rFonts w:cs="Arial" w:ascii="Arial" w:hAnsi="Arial"/>
          <w:sz w:val="20"/>
          <w:szCs w:val="20"/>
          <w:lang w:val="en-GB"/>
        </w:rPr>
        <w:t xml:space="preserve">% for valproate (Fig3.b), as has similarly been reported for picrotoxin-treated larvae, which have seizure-like phenotype induced by this proconvulsant drug </w:t>
      </w:r>
      <w:r>
        <w:fldChar w:fldCharType="begin"/>
      </w:r>
      <w:r>
        <w:rPr/>
        <w:instrText>ADDIN EN.CITE</w:instrText>
      </w:r>
      <w:r>
        <w:rPr/>
        <w:fldChar w:fldCharType="separate"/>
      </w:r>
      <w:bookmarkStart w:id="81" w:name="__Fieldmark__1570_4090835577"/>
      <w:r>
        <w:rPr/>
      </w:r>
      <w:r>
        <w:rPr/>
      </w:r>
      <w:r>
        <w:rPr/>
        <w:fldChar w:fldCharType="end"/>
      </w:r>
      <w:r>
        <w:fldChar w:fldCharType="begin"/>
      </w:r>
      <w:r>
        <w:rPr/>
        <w:instrText>ADDIN EN.CITE.DATA</w:instrText>
      </w:r>
      <w:r>
        <w:rPr/>
        <w:fldChar w:fldCharType="separate"/>
      </w:r>
      <w:bookmarkStart w:id="82" w:name="__Fieldmark__1569_4090835577"/>
      <w:bookmarkEnd w:id="81"/>
      <w:r>
        <w:rPr/>
      </w:r>
      <w:r>
        <w:rPr>
          <w:rFonts w:cs="Arial" w:ascii="Arial" w:hAnsi="Arial"/>
          <w:sz w:val="20"/>
          <w:szCs w:val="20"/>
          <w:lang w:val="en-GB"/>
        </w:rPr>
        <w:t>(Stilwell et al., 2006)</w:t>
      </w:r>
      <w:r>
        <w:rPr/>
      </w:r>
      <w:r>
        <w:rPr/>
        <w:fldChar w:fldCharType="end"/>
      </w:r>
      <w:hyperlink w:anchor="_ENREF_79" w:tgtFrame="Stilwell, 2006 #72">
        <w:bookmarkEnd w:id="82"/>
        <w:r>
          <w:rPr>
            <w:rFonts w:cs="Arial" w:ascii="Arial" w:hAnsi="Arial"/>
            <w:sz w:val="20"/>
            <w:szCs w:val="20"/>
            <w:lang w:val="en-GB"/>
          </w:rPr>
          <w:t xml:space="preserve">. This result provides a strong indication that prolonged seizures in </w:t>
        </w:r>
      </w:hyperlink>
      <w:r>
        <w:rPr>
          <w:rFonts w:cs="Arial" w:ascii="Arial" w:hAnsi="Arial"/>
          <w:i/>
          <w:sz w:val="20"/>
          <w:szCs w:val="20"/>
          <w:lang w:val="en-GB"/>
        </w:rPr>
        <w:t>Eb1</w:t>
      </w:r>
      <w:r>
        <w:rPr>
          <w:rFonts w:cs="Arial" w:ascii="Arial" w:hAnsi="Arial"/>
          <w:i/>
          <w:sz w:val="20"/>
          <w:szCs w:val="20"/>
          <w:vertAlign w:val="superscript"/>
          <w:lang w:val="en-GB"/>
        </w:rPr>
        <w:t>04524/+</w:t>
      </w:r>
      <w:r>
        <w:rPr>
          <w:rFonts w:cs="Arial" w:ascii="Arial" w:hAnsi="Arial"/>
          <w:i/>
          <w:sz w:val="20"/>
          <w:szCs w:val="20"/>
          <w:lang w:val="en-GB"/>
        </w:rPr>
        <w:t>msps</w:t>
      </w:r>
      <w:r>
        <w:rPr>
          <w:rFonts w:cs="Arial" w:ascii="Arial" w:hAnsi="Arial"/>
          <w:i/>
          <w:sz w:val="20"/>
          <w:szCs w:val="20"/>
          <w:vertAlign w:val="superscript"/>
          <w:lang w:val="en-GB"/>
        </w:rPr>
        <w:t>1/+</w:t>
      </w:r>
      <w:r>
        <w:rPr>
          <w:rFonts w:cs="Arial" w:ascii="Arial" w:hAnsi="Arial"/>
          <w:i/>
          <w:sz w:val="20"/>
          <w:szCs w:val="20"/>
          <w:lang w:val="en-GB"/>
        </w:rPr>
        <w:t>tau</w:t>
      </w:r>
      <w:r>
        <w:rPr>
          <w:rFonts w:cs="Arial" w:ascii="Arial" w:hAnsi="Arial"/>
          <w:i/>
          <w:sz w:val="20"/>
          <w:szCs w:val="20"/>
          <w:vertAlign w:val="superscript"/>
          <w:lang w:val="en-GB"/>
        </w:rPr>
        <w:t>ko/+</w:t>
      </w:r>
      <w:r>
        <w:rPr>
          <w:rFonts w:cs="Arial" w:ascii="Arial" w:hAnsi="Arial"/>
          <w:sz w:val="20"/>
          <w:szCs w:val="20"/>
          <w:lang w:val="en-GB"/>
        </w:rPr>
        <w:t xml:space="preserve"> larvae reflect an epilepsy-like condition based on a novel mechanism that might be relevant to human health, too.</w:t>
      </w:r>
    </w:p>
    <w:p>
      <w:pPr>
        <w:pStyle w:val="Normal"/>
        <w:spacing w:lineRule="auto" w:line="360" w:before="120" w:after="0"/>
        <w:jc w:val="both"/>
        <w:rPr>
          <w:rFonts w:ascii="Arial" w:hAnsi="Arial" w:cs="Arial"/>
          <w:b/>
          <w:b/>
          <w:sz w:val="18"/>
          <w:szCs w:val="18"/>
          <w:lang w:val="en-GB"/>
        </w:rPr>
      </w:pPr>
      <w:r>
        <w:rPr>
          <w:rFonts w:cs="Arial" w:ascii="Arial" w:hAnsi="Arial"/>
          <w:b/>
          <w:sz w:val="18"/>
          <w:szCs w:val="18"/>
          <w:lang w:val="en-GB"/>
        </w:rPr>
      </w:r>
    </w:p>
    <w:p>
      <w:pPr>
        <w:pStyle w:val="Normal"/>
        <w:spacing w:lineRule="auto" w:line="240" w:before="120" w:after="0"/>
        <w:jc w:val="both"/>
        <w:rPr>
          <w:rFonts w:ascii="Arial" w:hAnsi="Arial" w:cs="Arial"/>
          <w:sz w:val="20"/>
          <w:szCs w:val="20"/>
          <w:lang w:val="en-GB"/>
        </w:rPr>
      </w:pPr>
      <w:r>
        <w:rPr>
          <w:rFonts w:cs="Arial" w:ascii="Arial" w:hAnsi="Arial"/>
          <w:b/>
          <w:sz w:val="18"/>
          <w:szCs w:val="18"/>
          <w:lang w:val="en-GB"/>
        </w:rPr>
        <w:t xml:space="preserve">Fig. 3: Antiepileptic drugs rescue seizure-like behaviour in triple heterozygous </w:t>
      </w:r>
      <w:r>
        <w:rPr>
          <w:rFonts w:cs="Arial" w:ascii="Arial" w:hAnsi="Arial"/>
          <w:b/>
          <w:i/>
          <w:sz w:val="18"/>
          <w:szCs w:val="18"/>
          <w:lang w:val="en-GB"/>
        </w:rPr>
        <w:t>Eb1</w:t>
      </w:r>
      <w:r>
        <w:rPr>
          <w:rFonts w:cs="Arial" w:ascii="Arial" w:hAnsi="Arial"/>
          <w:b/>
          <w:i/>
          <w:sz w:val="18"/>
          <w:szCs w:val="18"/>
          <w:vertAlign w:val="superscript"/>
          <w:lang w:val="en-GB"/>
        </w:rPr>
        <w:t>04524/+</w:t>
      </w:r>
      <w:r>
        <w:rPr>
          <w:rFonts w:cs="Arial" w:ascii="Arial" w:hAnsi="Arial"/>
          <w:b/>
          <w:i/>
          <w:sz w:val="18"/>
          <w:szCs w:val="18"/>
          <w:lang w:val="en-GB"/>
        </w:rPr>
        <w:t xml:space="preserve"> msps</w:t>
      </w:r>
      <w:r>
        <w:rPr>
          <w:rFonts w:cs="Arial" w:ascii="Arial" w:hAnsi="Arial"/>
          <w:b/>
          <w:i/>
          <w:sz w:val="18"/>
          <w:szCs w:val="18"/>
          <w:vertAlign w:val="superscript"/>
          <w:lang w:val="en-GB"/>
        </w:rPr>
        <w:t>1/+</w:t>
      </w:r>
      <w:r>
        <w:rPr>
          <w:rFonts w:cs="Arial" w:ascii="Arial" w:hAnsi="Arial"/>
          <w:b/>
          <w:i/>
          <w:sz w:val="18"/>
          <w:szCs w:val="18"/>
          <w:lang w:val="en-GB"/>
        </w:rPr>
        <w:t xml:space="preserve"> tau</w:t>
      </w:r>
      <w:r>
        <w:rPr>
          <w:rFonts w:cs="Arial" w:ascii="Arial" w:hAnsi="Arial"/>
          <w:b/>
          <w:i/>
          <w:sz w:val="18"/>
          <w:szCs w:val="18"/>
          <w:vertAlign w:val="superscript"/>
          <w:lang w:val="en-GB"/>
        </w:rPr>
        <w:t>ko/+</w:t>
      </w:r>
      <w:r>
        <w:rPr>
          <w:rFonts w:cs="Arial" w:ascii="Arial" w:hAnsi="Arial"/>
          <w:b/>
          <w:i/>
          <w:sz w:val="18"/>
          <w:szCs w:val="18"/>
          <w:lang w:val="en-GB"/>
        </w:rPr>
        <w:t xml:space="preserve"> </w:t>
      </w:r>
      <w:r>
        <w:rPr>
          <w:rFonts w:cs="Arial" w:ascii="Arial" w:hAnsi="Arial"/>
          <w:b/>
          <w:sz w:val="18"/>
          <w:szCs w:val="18"/>
          <w:lang w:val="en-GB"/>
        </w:rPr>
        <w:t>larvae.</w:t>
      </w:r>
      <w:r>
        <w:rPr>
          <w:rFonts w:cs="Arial" w:ascii="Arial" w:hAnsi="Arial"/>
          <w:sz w:val="18"/>
          <w:szCs w:val="18"/>
          <w:lang w:val="en-GB"/>
        </w:rPr>
        <w:t xml:space="preserve"> Both experiments use </w:t>
      </w:r>
      <w:r>
        <w:rPr>
          <w:rFonts w:cs="Arial" w:ascii="Arial" w:hAnsi="Arial"/>
          <w:i/>
          <w:sz w:val="18"/>
          <w:szCs w:val="18"/>
          <w:lang w:val="en-GB"/>
        </w:rPr>
        <w:t>para</w:t>
      </w:r>
      <w:r>
        <w:rPr>
          <w:rFonts w:cs="Arial" w:ascii="Arial" w:hAnsi="Arial"/>
          <w:i/>
          <w:sz w:val="18"/>
          <w:szCs w:val="18"/>
          <w:vertAlign w:val="superscript"/>
          <w:lang w:val="en-GB"/>
        </w:rPr>
        <w:t>bss1</w:t>
      </w:r>
      <w:r>
        <w:rPr>
          <w:rFonts w:cs="Arial" w:ascii="Arial" w:hAnsi="Arial"/>
          <w:i/>
          <w:sz w:val="18"/>
          <w:szCs w:val="18"/>
          <w:lang w:val="en-GB"/>
        </w:rPr>
        <w:t xml:space="preserve"> </w:t>
      </w:r>
      <w:r>
        <w:rPr>
          <w:rFonts w:cs="Arial" w:ascii="Arial" w:hAnsi="Arial"/>
          <w:sz w:val="18"/>
          <w:szCs w:val="18"/>
          <w:lang w:val="en-GB"/>
        </w:rPr>
        <w:t>and Oregon-R larvae as controls. Reduced T</w:t>
      </w:r>
      <w:r>
        <w:rPr>
          <w:rFonts w:cs="Arial" w:ascii="Arial" w:hAnsi="Arial"/>
          <w:sz w:val="18"/>
          <w:szCs w:val="18"/>
          <w:vertAlign w:val="subscript"/>
          <w:lang w:val="en-GB"/>
        </w:rPr>
        <w:t>Rec</w:t>
      </w:r>
      <w:r>
        <w:rPr>
          <w:rFonts w:cs="Arial" w:ascii="Arial" w:hAnsi="Arial"/>
          <w:sz w:val="18"/>
          <w:szCs w:val="18"/>
          <w:lang w:val="en-GB"/>
        </w:rPr>
        <w:t xml:space="preserve"> of triple-heterozygous fed in phenytoin (a) and valproate (b) (n=15, n=30 respectively) compare to triple-heterozygous L3 larvae fed in standard cornmeal media (n=50). Each bars shows the mean T</w:t>
      </w:r>
      <w:r>
        <w:rPr>
          <w:rFonts w:cs="Arial" w:ascii="Arial" w:hAnsi="Arial"/>
          <w:sz w:val="18"/>
          <w:szCs w:val="18"/>
          <w:vertAlign w:val="subscript"/>
          <w:lang w:val="en-GB"/>
        </w:rPr>
        <w:t>Rec</w:t>
      </w:r>
      <w:r>
        <w:rPr>
          <w:rFonts w:cs="Arial" w:ascii="Arial" w:hAnsi="Arial"/>
          <w:sz w:val="18"/>
          <w:szCs w:val="18"/>
          <w:lang w:val="en-GB"/>
        </w:rPr>
        <w:t>, error bars indicate SD, **** p&lt;0.0001, ** p&lt;0.01, * p&lt;0.05.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triple-cornmeal-media</w:t>
      </w:r>
      <w:r>
        <w:rPr>
          <w:rFonts w:cs="Arial" w:ascii="Arial" w:hAnsi="Arial"/>
          <w:sz w:val="18"/>
          <w:szCs w:val="18"/>
          <w:lang w:val="en-GB"/>
        </w:rPr>
        <w:t>: 127.3s ± 53.25SD,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triple-Phy</w:t>
      </w:r>
      <w:r>
        <w:rPr>
          <w:rFonts w:cs="Arial" w:ascii="Arial" w:hAnsi="Arial"/>
          <w:sz w:val="18"/>
          <w:szCs w:val="18"/>
          <w:lang w:val="en-GB"/>
        </w:rPr>
        <w:t>: 65.8s ± 30SD; P</w:t>
      </w:r>
      <w:r>
        <w:rPr>
          <w:rFonts w:cs="Arial" w:ascii="Arial" w:hAnsi="Arial"/>
          <w:sz w:val="18"/>
          <w:szCs w:val="18"/>
          <w:vertAlign w:val="subscript"/>
          <w:lang w:val="en-GB"/>
        </w:rPr>
        <w:t>MW</w:t>
      </w:r>
      <w:r>
        <w:rPr>
          <w:rFonts w:cs="Arial" w:ascii="Arial" w:hAnsi="Arial"/>
          <w:sz w:val="18"/>
          <w:szCs w:val="18"/>
          <w:lang w:val="en-GB"/>
        </w:rPr>
        <w:t xml:space="preserve"> &lt; 0.0001; Fig3.a) and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triple-cornmeal-media</w:t>
      </w:r>
      <w:r>
        <w:rPr>
          <w:rFonts w:cs="Arial" w:ascii="Arial" w:hAnsi="Arial"/>
          <w:sz w:val="18"/>
          <w:szCs w:val="18"/>
          <w:lang w:val="en-GB"/>
        </w:rPr>
        <w:t>: 127.3s ± 53.25SD,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triple-Val</w:t>
      </w:r>
      <w:r>
        <w:rPr>
          <w:rFonts w:cs="Arial" w:ascii="Arial" w:hAnsi="Arial"/>
          <w:sz w:val="18"/>
          <w:szCs w:val="18"/>
          <w:lang w:val="en-GB"/>
        </w:rPr>
        <w:t>: 49.47s ± 21.68SD; P</w:t>
      </w:r>
      <w:r>
        <w:rPr>
          <w:rFonts w:cs="Arial" w:ascii="Arial" w:hAnsi="Arial"/>
          <w:sz w:val="18"/>
          <w:szCs w:val="18"/>
          <w:vertAlign w:val="subscript"/>
          <w:lang w:val="en-GB"/>
        </w:rPr>
        <w:t>MW</w:t>
      </w:r>
      <w:r>
        <w:rPr>
          <w:rFonts w:cs="Arial" w:ascii="Arial" w:hAnsi="Arial"/>
          <w:sz w:val="18"/>
          <w:szCs w:val="18"/>
          <w:lang w:val="en-GB"/>
        </w:rPr>
        <w:t xml:space="preserve"> &lt; 0.0001;T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wt</w:t>
      </w:r>
      <w:r>
        <w:rPr>
          <w:rFonts w:cs="Arial" w:ascii="Arial" w:hAnsi="Arial"/>
          <w:sz w:val="18"/>
          <w:szCs w:val="18"/>
          <w:lang w:val="en-GB"/>
        </w:rPr>
        <w:t>: 36.86 ± 16.84,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triple-Phy</w:t>
      </w:r>
      <w:r>
        <w:rPr>
          <w:rFonts w:cs="Arial" w:ascii="Arial" w:hAnsi="Arial"/>
          <w:sz w:val="18"/>
          <w:szCs w:val="18"/>
          <w:lang w:val="en-GB"/>
        </w:rPr>
        <w:t>: 65.8s ± 30SD; P</w:t>
      </w:r>
      <w:r>
        <w:rPr>
          <w:rFonts w:cs="Arial" w:ascii="Arial" w:hAnsi="Arial"/>
          <w:sz w:val="18"/>
          <w:szCs w:val="18"/>
          <w:vertAlign w:val="subscript"/>
          <w:lang w:val="en-GB"/>
        </w:rPr>
        <w:t xml:space="preserve">MW </w:t>
      </w:r>
      <w:r>
        <w:rPr>
          <w:rFonts w:cs="Arial" w:ascii="Arial" w:hAnsi="Arial"/>
          <w:b/>
          <w:sz w:val="18"/>
          <w:szCs w:val="18"/>
          <w:lang w:val="en-GB"/>
        </w:rPr>
        <w:t>= 0.0013</w:t>
      </w:r>
      <w:r>
        <w:rPr>
          <w:rFonts w:cs="Arial" w:ascii="Arial" w:hAnsi="Arial"/>
          <w:sz w:val="18"/>
          <w:szCs w:val="18"/>
          <w:lang w:val="en-GB"/>
        </w:rPr>
        <w:t>; Fig3.a)</w:t>
      </w:r>
      <w:r>
        <w:rPr>
          <w:rFonts w:cs="Arial" w:ascii="Arial" w:hAnsi="Arial"/>
          <w:b/>
          <w:sz w:val="18"/>
          <w:szCs w:val="18"/>
          <w:lang w:val="en-GB"/>
        </w:rPr>
        <w:t xml:space="preserve"> and </w:t>
      </w:r>
      <w:r>
        <w:rPr>
          <w:rFonts w:cs="Arial" w:ascii="Arial" w:hAnsi="Arial"/>
          <w:sz w:val="18"/>
          <w:szCs w:val="18"/>
          <w:lang w:val="en-GB"/>
        </w:rPr>
        <w:t>(T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wt</w:t>
      </w:r>
      <w:r>
        <w:rPr>
          <w:rFonts w:cs="Arial" w:ascii="Arial" w:hAnsi="Arial"/>
          <w:sz w:val="18"/>
          <w:szCs w:val="18"/>
          <w:lang w:val="en-GB"/>
        </w:rPr>
        <w:t>: 36.86 ± 16.84s,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triple-Val</w:t>
      </w:r>
      <w:r>
        <w:rPr>
          <w:rFonts w:cs="Arial" w:ascii="Arial" w:hAnsi="Arial"/>
          <w:sz w:val="18"/>
          <w:szCs w:val="18"/>
          <w:lang w:val="en-GB"/>
        </w:rPr>
        <w:t>: 49.47s ± 21.68SD; P</w:t>
      </w:r>
      <w:r>
        <w:rPr>
          <w:rFonts w:cs="Arial" w:ascii="Arial" w:hAnsi="Arial"/>
          <w:sz w:val="18"/>
          <w:szCs w:val="18"/>
          <w:vertAlign w:val="subscript"/>
          <w:lang w:val="en-GB"/>
        </w:rPr>
        <w:t xml:space="preserve">MW </w:t>
      </w:r>
      <w:r>
        <w:rPr>
          <w:rFonts w:cs="Arial" w:ascii="Arial" w:hAnsi="Arial"/>
          <w:b/>
          <w:sz w:val="18"/>
          <w:szCs w:val="18"/>
          <w:lang w:val="en-GB"/>
        </w:rPr>
        <w:t>= 0.0388</w:t>
      </w:r>
      <w:r>
        <w:rPr>
          <w:rFonts w:cs="Arial" w:ascii="Arial" w:hAnsi="Arial"/>
          <w:sz w:val="18"/>
          <w:szCs w:val="18"/>
          <w:lang w:val="en-GB"/>
        </w:rPr>
        <w:t>)</w:t>
      </w:r>
    </w:p>
    <w:p>
      <w:pPr>
        <w:pStyle w:val="ListParagraph"/>
        <w:numPr>
          <w:ilvl w:val="1"/>
          <w:numId w:val="1"/>
        </w:numPr>
        <w:spacing w:before="120" w:after="0"/>
        <w:ind w:left="426" w:hanging="426"/>
        <w:rPr>
          <w:rFonts w:ascii="Arial" w:hAnsi="Arial" w:cs="Arial"/>
          <w:sz w:val="20"/>
          <w:szCs w:val="20"/>
          <w:u w:val="single"/>
          <w:lang w:val="en-GB"/>
        </w:rPr>
      </w:pPr>
      <w:r>
        <w:rPr>
          <w:rFonts w:cs="Arial" w:ascii="Arial" w:hAnsi="Arial"/>
          <w:sz w:val="20"/>
          <w:szCs w:val="20"/>
          <w:u w:val="single"/>
          <w:lang w:val="en-GB"/>
        </w:rPr>
        <w:t xml:space="preserve">Seizure-like behaviour are caused by aberrant MT networks. </w:t>
      </w:r>
    </w:p>
    <w:p>
      <w:pPr>
        <w:pStyle w:val="Normal"/>
        <w:spacing w:lineRule="auto" w:line="360" w:before="120" w:after="0"/>
        <w:jc w:val="both"/>
        <w:rPr/>
      </w:pPr>
      <w:r>
        <w:rPr>
          <w:rFonts w:cs="Arial" w:ascii="Arial" w:hAnsi="Arial"/>
          <w:sz w:val="20"/>
          <w:szCs w:val="20"/>
          <w:lang w:val="en-GB"/>
        </w:rPr>
        <w:t xml:space="preserve">Eb1, Tau and Msps are all MT-regulating proteins that are important for the maintenance of MT bundles (personal communication I.Hahn), suggesting that seizure-like phenotypes are caused by aberrant MT networks. To test this hypothesis, I fed low doses of the MT-stabilising drug Epothilone B </w:t>
      </w:r>
      <w:r>
        <w:fldChar w:fldCharType="begin"/>
      </w:r>
      <w:r>
        <w:rPr/>
        <w:instrText>ADDIN EN.CITE</w:instrText>
      </w:r>
      <w:r>
        <w:rPr/>
        <w:fldChar w:fldCharType="separate"/>
      </w:r>
      <w:bookmarkStart w:id="83" w:name="__Fieldmark__1663_4090835577"/>
      <w:r>
        <w:rPr/>
      </w:r>
      <w:r>
        <w:rPr/>
      </w:r>
      <w:r>
        <w:rPr/>
        <w:fldChar w:fldCharType="end"/>
      </w:r>
      <w:r>
        <w:fldChar w:fldCharType="begin"/>
      </w:r>
      <w:r>
        <w:rPr/>
        <w:instrText>ADDIN EN.CITE.DATA</w:instrText>
      </w:r>
      <w:r>
        <w:rPr/>
        <w:fldChar w:fldCharType="separate"/>
      </w:r>
      <w:bookmarkStart w:id="84" w:name="__Fieldmark__1662_4090835577"/>
      <w:bookmarkEnd w:id="83"/>
      <w:r>
        <w:rPr/>
      </w:r>
      <w:r>
        <w:rPr>
          <w:rFonts w:cs="Arial" w:ascii="Arial" w:hAnsi="Arial"/>
          <w:sz w:val="20"/>
          <w:szCs w:val="20"/>
          <w:lang w:val="en-GB"/>
        </w:rPr>
        <w:t>(Nabors et al., 2016; Voelzmann et al., 2016)</w:t>
      </w:r>
      <w:r>
        <w:rPr/>
      </w:r>
      <w:r>
        <w:rPr/>
        <w:fldChar w:fldCharType="end"/>
      </w:r>
      <w:hyperlink w:anchor="_ENREF_81" w:tgtFrame="Voelzmann, 2016 #41">
        <w:bookmarkEnd w:id="84"/>
        <w:r>
          <w:rPr>
            <w:rFonts w:cs="Arial" w:ascii="Arial" w:hAnsi="Arial"/>
            <w:color w:val="C00000"/>
            <w:sz w:val="20"/>
            <w:szCs w:val="20"/>
            <w:lang w:val="en-GB"/>
          </w:rPr>
          <w:t xml:space="preserve"> </w:t>
        </w:r>
      </w:hyperlink>
      <w:r>
        <w:rPr>
          <w:rFonts w:cs="Arial" w:ascii="Arial" w:hAnsi="Arial"/>
          <w:sz w:val="20"/>
          <w:szCs w:val="20"/>
          <w:lang w:val="en-GB"/>
        </w:rPr>
        <w:t xml:space="preserve">to </w:t>
      </w:r>
      <w:r>
        <w:rPr>
          <w:rFonts w:cs="Arial" w:ascii="Arial" w:hAnsi="Arial"/>
          <w:b/>
          <w:i/>
          <w:sz w:val="20"/>
          <w:szCs w:val="20"/>
          <w:lang w:val="en-GB"/>
        </w:rPr>
        <w:t>Eb1</w:t>
      </w:r>
      <w:r>
        <w:rPr>
          <w:rFonts w:cs="Arial" w:ascii="Arial" w:hAnsi="Arial"/>
          <w:b/>
          <w:i/>
          <w:sz w:val="20"/>
          <w:szCs w:val="20"/>
          <w:vertAlign w:val="superscript"/>
          <w:lang w:val="en-GB"/>
        </w:rPr>
        <w:t>04524/+</w:t>
      </w:r>
      <w:r>
        <w:rPr>
          <w:rFonts w:cs="Arial" w:ascii="Arial" w:hAnsi="Arial"/>
          <w:b/>
          <w:i/>
          <w:sz w:val="20"/>
          <w:szCs w:val="20"/>
          <w:lang w:val="en-GB"/>
        </w:rPr>
        <w:t xml:space="preserve"> msps</w:t>
      </w:r>
      <w:r>
        <w:rPr>
          <w:rFonts w:cs="Arial" w:ascii="Arial" w:hAnsi="Arial"/>
          <w:b/>
          <w:i/>
          <w:sz w:val="20"/>
          <w:szCs w:val="20"/>
          <w:vertAlign w:val="superscript"/>
          <w:lang w:val="en-GB"/>
        </w:rPr>
        <w:t>1/+</w:t>
      </w:r>
      <w:r>
        <w:rPr>
          <w:rFonts w:cs="Arial" w:ascii="Arial" w:hAnsi="Arial"/>
          <w:b/>
          <w:i/>
          <w:sz w:val="20"/>
          <w:szCs w:val="20"/>
          <w:lang w:val="en-GB"/>
        </w:rPr>
        <w:t xml:space="preserve"> tau</w:t>
      </w:r>
      <w:r>
        <w:rPr>
          <w:rFonts w:cs="Arial" w:ascii="Arial" w:hAnsi="Arial"/>
          <w:b/>
          <w:i/>
          <w:sz w:val="20"/>
          <w:szCs w:val="20"/>
          <w:vertAlign w:val="superscript"/>
          <w:lang w:val="en-GB"/>
        </w:rPr>
        <w:t>ko/+</w:t>
      </w:r>
      <w:r>
        <w:rPr>
          <w:rFonts w:cs="Arial" w:ascii="Arial" w:hAnsi="Arial"/>
          <w:b/>
          <w:i/>
          <w:sz w:val="18"/>
          <w:szCs w:val="18"/>
          <w:lang w:val="en-GB"/>
        </w:rPr>
        <w:t xml:space="preserve"> </w:t>
      </w:r>
      <w:r>
        <w:rPr>
          <w:rFonts w:cs="Arial" w:ascii="Arial" w:hAnsi="Arial"/>
          <w:sz w:val="20"/>
          <w:szCs w:val="20"/>
          <w:lang w:val="en-GB"/>
        </w:rPr>
        <w:t xml:space="preserve">larvae throughout larval life (see Methods). In these experiments I observed a significant amelioration of the seizure-like phenotype by </w:t>
      </w:r>
      <w:r>
        <w:rPr>
          <w:rFonts w:cs="Arial" w:ascii="Arial" w:hAnsi="Arial"/>
          <w:b/>
          <w:sz w:val="20"/>
          <w:szCs w:val="20"/>
          <w:lang w:val="en-GB"/>
        </w:rPr>
        <w:t>44</w:t>
      </w:r>
      <w:r>
        <w:rPr>
          <w:rFonts w:cs="Arial" w:ascii="Arial" w:hAnsi="Arial"/>
          <w:sz w:val="20"/>
          <w:szCs w:val="20"/>
          <w:lang w:val="en-GB"/>
        </w:rPr>
        <w:t>% (Fig.4)</w:t>
      </w:r>
      <w:r>
        <w:rPr>
          <w:rFonts w:cs="Arial" w:ascii="Arial" w:hAnsi="Arial"/>
          <w:sz w:val="18"/>
          <w:szCs w:val="18"/>
          <w:lang w:val="en-GB"/>
        </w:rPr>
        <w:t xml:space="preserve">. </w:t>
      </w:r>
      <w:r>
        <w:rPr>
          <w:rFonts w:cs="Arial" w:ascii="Arial" w:hAnsi="Arial"/>
          <w:sz w:val="20"/>
          <w:szCs w:val="20"/>
          <w:lang w:val="en-GB"/>
        </w:rPr>
        <w:t>However, the tested larvae have a T</w:t>
      </w:r>
      <w:r>
        <w:rPr>
          <w:rFonts w:cs="Arial" w:ascii="Arial" w:hAnsi="Arial"/>
          <w:sz w:val="20"/>
          <w:szCs w:val="20"/>
          <w:vertAlign w:val="subscript"/>
          <w:lang w:val="en-GB"/>
        </w:rPr>
        <w:t>Rec</w:t>
      </w:r>
      <w:r>
        <w:rPr>
          <w:rFonts w:cs="Arial" w:ascii="Arial" w:hAnsi="Arial"/>
          <w:sz w:val="20"/>
          <w:szCs w:val="20"/>
          <w:lang w:val="en-GB"/>
        </w:rPr>
        <w:t xml:space="preserve"> slightly enhanced compare to Oregon-R (wild-type) suggesting that the seizure-like phenotype is not completely rescued (Fig.4). These results support the hypothesis that seizure-like phenotype in </w:t>
      </w:r>
      <w:r>
        <w:rPr>
          <w:rFonts w:cs="Arial" w:ascii="Arial" w:hAnsi="Arial"/>
          <w:i/>
          <w:sz w:val="20"/>
          <w:szCs w:val="20"/>
          <w:lang w:val="en-GB"/>
        </w:rPr>
        <w:t xml:space="preserve">Drosophila </w:t>
      </w:r>
      <w:r>
        <w:rPr>
          <w:rFonts w:cs="Arial" w:ascii="Arial" w:hAnsi="Arial"/>
          <w:sz w:val="20"/>
          <w:szCs w:val="20"/>
          <w:lang w:val="en-GB"/>
        </w:rPr>
        <w:t xml:space="preserve">are due to MTs destabilisation and/or disorganisation. </w:t>
      </w:r>
    </w:p>
    <w:p>
      <w:pPr>
        <w:pStyle w:val="Normal"/>
        <w:spacing w:lineRule="auto" w:line="240" w:before="120" w:after="0"/>
        <w:jc w:val="both"/>
        <w:rPr>
          <w:rFonts w:ascii="Arial" w:hAnsi="Arial" w:cs="Arial"/>
          <w:b/>
          <w:b/>
          <w:sz w:val="18"/>
          <w:szCs w:val="18"/>
          <w:lang w:val="en-GB"/>
        </w:rPr>
      </w:pPr>
      <w:r>
        <w:drawing>
          <wp:anchor behindDoc="0" distT="0" distB="2540" distL="114300" distR="114300" simplePos="0" locked="0" layoutInCell="1" allowOverlap="1" relativeHeight="10">
            <wp:simplePos x="0" y="0"/>
            <wp:positionH relativeFrom="margin">
              <wp:posOffset>43815</wp:posOffset>
            </wp:positionH>
            <wp:positionV relativeFrom="paragraph">
              <wp:posOffset>115570</wp:posOffset>
            </wp:positionV>
            <wp:extent cx="2287905" cy="2473960"/>
            <wp:effectExtent l="0" t="0" r="0" b="0"/>
            <wp:wrapTight wrapText="bothSides">
              <wp:wrapPolygon edited="0">
                <wp:start x="-24" y="0"/>
                <wp:lineTo x="-24" y="21433"/>
                <wp:lineTo x="21399" y="21433"/>
                <wp:lineTo x="21399" y="0"/>
                <wp:lineTo x="-24" y="0"/>
              </wp:wrapPolygon>
            </wp:wrapTight>
            <wp:docPr id="6" name="Imagem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3" descr=""/>
                    <pic:cNvPicPr>
                      <a:picLocks noChangeAspect="1" noChangeArrowheads="1"/>
                    </pic:cNvPicPr>
                  </pic:nvPicPr>
                  <pic:blipFill>
                    <a:blip r:embed="rId7"/>
                    <a:stretch>
                      <a:fillRect/>
                    </a:stretch>
                  </pic:blipFill>
                  <pic:spPr bwMode="auto">
                    <a:xfrm>
                      <a:off x="0" y="0"/>
                      <a:ext cx="2287905" cy="2473960"/>
                    </a:xfrm>
                    <a:prstGeom prst="rect">
                      <a:avLst/>
                    </a:prstGeom>
                  </pic:spPr>
                </pic:pic>
              </a:graphicData>
            </a:graphic>
          </wp:anchor>
        </w:drawing>
      </w:r>
      <w:r>
        <w:rPr>
          <w:rFonts w:cs="Arial" w:ascii="Arial" w:hAnsi="Arial"/>
          <w:b/>
          <w:sz w:val="18"/>
          <w:szCs w:val="18"/>
          <w:lang w:val="en-GB"/>
        </w:rPr>
        <w:t xml:space="preserve"> </w:t>
      </w:r>
    </w:p>
    <w:p>
      <w:pPr>
        <w:pStyle w:val="Normal"/>
        <w:spacing w:lineRule="auto" w:line="240" w:before="120" w:after="0"/>
        <w:jc w:val="both"/>
        <w:rPr>
          <w:rFonts w:ascii="Arial" w:hAnsi="Arial" w:cs="Arial"/>
          <w:b/>
          <w:b/>
          <w:sz w:val="18"/>
          <w:szCs w:val="18"/>
          <w:lang w:val="en-GB"/>
        </w:rPr>
      </w:pPr>
      <w:r>
        <w:rPr>
          <w:rFonts w:cs="Arial" w:ascii="Arial" w:hAnsi="Arial"/>
          <w:b/>
          <w:sz w:val="18"/>
          <w:szCs w:val="18"/>
          <w:lang w:val="en-GB"/>
        </w:rPr>
      </w:r>
    </w:p>
    <w:p>
      <w:pPr>
        <w:pStyle w:val="Normal"/>
        <w:spacing w:lineRule="auto" w:line="240" w:before="120" w:after="0"/>
        <w:jc w:val="both"/>
        <w:rPr>
          <w:rFonts w:ascii="Arial" w:hAnsi="Arial" w:cs="Arial"/>
          <w:sz w:val="18"/>
          <w:szCs w:val="18"/>
          <w:lang w:val="en-GB"/>
        </w:rPr>
      </w:pPr>
      <w:r>
        <w:rPr>
          <w:rFonts w:cs="Arial" w:ascii="Arial" w:hAnsi="Arial"/>
          <w:b/>
          <w:sz w:val="18"/>
          <w:szCs w:val="18"/>
          <w:lang w:val="en-GB"/>
        </w:rPr>
        <w:t>Figure 4</w:t>
      </w:r>
      <w:r>
        <w:rPr>
          <w:rFonts w:cs="Arial" w:ascii="Arial" w:hAnsi="Arial"/>
          <w:sz w:val="18"/>
          <w:szCs w:val="18"/>
          <w:lang w:val="en-GB"/>
        </w:rPr>
        <w:t xml:space="preserve">: </w:t>
      </w:r>
      <w:r>
        <w:rPr>
          <w:rFonts w:cs="Arial" w:ascii="Arial" w:hAnsi="Arial"/>
          <w:b/>
          <w:sz w:val="18"/>
          <w:szCs w:val="18"/>
          <w:lang w:val="en-GB"/>
        </w:rPr>
        <w:t xml:space="preserve">Seizure-like phenotype of </w:t>
      </w:r>
      <w:r>
        <w:rPr>
          <w:rFonts w:cs="Arial" w:ascii="Arial" w:hAnsi="Arial"/>
          <w:b/>
          <w:i/>
          <w:sz w:val="18"/>
          <w:szCs w:val="18"/>
          <w:lang w:val="en-GB"/>
        </w:rPr>
        <w:t>Eb1</w:t>
      </w:r>
      <w:r>
        <w:rPr>
          <w:rFonts w:cs="Arial" w:ascii="Arial" w:hAnsi="Arial"/>
          <w:b/>
          <w:i/>
          <w:sz w:val="18"/>
          <w:szCs w:val="18"/>
          <w:vertAlign w:val="superscript"/>
          <w:lang w:val="en-GB"/>
        </w:rPr>
        <w:t>04524/+</w:t>
      </w:r>
      <w:r>
        <w:rPr>
          <w:rFonts w:cs="Arial" w:ascii="Arial" w:hAnsi="Arial"/>
          <w:b/>
          <w:i/>
          <w:sz w:val="18"/>
          <w:szCs w:val="18"/>
          <w:lang w:val="en-GB"/>
        </w:rPr>
        <w:t xml:space="preserve"> msps </w:t>
      </w:r>
      <w:r>
        <w:rPr>
          <w:rFonts w:cs="Arial" w:ascii="Arial" w:hAnsi="Arial"/>
          <w:b/>
          <w:i/>
          <w:sz w:val="18"/>
          <w:szCs w:val="18"/>
          <w:vertAlign w:val="superscript"/>
          <w:lang w:val="en-GB"/>
        </w:rPr>
        <w:t>1/+</w:t>
      </w:r>
      <w:r>
        <w:rPr>
          <w:rFonts w:cs="Arial" w:ascii="Arial" w:hAnsi="Arial"/>
          <w:b/>
          <w:i/>
          <w:sz w:val="18"/>
          <w:szCs w:val="18"/>
          <w:lang w:val="en-GB"/>
        </w:rPr>
        <w:t xml:space="preserve"> tau</w:t>
      </w:r>
      <w:r>
        <w:rPr>
          <w:rFonts w:cs="Arial" w:ascii="Arial" w:hAnsi="Arial"/>
          <w:b/>
          <w:i/>
          <w:sz w:val="18"/>
          <w:szCs w:val="18"/>
          <w:vertAlign w:val="superscript"/>
          <w:lang w:val="en-GB"/>
        </w:rPr>
        <w:t>ko/+</w:t>
      </w:r>
      <w:r>
        <w:rPr>
          <w:rFonts w:cs="Arial" w:ascii="Arial" w:hAnsi="Arial"/>
          <w:b/>
          <w:sz w:val="18"/>
          <w:szCs w:val="18"/>
          <w:lang w:val="en-GB"/>
        </w:rPr>
        <w:t xml:space="preserve"> larvae rescued by Epothilone B.</w:t>
      </w:r>
      <w:r>
        <w:rPr>
          <w:rFonts w:cs="Arial" w:ascii="Arial" w:hAnsi="Arial"/>
          <w:sz w:val="18"/>
          <w:szCs w:val="18"/>
          <w:lang w:val="en-GB"/>
        </w:rPr>
        <w:t xml:space="preserve"> </w:t>
      </w:r>
      <w:r>
        <w:rPr>
          <w:rFonts w:cs="Arial" w:ascii="Arial" w:hAnsi="Arial"/>
          <w:i/>
          <w:sz w:val="18"/>
          <w:szCs w:val="18"/>
          <w:lang w:val="en-GB"/>
        </w:rPr>
        <w:t>para</w:t>
      </w:r>
      <w:r>
        <w:rPr>
          <w:rFonts w:cs="Arial" w:ascii="Arial" w:hAnsi="Arial"/>
          <w:i/>
          <w:sz w:val="18"/>
          <w:szCs w:val="18"/>
          <w:vertAlign w:val="superscript"/>
          <w:lang w:val="en-GB"/>
        </w:rPr>
        <w:t>bss1</w:t>
      </w:r>
      <w:r>
        <w:rPr>
          <w:rFonts w:cs="Arial" w:ascii="Arial" w:hAnsi="Arial"/>
          <w:sz w:val="18"/>
          <w:szCs w:val="18"/>
          <w:lang w:val="en-GB"/>
        </w:rPr>
        <w:t xml:space="preserve"> and Oregon-R larvae were used as controls.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triple-cornmeal-media</w:t>
      </w:r>
      <w:r>
        <w:rPr>
          <w:rFonts w:cs="Arial" w:ascii="Arial" w:hAnsi="Arial"/>
          <w:sz w:val="18"/>
          <w:szCs w:val="18"/>
          <w:lang w:val="en-GB"/>
        </w:rPr>
        <w:t>: 127.3s ± 53.25SD,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triple-EpoB</w:t>
      </w:r>
      <w:r>
        <w:rPr>
          <w:rFonts w:cs="Arial" w:ascii="Arial" w:hAnsi="Arial"/>
          <w:sz w:val="18"/>
          <w:szCs w:val="18"/>
          <w:lang w:val="en-GB"/>
        </w:rPr>
        <w:t xml:space="preserve">: </w:t>
      </w:r>
      <w:r>
        <w:rPr>
          <w:rFonts w:cs="Arial" w:ascii="Arial" w:hAnsi="Arial"/>
          <w:b/>
          <w:sz w:val="18"/>
          <w:szCs w:val="18"/>
          <w:lang w:val="en-GB"/>
        </w:rPr>
        <w:t>56.13</w:t>
      </w:r>
      <w:r>
        <w:rPr>
          <w:rFonts w:cs="Arial" w:ascii="Arial" w:hAnsi="Arial"/>
          <w:sz w:val="18"/>
          <w:szCs w:val="18"/>
          <w:lang w:val="en-GB"/>
        </w:rPr>
        <w:t>s ± 28.06SD; P</w:t>
      </w:r>
      <w:r>
        <w:rPr>
          <w:rFonts w:cs="Arial" w:ascii="Arial" w:hAnsi="Arial"/>
          <w:sz w:val="18"/>
          <w:szCs w:val="18"/>
          <w:vertAlign w:val="subscript"/>
          <w:lang w:val="en-GB"/>
        </w:rPr>
        <w:t>MW</w:t>
      </w:r>
      <w:r>
        <w:rPr>
          <w:rFonts w:cs="Arial" w:ascii="Arial" w:hAnsi="Arial"/>
          <w:sz w:val="18"/>
          <w:szCs w:val="18"/>
          <w:lang w:val="en-GB"/>
        </w:rPr>
        <w:t xml:space="preserve"> &lt; </w:t>
      </w:r>
      <w:r>
        <w:rPr>
          <w:rFonts w:cs="Arial" w:ascii="Arial" w:hAnsi="Arial"/>
          <w:b/>
          <w:sz w:val="18"/>
          <w:szCs w:val="18"/>
          <w:lang w:val="en-GB"/>
        </w:rPr>
        <w:t>0.0001</w:t>
      </w:r>
      <w:r>
        <w:rPr>
          <w:rFonts w:cs="Arial" w:ascii="Arial" w:hAnsi="Arial"/>
          <w:sz w:val="18"/>
          <w:szCs w:val="18"/>
          <w:lang w:val="en-GB"/>
        </w:rPr>
        <w:t>) and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bss</w:t>
      </w:r>
      <w:r>
        <w:rPr>
          <w:rFonts w:cs="Arial" w:ascii="Arial" w:hAnsi="Arial"/>
          <w:sz w:val="18"/>
          <w:szCs w:val="18"/>
          <w:lang w:val="en-GB"/>
        </w:rPr>
        <w:t xml:space="preserve">: </w:t>
      </w:r>
      <w:r>
        <w:rPr>
          <w:rFonts w:cs="Arial" w:ascii="Arial" w:hAnsi="Arial"/>
          <w:b/>
          <w:sz w:val="18"/>
          <w:szCs w:val="18"/>
          <w:lang w:val="en-GB"/>
        </w:rPr>
        <w:t xml:space="preserve">168.1s </w:t>
      </w:r>
      <w:r>
        <w:rPr>
          <w:rFonts w:cs="Arial" w:ascii="Arial" w:hAnsi="Arial"/>
          <w:sz w:val="18"/>
          <w:szCs w:val="18"/>
          <w:lang w:val="en-GB"/>
        </w:rPr>
        <w:t>± 62.33SED,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triple-EpoB</w:t>
      </w:r>
      <w:r>
        <w:rPr>
          <w:rFonts w:cs="Arial" w:ascii="Arial" w:hAnsi="Arial"/>
          <w:sz w:val="18"/>
          <w:szCs w:val="18"/>
          <w:lang w:val="en-GB"/>
        </w:rPr>
        <w:t xml:space="preserve">: : </w:t>
      </w:r>
      <w:r>
        <w:rPr>
          <w:rFonts w:cs="Arial" w:ascii="Arial" w:hAnsi="Arial"/>
          <w:b/>
          <w:sz w:val="18"/>
          <w:szCs w:val="18"/>
          <w:lang w:val="en-GB"/>
        </w:rPr>
        <w:t>56.13</w:t>
      </w:r>
      <w:r>
        <w:rPr>
          <w:rFonts w:cs="Arial" w:ascii="Arial" w:hAnsi="Arial"/>
          <w:sz w:val="18"/>
          <w:szCs w:val="18"/>
          <w:lang w:val="en-GB"/>
        </w:rPr>
        <w:t>s ± 28.06SD; P</w:t>
      </w:r>
      <w:r>
        <w:rPr>
          <w:rFonts w:cs="Arial" w:ascii="Arial" w:hAnsi="Arial"/>
          <w:sz w:val="18"/>
          <w:szCs w:val="18"/>
          <w:vertAlign w:val="subscript"/>
          <w:lang w:val="en-GB"/>
        </w:rPr>
        <w:t>MW</w:t>
      </w:r>
      <w:r>
        <w:rPr>
          <w:rFonts w:cs="Arial" w:ascii="Arial" w:hAnsi="Arial"/>
          <w:sz w:val="18"/>
          <w:szCs w:val="18"/>
          <w:lang w:val="en-GB"/>
        </w:rPr>
        <w:t xml:space="preserve"> &lt; </w:t>
      </w:r>
      <w:r>
        <w:rPr>
          <w:rFonts w:cs="Arial" w:ascii="Arial" w:hAnsi="Arial"/>
          <w:b/>
          <w:sz w:val="18"/>
          <w:szCs w:val="18"/>
          <w:lang w:val="en-GB"/>
        </w:rPr>
        <w:t>0.0001</w:t>
      </w:r>
      <w:r>
        <w:rPr>
          <w:rFonts w:cs="Arial" w:ascii="Arial" w:hAnsi="Arial"/>
          <w:sz w:val="18"/>
          <w:szCs w:val="18"/>
          <w:lang w:val="en-GB"/>
        </w:rPr>
        <w:t>) and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wt</w:t>
      </w:r>
      <w:r>
        <w:rPr>
          <w:rFonts w:cs="Arial" w:ascii="Arial" w:hAnsi="Arial"/>
          <w:sz w:val="18"/>
          <w:szCs w:val="18"/>
          <w:lang w:val="en-GB"/>
        </w:rPr>
        <w:t>:</w:t>
      </w:r>
      <w:r>
        <w:rPr>
          <w:rFonts w:cs="Arial" w:ascii="Arial" w:hAnsi="Arial"/>
          <w:sz w:val="20"/>
          <w:szCs w:val="20"/>
          <w:lang w:val="en-GB"/>
        </w:rPr>
        <w:t xml:space="preserve"> 36.86 ± 16.84</w:t>
      </w:r>
      <w:r>
        <w:rPr>
          <w:rFonts w:cs="Arial" w:ascii="Arial" w:hAnsi="Arial"/>
          <w:sz w:val="18"/>
          <w:szCs w:val="18"/>
          <w:lang w:val="en-GB"/>
        </w:rPr>
        <w:t>,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triple-EpoB</w:t>
      </w:r>
      <w:r>
        <w:rPr>
          <w:rFonts w:cs="Arial" w:ascii="Arial" w:hAnsi="Arial"/>
          <w:sz w:val="18"/>
          <w:szCs w:val="18"/>
          <w:lang w:val="en-GB"/>
        </w:rPr>
        <w:t>:</w:t>
      </w:r>
      <w:r>
        <w:rPr>
          <w:rFonts w:cs="Arial" w:ascii="Arial" w:hAnsi="Arial"/>
          <w:b/>
          <w:sz w:val="18"/>
          <w:szCs w:val="18"/>
          <w:lang w:val="en-GB"/>
        </w:rPr>
        <w:t xml:space="preserve"> 56.13</w:t>
      </w:r>
      <w:r>
        <w:rPr>
          <w:rFonts w:cs="Arial" w:ascii="Arial" w:hAnsi="Arial"/>
          <w:sz w:val="18"/>
          <w:szCs w:val="18"/>
          <w:lang w:val="en-GB"/>
        </w:rPr>
        <w:t>s ± 28.06SD; P</w:t>
      </w:r>
      <w:r>
        <w:rPr>
          <w:rFonts w:cs="Arial" w:ascii="Arial" w:hAnsi="Arial"/>
          <w:sz w:val="18"/>
          <w:szCs w:val="18"/>
          <w:vertAlign w:val="subscript"/>
          <w:lang w:val="en-GB"/>
        </w:rPr>
        <w:t>MW</w:t>
      </w:r>
      <w:r>
        <w:rPr>
          <w:rFonts w:cs="Arial" w:ascii="Arial" w:hAnsi="Arial"/>
          <w:sz w:val="18"/>
          <w:szCs w:val="18"/>
          <w:lang w:val="en-GB"/>
        </w:rPr>
        <w:t xml:space="preserve"> = </w:t>
      </w:r>
      <w:r>
        <w:rPr>
          <w:rFonts w:cs="Arial" w:ascii="Arial" w:hAnsi="Arial"/>
          <w:b/>
          <w:sz w:val="18"/>
          <w:szCs w:val="18"/>
          <w:lang w:val="en-GB"/>
        </w:rPr>
        <w:t>0.0011</w:t>
      </w:r>
      <w:r>
        <w:rPr>
          <w:rFonts w:cs="Arial" w:ascii="Arial" w:hAnsi="Arial"/>
          <w:sz w:val="18"/>
          <w:szCs w:val="18"/>
          <w:lang w:val="en-GB"/>
        </w:rPr>
        <w:t>). Each bars shows the mean T</w:t>
      </w:r>
      <w:r>
        <w:rPr>
          <w:rFonts w:cs="Arial" w:ascii="Arial" w:hAnsi="Arial"/>
          <w:sz w:val="18"/>
          <w:szCs w:val="18"/>
          <w:vertAlign w:val="subscript"/>
          <w:lang w:val="en-GB"/>
        </w:rPr>
        <w:t>Rec</w:t>
      </w:r>
      <w:r>
        <w:rPr>
          <w:rFonts w:cs="Arial" w:ascii="Arial" w:hAnsi="Arial"/>
          <w:sz w:val="18"/>
          <w:szCs w:val="18"/>
          <w:lang w:val="en-GB"/>
        </w:rPr>
        <w:t>, error bars indicate SD, **** p&lt;0.0001, ** p&lt;0.01.</w:t>
      </w:r>
    </w:p>
    <w:p>
      <w:pPr>
        <w:pStyle w:val="Normal"/>
        <w:spacing w:lineRule="auto" w:line="360" w:before="120" w:after="0"/>
        <w:jc w:val="both"/>
        <w:rPr>
          <w:rFonts w:ascii="Arial" w:hAnsi="Arial" w:cs="Arial"/>
          <w:sz w:val="18"/>
          <w:szCs w:val="18"/>
          <w:lang w:val="en-GB"/>
        </w:rPr>
      </w:pPr>
      <w:r>
        <w:rPr>
          <w:rFonts w:cs="Arial" w:ascii="Arial" w:hAnsi="Arial"/>
          <w:sz w:val="18"/>
          <w:szCs w:val="18"/>
          <w:lang w:val="en-GB"/>
        </w:rPr>
        <w:t xml:space="preserve"> </w:t>
      </w:r>
    </w:p>
    <w:p>
      <w:pPr>
        <w:pStyle w:val="Normal"/>
        <w:spacing w:lineRule="auto" w:line="360" w:before="120" w:after="0"/>
        <w:jc w:val="both"/>
        <w:rPr/>
      </w:pPr>
      <w:r>
        <w:rPr>
          <w:rFonts w:cs="Arial" w:ascii="Arial" w:hAnsi="Arial"/>
          <w:sz w:val="20"/>
          <w:szCs w:val="20"/>
          <w:lang w:val="en-GB"/>
        </w:rPr>
        <w:t xml:space="preserve">Other MT regulator are the protein Tau and EFA6. Tau as a well-known MT regulator that contributes to MT assembly and stabilisation </w:t>
      </w:r>
      <w:r>
        <w:fldChar w:fldCharType="begin"/>
      </w:r>
      <w:r>
        <w:rPr/>
        <w:instrText>ADDIN EN.CITE</w:instrText>
      </w:r>
      <w:r>
        <w:rPr/>
        <w:fldChar w:fldCharType="separate"/>
      </w:r>
      <w:bookmarkStart w:id="85" w:name="__Fieldmark__1816_4090835577"/>
      <w:r>
        <w:rPr/>
      </w:r>
      <w:r>
        <w:rPr/>
      </w:r>
      <w:r>
        <w:rPr/>
        <w:fldChar w:fldCharType="end"/>
      </w:r>
      <w:r>
        <w:fldChar w:fldCharType="begin"/>
      </w:r>
      <w:r>
        <w:rPr/>
        <w:instrText>ADDIN EN.CITE.DATA</w:instrText>
      </w:r>
      <w:r>
        <w:rPr/>
        <w:fldChar w:fldCharType="separate"/>
      </w:r>
      <w:bookmarkStart w:id="86" w:name="__Fieldmark__1815_4090835577"/>
      <w:bookmarkEnd w:id="85"/>
      <w:r>
        <w:rPr/>
      </w:r>
      <w:r>
        <w:rPr>
          <w:rFonts w:cs="Arial" w:ascii="Arial" w:hAnsi="Arial"/>
          <w:sz w:val="20"/>
          <w:szCs w:val="20"/>
          <w:lang w:val="en-GB"/>
        </w:rPr>
        <w:t>(Iqbal et al., 2005)</w:t>
      </w:r>
      <w:r>
        <w:rPr/>
      </w:r>
      <w:r>
        <w:rPr/>
        <w:fldChar w:fldCharType="end"/>
      </w:r>
      <w:hyperlink w:anchor="_ENREF_32" w:tgtFrame="Iqbal, 2005 #62">
        <w:bookmarkEnd w:id="86"/>
        <w:r>
          <w:rPr>
            <w:rFonts w:cs="Arial" w:ascii="Arial" w:hAnsi="Arial"/>
            <w:sz w:val="20"/>
            <w:szCs w:val="20"/>
            <w:lang w:val="en-GB"/>
          </w:rPr>
          <w:t xml:space="preserve">, its deletion is not lethal in </w:t>
        </w:r>
      </w:hyperlink>
      <w:r>
        <w:rPr>
          <w:rFonts w:cs="Arial" w:ascii="Arial" w:hAnsi="Arial"/>
          <w:i/>
          <w:sz w:val="20"/>
          <w:szCs w:val="20"/>
          <w:lang w:val="en-GB"/>
        </w:rPr>
        <w:t xml:space="preserve">Drosophila </w:t>
      </w:r>
      <w:r>
        <w:fldChar w:fldCharType="begin"/>
      </w:r>
      <w:r>
        <w:rPr/>
        <w:instrText>ADDIN EN.CITE &lt;EndNote&gt;&lt;Cite&gt;&lt;Author&gt;Burnouf&lt;/Author&gt;&lt;Year&gt;2016&lt;/Year&gt;&lt;RecNum&gt;61&lt;/RecNum&gt;&lt;DisplayText&gt;(Burnouf et al., 2016)&lt;/DisplayText&gt;&lt;record&gt;&lt;rec-number&gt;61&lt;/rec-number&gt;&lt;foreign-keys&gt;&lt;key app="EN" db-id="vedta2ppje59fceprax5xvwqzxt2awx0xd99"&gt;61&lt;/key&gt;&lt;/foreign-keys&gt;&lt;ref-type name="Journal Article"&gt;17&lt;/ref-type&gt;&lt;contributors&gt;&lt;authors&gt;&lt;author&gt;Burnouf, S.&lt;/author&gt;&lt;author&gt;Gronke, S.&lt;/author&gt;&lt;author&gt;Augustin, H.&lt;/author&gt;&lt;author&gt;Dols, J.&lt;/author&gt;&lt;author&gt;Gorsky, M. K.&lt;/author&gt;&lt;author&gt;Werner, J.&lt;/author&gt;&lt;author&gt;Kerr, F.&lt;/author&gt;&lt;author&gt;Alic, N.&lt;/author&gt;&lt;author&gt;Martinez, P.&lt;/author&gt;&lt;author&gt;Partridge, L.&lt;/author&gt;&lt;/authors&gt;&lt;/contributors&gt;&lt;auth-address&gt;Max Planck Inst Biol Ageing, Joseph Stelzmann Str 9b, D-50931 Cologne, Germany&amp;#xD;CECAD Cologne Excellence Cluster Cellular Stress, D-50931 Cologne, Germany&amp;#xD;UCL, Inst Hlth Ageing, Dept Genet Evolut &amp;amp; Environm, Darwin Bldg,Gower St, London WC1E 6BT, England&lt;/auth-address&gt;&lt;titles&gt;&lt;title&gt;Deletion of endogenous Tau proteins is not detrimental in Drosophila&lt;/title&gt;&lt;secondary-title&gt;Scientific Reports&lt;/secondary-title&gt;&lt;alt-title&gt;Sci Rep-Uk&lt;/alt-title&gt;&lt;/titles&gt;&lt;periodical&gt;&lt;full-title&gt;Scientific Reports&lt;/full-title&gt;&lt;abbr-1&gt;Sci Rep-Uk&lt;/abbr-1&gt;&lt;/periodical&gt;&lt;alt-periodical&gt;&lt;full-title&gt;Scientific Reports&lt;/full-title&gt;&lt;abbr-1&gt;Sci Rep-Uk&lt;/abbr-1&gt;&lt;/alt-periodical&gt;&lt;volume&gt;6&lt;/volume&gt;&lt;keywords&gt;&lt;keyword&gt;alzheimers-disease&lt;/keyword&gt;&lt;keyword&gt;deficient mice&lt;/keyword&gt;&lt;keyword&gt;beta toxicity&lt;/keyword&gt;&lt;keyword&gt;mouse model&lt;/keyword&gt;&lt;keyword&gt;in-vivo&lt;/keyword&gt;&lt;keyword&gt;phosphorylation&lt;/keyword&gt;&lt;keyword&gt;par-1&lt;/keyword&gt;&lt;keyword&gt;degeneration&lt;/keyword&gt;&lt;keyword&gt;expression&lt;/keyword&gt;&lt;keyword&gt;mutants&lt;/keyword&gt;&lt;/keywords&gt;&lt;dates&gt;&lt;year&gt;2016&lt;/year&gt;&lt;pub-dates&gt;&lt;date&gt;Mar 15&lt;/date&gt;&lt;/pub-dates&gt;&lt;/dates&gt;&lt;isbn&gt;2045-2322&lt;/isbn&gt;&lt;accession-num&gt;ISI:000372050400002&lt;/accession-num&gt;&lt;urls&gt;&lt;related-urls&gt;&lt;url&gt;&amp;lt;Go to ISI&amp;gt;://000372050400002&lt;/url&gt;&lt;/related-urls&gt;&lt;/urls&gt;&lt;electronic-resource-num&gt;Artn 23102&amp;#xD;10.1038/Srep23102&lt;/electronic-resource-num&gt;&lt;language&gt;English&lt;/language&gt;&lt;/record&gt;&lt;/Cite&gt;&lt;/EndNote&gt;</w:instrText>
      </w:r>
      <w:r>
        <w:rPr/>
        <w:fldChar w:fldCharType="separate"/>
      </w:r>
      <w:bookmarkStart w:id="87" w:name="__Fieldmark__1831_4090835577"/>
      <w:r>
        <w:rPr/>
      </w:r>
      <w:r>
        <w:rPr>
          <w:rFonts w:cs="Arial" w:ascii="Arial" w:hAnsi="Arial"/>
          <w:i/>
          <w:sz w:val="20"/>
          <w:szCs w:val="20"/>
          <w:lang w:val="en-GB"/>
        </w:rPr>
        <w:t>(Burnouf et al., 2016)</w:t>
      </w:r>
      <w:r>
        <w:rPr/>
      </w:r>
      <w:r>
        <w:rPr/>
        <w:fldChar w:fldCharType="end"/>
      </w:r>
      <w:hyperlink w:anchor="_ENREF_7" w:tgtFrame="Burnouf, 2016 #61">
        <w:bookmarkEnd w:id="87"/>
        <w:r>
          <w:rPr>
            <w:rFonts w:cs="Arial" w:ascii="Arial" w:hAnsi="Arial"/>
            <w:sz w:val="20"/>
            <w:szCs w:val="20"/>
            <w:lang w:val="en-GB"/>
          </w:rPr>
          <w:t>. However, Tau gene is involved in several neurological diseases, also called tauopathies, such as Alzheimer Disease and is essential for the normal brain function of mammalian species. I found a significant increase in T</w:t>
        </w:r>
      </w:hyperlink>
      <w:r>
        <w:rPr>
          <w:rFonts w:cs="Arial" w:ascii="Arial" w:hAnsi="Arial"/>
          <w:sz w:val="20"/>
          <w:szCs w:val="20"/>
          <w:vertAlign w:val="subscript"/>
          <w:lang w:val="en-GB"/>
        </w:rPr>
        <w:t>Rec</w:t>
      </w:r>
      <w:r>
        <w:rPr>
          <w:rFonts w:cs="Arial" w:ascii="Arial" w:hAnsi="Arial"/>
          <w:sz w:val="20"/>
          <w:szCs w:val="20"/>
          <w:lang w:val="en-GB"/>
        </w:rPr>
        <w:t xml:space="preserve"> of </w:t>
      </w:r>
      <w:r>
        <w:rPr>
          <w:rFonts w:cs="Arial" w:ascii="Arial" w:hAnsi="Arial"/>
          <w:i/>
          <w:sz w:val="18"/>
          <w:szCs w:val="18"/>
          <w:lang w:val="en-GB"/>
        </w:rPr>
        <w:t>tau</w:t>
      </w:r>
      <w:r>
        <w:rPr>
          <w:rFonts w:cs="Arial" w:ascii="Arial" w:hAnsi="Arial"/>
          <w:i/>
          <w:sz w:val="18"/>
          <w:szCs w:val="18"/>
          <w:vertAlign w:val="superscript"/>
          <w:lang w:val="en-GB"/>
        </w:rPr>
        <w:t>ko</w:t>
      </w:r>
      <w:r>
        <w:rPr>
          <w:rFonts w:cs="Arial" w:ascii="Arial" w:hAnsi="Arial"/>
          <w:i/>
          <w:sz w:val="18"/>
          <w:szCs w:val="18"/>
          <w:lang w:val="en-GB"/>
        </w:rPr>
        <w:t>/tau</w:t>
      </w:r>
      <w:r>
        <w:rPr>
          <w:rFonts w:cs="Arial" w:ascii="Arial" w:hAnsi="Arial"/>
          <w:i/>
          <w:sz w:val="18"/>
          <w:szCs w:val="18"/>
          <w:vertAlign w:val="superscript"/>
          <w:lang w:val="en-GB"/>
        </w:rPr>
        <w:t>ko</w:t>
      </w:r>
      <w:r>
        <w:rPr>
          <w:rFonts w:cs="Arial" w:ascii="Arial" w:hAnsi="Arial"/>
          <w:sz w:val="18"/>
          <w:szCs w:val="18"/>
          <w:lang w:val="en-GB"/>
        </w:rPr>
        <w:t xml:space="preserve"> compare to the wild-type, which is about ~</w:t>
      </w:r>
      <w:r>
        <w:rPr>
          <w:rFonts w:cs="Arial" w:ascii="Arial" w:hAnsi="Arial"/>
          <w:b/>
          <w:sz w:val="18"/>
          <w:szCs w:val="18"/>
          <w:lang w:val="en-GB"/>
        </w:rPr>
        <w:t>44</w:t>
      </w:r>
      <w:r>
        <w:rPr>
          <w:rFonts w:cs="Arial" w:ascii="Arial" w:hAnsi="Arial"/>
          <w:sz w:val="18"/>
          <w:szCs w:val="18"/>
          <w:lang w:val="en-GB"/>
        </w:rPr>
        <w:t>% (Fig.5)</w:t>
      </w:r>
    </w:p>
    <w:p>
      <w:pPr>
        <w:pStyle w:val="Normal"/>
        <w:spacing w:lineRule="auto" w:line="240" w:before="120" w:after="0"/>
        <w:jc w:val="both"/>
        <w:rPr>
          <w:rFonts w:ascii="Arial" w:hAnsi="Arial" w:cs="Arial"/>
          <w:b/>
          <w:b/>
          <w:sz w:val="18"/>
          <w:szCs w:val="18"/>
          <w:lang w:val="en-GB"/>
        </w:rPr>
      </w:pPr>
      <w:r>
        <w:rPr>
          <w:rFonts w:cs="Arial" w:ascii="Arial" w:hAnsi="Arial"/>
          <w:b/>
          <w:sz w:val="18"/>
          <w:szCs w:val="18"/>
          <w:lang w:val="en-GB"/>
        </w:rPr>
        <w:drawing>
          <wp:anchor behindDoc="0" distT="0" distB="8890" distL="114300" distR="114300" simplePos="0" locked="0" layoutInCell="1" allowOverlap="1" relativeHeight="11">
            <wp:simplePos x="0" y="0"/>
            <wp:positionH relativeFrom="column">
              <wp:posOffset>-10795</wp:posOffset>
            </wp:positionH>
            <wp:positionV relativeFrom="paragraph">
              <wp:posOffset>245110</wp:posOffset>
            </wp:positionV>
            <wp:extent cx="2139315" cy="1534160"/>
            <wp:effectExtent l="0" t="0" r="0" b="0"/>
            <wp:wrapTight wrapText="bothSides">
              <wp:wrapPolygon edited="0">
                <wp:start x="-24" y="0"/>
                <wp:lineTo x="-24" y="21432"/>
                <wp:lineTo x="21347" y="21432"/>
                <wp:lineTo x="21347" y="0"/>
                <wp:lineTo x="-24" y="0"/>
              </wp:wrapPolygon>
            </wp:wrapTight>
            <wp:docPr id="7" name="Imagem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26" descr=""/>
                    <pic:cNvPicPr>
                      <a:picLocks noChangeAspect="1" noChangeArrowheads="1"/>
                    </pic:cNvPicPr>
                  </pic:nvPicPr>
                  <pic:blipFill>
                    <a:blip r:embed="rId8"/>
                    <a:stretch>
                      <a:fillRect/>
                    </a:stretch>
                  </pic:blipFill>
                  <pic:spPr bwMode="auto">
                    <a:xfrm>
                      <a:off x="0" y="0"/>
                      <a:ext cx="2139315" cy="1534160"/>
                    </a:xfrm>
                    <a:prstGeom prst="rect">
                      <a:avLst/>
                    </a:prstGeom>
                  </pic:spPr>
                </pic:pic>
              </a:graphicData>
            </a:graphic>
          </wp:anchor>
        </w:drawing>
      </w:r>
    </w:p>
    <w:p>
      <w:pPr>
        <w:pStyle w:val="Normal"/>
        <w:spacing w:lineRule="auto" w:line="240" w:before="120" w:after="0"/>
        <w:jc w:val="both"/>
        <w:rPr>
          <w:rFonts w:ascii="Arial" w:hAnsi="Arial" w:cs="Arial"/>
          <w:b/>
          <w:b/>
          <w:sz w:val="18"/>
          <w:szCs w:val="18"/>
          <w:lang w:val="en-GB"/>
        </w:rPr>
      </w:pPr>
      <w:r>
        <w:rPr>
          <w:rFonts w:cs="Arial" w:ascii="Arial" w:hAnsi="Arial"/>
          <w:b/>
          <w:sz w:val="18"/>
          <w:szCs w:val="18"/>
          <w:lang w:val="en-GB"/>
        </w:rPr>
      </w:r>
    </w:p>
    <w:p>
      <w:pPr>
        <w:pStyle w:val="Normal"/>
        <w:spacing w:lineRule="auto" w:line="240" w:before="120" w:after="0"/>
        <w:jc w:val="both"/>
        <w:rPr>
          <w:rFonts w:ascii="Arial" w:hAnsi="Arial" w:cs="Arial"/>
          <w:b/>
          <w:b/>
          <w:sz w:val="18"/>
          <w:szCs w:val="18"/>
          <w:lang w:val="en-GB"/>
        </w:rPr>
      </w:pPr>
      <w:r>
        <w:rPr>
          <w:rFonts w:cs="Arial" w:ascii="Arial" w:hAnsi="Arial"/>
          <w:b/>
          <w:sz w:val="18"/>
          <w:szCs w:val="18"/>
          <w:lang w:val="en-GB"/>
        </w:rPr>
      </w:r>
    </w:p>
    <w:p>
      <w:pPr>
        <w:pStyle w:val="Normal"/>
        <w:spacing w:lineRule="auto" w:line="240" w:before="120" w:after="0"/>
        <w:jc w:val="both"/>
        <w:rPr>
          <w:rFonts w:ascii="Arial" w:hAnsi="Arial" w:cs="Arial"/>
          <w:sz w:val="18"/>
          <w:szCs w:val="18"/>
          <w:lang w:val="en-GB"/>
        </w:rPr>
      </w:pPr>
      <w:r>
        <w:rPr>
          <w:rFonts w:cs="Arial" w:ascii="Arial" w:hAnsi="Arial"/>
          <w:b/>
          <w:sz w:val="18"/>
          <w:szCs w:val="18"/>
          <w:lang w:val="en-GB"/>
        </w:rPr>
        <w:t>Fig.5</w:t>
      </w:r>
      <w:r>
        <w:rPr>
          <w:rFonts w:cs="Arial" w:ascii="Arial" w:hAnsi="Arial"/>
          <w:sz w:val="18"/>
          <w:szCs w:val="18"/>
          <w:lang w:val="en-GB"/>
        </w:rPr>
        <w:t xml:space="preserve">: </w:t>
      </w:r>
      <w:r>
        <w:rPr>
          <w:rFonts w:cs="Arial" w:ascii="Arial" w:hAnsi="Arial"/>
          <w:b/>
          <w:sz w:val="18"/>
          <w:szCs w:val="18"/>
          <w:lang w:val="en-GB"/>
        </w:rPr>
        <w:t xml:space="preserve">Seizure-like phenotype is find in </w:t>
      </w:r>
      <w:bookmarkStart w:id="88" w:name="OLE_LINK12"/>
      <w:r>
        <w:rPr>
          <w:rFonts w:cs="Arial" w:ascii="Arial" w:hAnsi="Arial"/>
          <w:b/>
          <w:i/>
          <w:sz w:val="18"/>
          <w:szCs w:val="18"/>
          <w:lang w:val="en-GB"/>
        </w:rPr>
        <w:t>tau</w:t>
      </w:r>
      <w:r>
        <w:rPr>
          <w:rFonts w:cs="Arial" w:ascii="Arial" w:hAnsi="Arial"/>
          <w:b/>
          <w:i/>
          <w:sz w:val="18"/>
          <w:szCs w:val="18"/>
          <w:vertAlign w:val="superscript"/>
          <w:lang w:val="en-GB"/>
        </w:rPr>
        <w:t>ko</w:t>
      </w:r>
      <w:r>
        <w:rPr>
          <w:rFonts w:cs="Arial" w:ascii="Arial" w:hAnsi="Arial"/>
          <w:b/>
          <w:i/>
          <w:sz w:val="18"/>
          <w:szCs w:val="18"/>
          <w:lang w:val="en-GB"/>
        </w:rPr>
        <w:t>/tau</w:t>
      </w:r>
      <w:r>
        <w:rPr>
          <w:rFonts w:cs="Arial" w:ascii="Arial" w:hAnsi="Arial"/>
          <w:b/>
          <w:i/>
          <w:sz w:val="18"/>
          <w:szCs w:val="18"/>
          <w:vertAlign w:val="superscript"/>
          <w:lang w:val="en-GB"/>
        </w:rPr>
        <w:t>ko</w:t>
      </w:r>
      <w:r>
        <w:rPr>
          <w:rFonts w:cs="Arial" w:ascii="Arial" w:hAnsi="Arial"/>
          <w:b/>
          <w:sz w:val="18"/>
          <w:szCs w:val="18"/>
          <w:lang w:val="en-GB"/>
        </w:rPr>
        <w:t xml:space="preserve"> larvae</w:t>
      </w:r>
      <w:bookmarkEnd w:id="88"/>
      <w:r>
        <w:rPr>
          <w:rFonts w:cs="Arial" w:ascii="Arial" w:hAnsi="Arial"/>
          <w:sz w:val="18"/>
          <w:szCs w:val="18"/>
          <w:lang w:val="en-GB"/>
        </w:rPr>
        <w:t>.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wt</w:t>
      </w:r>
      <w:r>
        <w:rPr>
          <w:rFonts w:cs="Arial" w:ascii="Arial" w:hAnsi="Arial"/>
          <w:sz w:val="18"/>
          <w:szCs w:val="18"/>
          <w:lang w:val="en-GB"/>
        </w:rPr>
        <w:t>:</w:t>
      </w:r>
      <w:r>
        <w:rPr>
          <w:rFonts w:cs="Arial" w:ascii="Arial" w:hAnsi="Arial"/>
          <w:sz w:val="20"/>
          <w:szCs w:val="20"/>
          <w:lang w:val="en-GB"/>
        </w:rPr>
        <w:t xml:space="preserve"> 36.86 ± 16.84</w:t>
      </w:r>
      <w:r>
        <w:rPr>
          <w:rFonts w:cs="Arial" w:ascii="Arial" w:hAnsi="Arial"/>
          <w:sz w:val="18"/>
          <w:szCs w:val="18"/>
          <w:lang w:val="en-GB"/>
        </w:rPr>
        <w:t>,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tau</w:t>
      </w:r>
      <w:r>
        <w:rPr>
          <w:rFonts w:cs="Arial" w:ascii="Arial" w:hAnsi="Arial"/>
          <w:i/>
          <w:sz w:val="18"/>
          <w:szCs w:val="18"/>
          <w:vertAlign w:val="superscript"/>
          <w:lang w:val="en-GB"/>
        </w:rPr>
        <w:t>ko</w:t>
      </w:r>
      <w:r>
        <w:rPr>
          <w:rFonts w:cs="Arial" w:ascii="Arial" w:hAnsi="Arial"/>
          <w:i/>
          <w:sz w:val="18"/>
          <w:szCs w:val="18"/>
          <w:lang w:val="en-GB"/>
        </w:rPr>
        <w:t>/tau</w:t>
      </w:r>
      <w:r>
        <w:rPr>
          <w:rFonts w:cs="Arial" w:ascii="Arial" w:hAnsi="Arial"/>
          <w:i/>
          <w:sz w:val="18"/>
          <w:szCs w:val="18"/>
          <w:vertAlign w:val="superscript"/>
          <w:lang w:val="en-GB"/>
        </w:rPr>
        <w:t>ko</w:t>
      </w:r>
      <w:r>
        <w:rPr>
          <w:rFonts w:cs="Arial" w:ascii="Arial" w:hAnsi="Arial"/>
          <w:sz w:val="18"/>
          <w:szCs w:val="18"/>
          <w:lang w:val="en-GB"/>
        </w:rPr>
        <w:t xml:space="preserve">: </w:t>
      </w:r>
      <w:r>
        <w:rPr>
          <w:rFonts w:cs="Arial" w:ascii="Arial" w:hAnsi="Arial"/>
          <w:b/>
          <w:sz w:val="18"/>
          <w:szCs w:val="18"/>
          <w:lang w:val="en-GB"/>
        </w:rPr>
        <w:t>83.77</w:t>
      </w:r>
      <w:r>
        <w:rPr>
          <w:rFonts w:cs="Arial" w:ascii="Arial" w:hAnsi="Arial"/>
          <w:sz w:val="18"/>
          <w:szCs w:val="18"/>
          <w:lang w:val="en-GB"/>
        </w:rPr>
        <w:t>s ± 35.58SD; P</w:t>
      </w:r>
      <w:r>
        <w:rPr>
          <w:rFonts w:cs="Arial" w:ascii="Arial" w:hAnsi="Arial"/>
          <w:sz w:val="18"/>
          <w:szCs w:val="18"/>
          <w:vertAlign w:val="subscript"/>
          <w:lang w:val="en-GB"/>
        </w:rPr>
        <w:t>MW</w:t>
      </w:r>
      <w:r>
        <w:rPr>
          <w:rFonts w:cs="Arial" w:ascii="Arial" w:hAnsi="Arial"/>
          <w:sz w:val="18"/>
          <w:szCs w:val="18"/>
          <w:lang w:val="en-GB"/>
        </w:rPr>
        <w:t xml:space="preserve">&lt; </w:t>
      </w:r>
      <w:r>
        <w:rPr>
          <w:rFonts w:cs="Arial" w:ascii="Arial" w:hAnsi="Arial"/>
          <w:b/>
          <w:sz w:val="18"/>
          <w:szCs w:val="18"/>
          <w:lang w:val="en-GB"/>
        </w:rPr>
        <w:t>0.0001</w:t>
      </w:r>
      <w:r>
        <w:rPr>
          <w:rFonts w:cs="Arial" w:ascii="Arial" w:hAnsi="Arial"/>
          <w:sz w:val="18"/>
          <w:szCs w:val="18"/>
          <w:lang w:val="en-GB"/>
        </w:rPr>
        <w:t>). Each bars shows the mean T</w:t>
      </w:r>
      <w:r>
        <w:rPr>
          <w:rFonts w:cs="Arial" w:ascii="Arial" w:hAnsi="Arial"/>
          <w:sz w:val="18"/>
          <w:szCs w:val="18"/>
          <w:vertAlign w:val="subscript"/>
          <w:lang w:val="en-GB"/>
        </w:rPr>
        <w:t>Rec</w:t>
      </w:r>
      <w:r>
        <w:rPr>
          <w:rFonts w:cs="Arial" w:ascii="Arial" w:hAnsi="Arial"/>
          <w:sz w:val="18"/>
          <w:szCs w:val="18"/>
          <w:lang w:val="en-GB"/>
        </w:rPr>
        <w:t xml:space="preserve">, error bars indicate SD, **** p&lt;0.0001 </w:t>
      </w:r>
    </w:p>
    <w:p>
      <w:pPr>
        <w:pStyle w:val="Normal"/>
        <w:spacing w:lineRule="auto" w:line="360" w:before="120" w:after="0"/>
        <w:jc w:val="both"/>
        <w:rPr>
          <w:rFonts w:ascii="Arial" w:hAnsi="Arial" w:cs="Arial"/>
          <w:sz w:val="20"/>
          <w:szCs w:val="20"/>
          <w:lang w:val="en-GB"/>
        </w:rPr>
      </w:pPr>
      <w:r>
        <w:rPr>
          <w:rFonts w:cs="Arial" w:ascii="Arial" w:hAnsi="Arial"/>
          <w:sz w:val="20"/>
          <w:szCs w:val="20"/>
          <w:lang w:val="en-GB"/>
        </w:rPr>
      </w:r>
    </w:p>
    <w:p>
      <w:pPr>
        <w:pStyle w:val="Normal"/>
        <w:spacing w:lineRule="auto" w:line="360" w:before="120" w:after="0"/>
        <w:jc w:val="both"/>
        <w:rPr>
          <w:rFonts w:ascii="Arial" w:hAnsi="Arial" w:cs="Arial"/>
          <w:sz w:val="20"/>
          <w:szCs w:val="20"/>
          <w:lang w:val="en-GB"/>
        </w:rPr>
      </w:pPr>
      <w:r>
        <w:rPr>
          <w:rFonts w:cs="Arial" w:ascii="Arial" w:hAnsi="Arial"/>
          <w:sz w:val="20"/>
          <w:szCs w:val="20"/>
          <w:lang w:val="en-GB"/>
        </w:rPr>
      </w:r>
    </w:p>
    <w:p>
      <w:pPr>
        <w:pStyle w:val="Normal"/>
        <w:spacing w:lineRule="auto" w:line="360" w:before="120" w:after="0"/>
        <w:jc w:val="both"/>
        <w:rPr/>
      </w:pPr>
      <w:r>
        <w:rPr>
          <w:rFonts w:cs="Arial" w:ascii="Arial" w:hAnsi="Arial"/>
          <w:sz w:val="20"/>
          <w:szCs w:val="20"/>
          <w:lang w:val="en-GB"/>
        </w:rPr>
        <w:t xml:space="preserve">I also tested if the epileptic-like phenotype can be caused by mutations affecting MT organisation via different mechanisms. EFA6 is a Guanine Nucleotide Exchange Factor (GEF) from the Arf family of GTPases. EFA6 is a membrane-associated protein that regulates MTs by eliminating polymerising MTs that reach the cortex, thereby regulating axonal growth, branching an bundle maintenance </w:t>
      </w:r>
      <w:r>
        <w:fldChar w:fldCharType="begin"/>
      </w:r>
      <w:r>
        <w:rPr/>
        <w:instrText>ADDIN EN.CITE &lt;EndNote&gt;&lt;Cite&gt;&lt;Author&gt;Qu&lt;/Author&gt;&lt;Year&gt;2018&lt;/Year&gt;&lt;RecNum&gt;110&lt;/RecNum&gt;&lt;DisplayText&gt;(Qu et al., 2018)&lt;/DisplayText&gt;&lt;record&gt;&lt;rec-number&gt;110&lt;/rec-number&gt;&lt;foreign-keys&gt;&lt;key app="EN" db-id="vedta2ppje59fceprax5xvwqzxt2awx0xd99"&gt;110&lt;/key&gt;&lt;/foreign-keys&gt;&lt;ref-type name="Journal Article"&gt;17&lt;/ref-type&gt;&lt;contributors&gt;&lt;authors&gt;&lt;author&gt;Qu, Yue&lt;/author&gt;&lt;author&gt;Hahn, Ines&lt;/author&gt;&lt;author&gt;Lees, Meredith&lt;/author&gt;&lt;author&gt;Parkin, Jill&lt;/author&gt;&lt;author&gt;Voelzmann, André&lt;/author&gt;&lt;author&gt;Dorey, Karel&lt;/author&gt;&lt;author&gt;Rathbone, Alex&lt;/author&gt;&lt;author&gt;Friel, Claire&lt;/author&gt;&lt;author&gt;Allan, Viki&lt;/author&gt;&lt;author&gt;Ramos, Okenve Pilar&lt;/author&gt;&lt;author&gt;Sanchez-Soriano, Natalia&lt;/author&gt;&lt;author&gt;Prokop, Andreas&lt;/author&gt;&lt;/authors&gt;&lt;/contributors&gt;&lt;titles&gt;&lt;title&gt;Efa6 regulates axon growth, branching and maintenance by eliminating off-track microtubules at the cortex&lt;/title&gt;&lt;secondary-title&gt;bioRxiv&lt;/secondary-title&gt;&lt;/titles&gt;&lt;periodical&gt;&lt;full-title&gt;bioRxiv&lt;/full-title&gt;&lt;/periodical&gt;&lt;pages&gt;385658&lt;/pages&gt;&lt;dates&gt;&lt;year&gt;2018&lt;/year&gt;&lt;/dates&gt;&lt;urls&gt;&lt;related-urls&gt;&lt;url&gt;https://www.biorxiv.org/content/biorxiv/early/2018/08/06/385658.full.pdf&lt;/url&gt;&lt;/related-urls&gt;&lt;/urls&gt;&lt;electronic-resource-num&gt;10.1101/385658&lt;/electronic-resource-num&gt;&lt;/record&gt;&lt;/Cite&gt;&lt;/EndNote&gt;</w:instrText>
      </w:r>
      <w:r>
        <w:rPr/>
        <w:fldChar w:fldCharType="separate"/>
      </w:r>
      <w:bookmarkStart w:id="89" w:name="__Fieldmark__1905_4090835577"/>
      <w:r>
        <w:rPr/>
      </w:r>
      <w:r>
        <w:rPr>
          <w:rFonts w:cs="Arial" w:ascii="Arial" w:hAnsi="Arial"/>
          <w:sz w:val="20"/>
          <w:szCs w:val="20"/>
          <w:lang w:val="en-GB"/>
        </w:rPr>
        <w:t>(Qu et al., 2018)</w:t>
      </w:r>
      <w:r>
        <w:rPr/>
      </w:r>
      <w:r>
        <w:rPr/>
        <w:fldChar w:fldCharType="end"/>
      </w:r>
      <w:hyperlink w:anchor="_ENREF_63" w:tgtFrame="Qu, 2018 #110">
        <w:bookmarkEnd w:id="89"/>
        <w:r>
          <w:rPr>
            <w:rFonts w:cs="Arial" w:ascii="Arial" w:hAnsi="Arial"/>
            <w:sz w:val="20"/>
            <w:szCs w:val="20"/>
            <w:lang w:val="en-GB"/>
          </w:rPr>
          <w:t xml:space="preserve">. I could observe that </w:t>
        </w:r>
      </w:hyperlink>
      <w:r>
        <w:rPr>
          <w:rFonts w:cs="Arial" w:ascii="Arial" w:hAnsi="Arial"/>
          <w:i/>
          <w:sz w:val="20"/>
          <w:szCs w:val="20"/>
          <w:lang w:val="en-GB"/>
        </w:rPr>
        <w:t>Efa6</w:t>
      </w:r>
      <w:r>
        <w:rPr>
          <w:rFonts w:cs="Arial" w:ascii="Arial" w:hAnsi="Arial"/>
          <w:i/>
          <w:sz w:val="20"/>
          <w:szCs w:val="20"/>
          <w:vertAlign w:val="superscript"/>
          <w:lang w:val="en-GB"/>
        </w:rPr>
        <w:t>-/-</w:t>
      </w:r>
      <w:r>
        <w:rPr>
          <w:rFonts w:cs="Arial" w:ascii="Arial" w:hAnsi="Arial"/>
          <w:sz w:val="20"/>
          <w:szCs w:val="20"/>
          <w:lang w:val="en-GB"/>
        </w:rPr>
        <w:t xml:space="preserve"> mutants show a significant increase of seizure-like behaviour by ~</w:t>
      </w:r>
      <w:r>
        <w:rPr>
          <w:rFonts w:cs="Arial" w:ascii="Arial" w:hAnsi="Arial"/>
          <w:b/>
          <w:sz w:val="20"/>
          <w:szCs w:val="20"/>
          <w:lang w:val="en-GB"/>
        </w:rPr>
        <w:t>314</w:t>
      </w:r>
      <w:r>
        <w:rPr>
          <w:rFonts w:cs="Arial" w:ascii="Arial" w:hAnsi="Arial"/>
          <w:sz w:val="20"/>
          <w:szCs w:val="20"/>
          <w:lang w:val="en-GB"/>
        </w:rPr>
        <w:t xml:space="preserve">% (Fig.6). Surprisingly, the seizure-like phenotype in </w:t>
      </w:r>
      <w:r>
        <w:rPr>
          <w:rFonts w:cs="Arial" w:ascii="Arial" w:hAnsi="Arial"/>
          <w:i/>
          <w:sz w:val="20"/>
          <w:szCs w:val="20"/>
          <w:lang w:val="en-GB"/>
        </w:rPr>
        <w:t>efa6</w:t>
      </w:r>
      <w:r>
        <w:rPr>
          <w:rFonts w:cs="Arial" w:ascii="Arial" w:hAnsi="Arial"/>
          <w:sz w:val="20"/>
          <w:szCs w:val="20"/>
          <w:lang w:val="en-GB"/>
        </w:rPr>
        <w:t xml:space="preserve"> mutants is quite severe: There is no significant difference between the T</w:t>
      </w:r>
      <w:r>
        <w:rPr>
          <w:rFonts w:cs="Arial" w:ascii="Arial" w:hAnsi="Arial"/>
          <w:sz w:val="20"/>
          <w:szCs w:val="20"/>
          <w:vertAlign w:val="subscript"/>
          <w:lang w:val="en-GB"/>
        </w:rPr>
        <w:t>rec</w:t>
      </w:r>
      <w:r>
        <w:rPr>
          <w:rFonts w:cs="Arial" w:ascii="Arial" w:hAnsi="Arial"/>
          <w:sz w:val="20"/>
          <w:szCs w:val="20"/>
          <w:lang w:val="en-GB"/>
        </w:rPr>
        <w:t xml:space="preserve"> of </w:t>
      </w:r>
      <w:bookmarkStart w:id="90" w:name="OLE_LINK11"/>
      <w:r>
        <w:rPr>
          <w:rFonts w:cs="Arial" w:ascii="Arial" w:hAnsi="Arial"/>
          <w:i/>
          <w:sz w:val="20"/>
          <w:szCs w:val="20"/>
          <w:lang w:val="en-GB"/>
        </w:rPr>
        <w:t>para</w:t>
      </w:r>
      <w:r>
        <w:rPr>
          <w:rFonts w:cs="Arial" w:ascii="Arial" w:hAnsi="Arial"/>
          <w:i/>
          <w:sz w:val="20"/>
          <w:szCs w:val="20"/>
          <w:vertAlign w:val="superscript"/>
          <w:lang w:val="en-GB"/>
        </w:rPr>
        <w:t>bss1</w:t>
      </w:r>
      <w:bookmarkEnd w:id="90"/>
      <w:r>
        <w:rPr>
          <w:rFonts w:cs="Arial" w:ascii="Arial" w:hAnsi="Arial"/>
          <w:sz w:val="20"/>
          <w:szCs w:val="20"/>
          <w:lang w:val="en-GB"/>
        </w:rPr>
        <w:t xml:space="preserve"> and </w:t>
      </w:r>
      <w:r>
        <w:rPr>
          <w:rFonts w:cs="Arial" w:ascii="Arial" w:hAnsi="Arial"/>
          <w:i/>
          <w:sz w:val="20"/>
          <w:szCs w:val="20"/>
          <w:lang w:val="en-GB"/>
        </w:rPr>
        <w:t>efa6</w:t>
      </w:r>
      <w:r>
        <w:rPr>
          <w:rFonts w:cs="Arial" w:ascii="Arial" w:hAnsi="Arial"/>
          <w:sz w:val="20"/>
          <w:szCs w:val="20"/>
          <w:lang w:val="en-GB"/>
        </w:rPr>
        <w:t xml:space="preserve"> mutant larvae. Moreover, mutants show an increase T</w:t>
      </w:r>
      <w:r>
        <w:rPr>
          <w:rFonts w:cs="Arial" w:ascii="Arial" w:hAnsi="Arial"/>
          <w:sz w:val="20"/>
          <w:szCs w:val="20"/>
          <w:vertAlign w:val="subscript"/>
          <w:lang w:val="en-GB"/>
        </w:rPr>
        <w:t>Rec</w:t>
      </w:r>
      <w:r>
        <w:rPr>
          <w:rFonts w:cs="Arial" w:ascii="Arial" w:hAnsi="Arial"/>
          <w:sz w:val="20"/>
          <w:szCs w:val="20"/>
          <w:lang w:val="en-GB"/>
        </w:rPr>
        <w:t xml:space="preserve"> compared to the triple-heterozygous </w:t>
      </w:r>
      <w:r>
        <w:rPr>
          <w:rFonts w:cs="Arial" w:ascii="Arial" w:hAnsi="Arial"/>
          <w:i/>
          <w:sz w:val="20"/>
          <w:szCs w:val="20"/>
          <w:lang w:val="en-GB"/>
        </w:rPr>
        <w:t>Eb1</w:t>
      </w:r>
      <w:r>
        <w:rPr>
          <w:rFonts w:cs="Arial" w:ascii="Arial" w:hAnsi="Arial"/>
          <w:i/>
          <w:sz w:val="20"/>
          <w:szCs w:val="20"/>
          <w:vertAlign w:val="superscript"/>
          <w:lang w:val="en-GB"/>
        </w:rPr>
        <w:t>04524/+</w:t>
      </w:r>
      <w:r>
        <w:rPr>
          <w:rFonts w:cs="Arial" w:ascii="Arial" w:hAnsi="Arial"/>
          <w:i/>
          <w:sz w:val="20"/>
          <w:szCs w:val="20"/>
          <w:lang w:val="en-GB"/>
        </w:rPr>
        <w:t xml:space="preserve"> msps </w:t>
      </w:r>
      <w:r>
        <w:rPr>
          <w:rFonts w:cs="Arial" w:ascii="Arial" w:hAnsi="Arial"/>
          <w:i/>
          <w:sz w:val="20"/>
          <w:szCs w:val="20"/>
          <w:vertAlign w:val="superscript"/>
          <w:lang w:val="en-GB"/>
        </w:rPr>
        <w:t>1/+</w:t>
      </w:r>
      <w:r>
        <w:rPr>
          <w:rFonts w:cs="Arial" w:ascii="Arial" w:hAnsi="Arial"/>
          <w:i/>
          <w:sz w:val="20"/>
          <w:szCs w:val="20"/>
          <w:lang w:val="en-GB"/>
        </w:rPr>
        <w:t xml:space="preserve"> tau</w:t>
      </w:r>
      <w:r>
        <w:rPr>
          <w:rFonts w:cs="Arial" w:ascii="Arial" w:hAnsi="Arial"/>
          <w:i/>
          <w:sz w:val="20"/>
          <w:szCs w:val="20"/>
          <w:vertAlign w:val="superscript"/>
          <w:lang w:val="en-GB"/>
        </w:rPr>
        <w:t>ko/+</w:t>
      </w:r>
      <w:r>
        <w:rPr>
          <w:rFonts w:cs="Arial" w:ascii="Arial" w:hAnsi="Arial"/>
          <w:sz w:val="20"/>
          <w:szCs w:val="20"/>
          <w:lang w:val="en-GB"/>
        </w:rPr>
        <w:t xml:space="preserve"> by </w:t>
      </w:r>
      <w:r>
        <w:rPr>
          <w:rFonts w:cs="Arial" w:ascii="Arial" w:hAnsi="Arial"/>
          <w:b/>
          <w:sz w:val="20"/>
          <w:szCs w:val="20"/>
          <w:lang w:val="en-GB"/>
        </w:rPr>
        <w:t>20</w:t>
      </w:r>
      <w:r>
        <w:rPr>
          <w:rFonts w:cs="Arial" w:ascii="Arial" w:hAnsi="Arial"/>
          <w:sz w:val="20"/>
          <w:szCs w:val="20"/>
          <w:lang w:val="en-GB"/>
        </w:rPr>
        <w:t xml:space="preserve">%. Overall, my results suggest that mutations affecting other MTs regulators also cause a seizure-like phenotype. </w:t>
      </w:r>
    </w:p>
    <w:p>
      <w:pPr>
        <w:pStyle w:val="Normal"/>
        <w:spacing w:lineRule="auto" w:line="360" w:before="120" w:after="0"/>
        <w:jc w:val="both"/>
        <w:rPr>
          <w:rFonts w:ascii="Arial" w:hAnsi="Arial" w:cs="Arial"/>
          <w:b/>
          <w:b/>
          <w:sz w:val="18"/>
          <w:szCs w:val="18"/>
          <w:lang w:val="en-GB"/>
        </w:rPr>
      </w:pPr>
      <w:r>
        <w:rPr>
          <w:rFonts w:cs="Arial" w:ascii="Arial" w:hAnsi="Arial"/>
          <w:b/>
          <w:sz w:val="18"/>
          <w:szCs w:val="18"/>
          <w:lang w:val="en-GB"/>
        </w:rPr>
        <w:drawing>
          <wp:anchor behindDoc="0" distT="0" distB="0" distL="0" distR="123190" simplePos="0" locked="0" layoutInCell="1" allowOverlap="1" relativeHeight="15">
            <wp:simplePos x="0" y="0"/>
            <wp:positionH relativeFrom="margin">
              <wp:align>left</wp:align>
            </wp:positionH>
            <wp:positionV relativeFrom="paragraph">
              <wp:posOffset>111125</wp:posOffset>
            </wp:positionV>
            <wp:extent cx="2371725" cy="2286000"/>
            <wp:effectExtent l="0" t="0" r="0" b="0"/>
            <wp:wrapTight wrapText="bothSides">
              <wp:wrapPolygon edited="0">
                <wp:start x="-24" y="0"/>
                <wp:lineTo x="-24" y="21397"/>
                <wp:lineTo x="21509" y="21397"/>
                <wp:lineTo x="21509" y="0"/>
                <wp:lineTo x="-24" y="0"/>
              </wp:wrapPolygon>
            </wp:wrapTight>
            <wp:docPr id="8"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3" descr=""/>
                    <pic:cNvPicPr>
                      <a:picLocks noChangeAspect="1" noChangeArrowheads="1"/>
                    </pic:cNvPicPr>
                  </pic:nvPicPr>
                  <pic:blipFill>
                    <a:blip r:embed="rId9"/>
                    <a:srcRect l="0" t="0" r="0" b="1042"/>
                    <a:stretch>
                      <a:fillRect/>
                    </a:stretch>
                  </pic:blipFill>
                  <pic:spPr bwMode="auto">
                    <a:xfrm>
                      <a:off x="0" y="0"/>
                      <a:ext cx="2371725" cy="2286000"/>
                    </a:xfrm>
                    <a:prstGeom prst="rect">
                      <a:avLst/>
                    </a:prstGeom>
                  </pic:spPr>
                </pic:pic>
              </a:graphicData>
            </a:graphic>
          </wp:anchor>
        </w:drawing>
      </w:r>
    </w:p>
    <w:p>
      <w:pPr>
        <w:pStyle w:val="Normal"/>
        <w:spacing w:lineRule="auto" w:line="240" w:before="120" w:after="0"/>
        <w:jc w:val="both"/>
        <w:rPr>
          <w:rFonts w:ascii="Arial" w:hAnsi="Arial" w:cs="Arial"/>
          <w:sz w:val="20"/>
          <w:szCs w:val="20"/>
          <w:lang w:val="en-GB"/>
        </w:rPr>
      </w:pPr>
      <w:r>
        <w:rPr>
          <w:rFonts w:cs="Arial" w:ascii="Arial" w:hAnsi="Arial"/>
          <w:b/>
          <w:sz w:val="18"/>
          <w:szCs w:val="18"/>
          <w:lang w:val="en-GB"/>
        </w:rPr>
        <w:t>Fig.6: Seizure-like behaviour in efa6</w:t>
      </w:r>
      <w:r>
        <w:rPr>
          <w:rFonts w:cs="Arial" w:ascii="Arial" w:hAnsi="Arial"/>
          <w:b/>
          <w:sz w:val="18"/>
          <w:szCs w:val="18"/>
          <w:vertAlign w:val="superscript"/>
          <w:lang w:val="en-GB"/>
        </w:rPr>
        <w:t>-</w:t>
      </w:r>
      <w:r>
        <w:rPr>
          <w:rFonts w:cs="Arial" w:ascii="Arial" w:hAnsi="Arial"/>
          <w:b/>
          <w:sz w:val="18"/>
          <w:szCs w:val="18"/>
          <w:lang w:val="en-GB"/>
        </w:rPr>
        <w:t xml:space="preserve"> mutants.</w:t>
      </w:r>
      <w:r>
        <w:rPr>
          <w:rFonts w:cs="Arial" w:ascii="Arial" w:hAnsi="Arial"/>
          <w:sz w:val="18"/>
          <w:szCs w:val="18"/>
          <w:lang w:val="en-GB"/>
        </w:rPr>
        <w:t xml:space="preserve"> </w:t>
      </w:r>
      <w:r>
        <w:rPr>
          <w:rFonts w:cs="Arial" w:ascii="Arial" w:hAnsi="Arial"/>
          <w:sz w:val="20"/>
          <w:szCs w:val="20"/>
          <w:lang w:val="en-GB"/>
        </w:rPr>
        <w:t xml:space="preserve">                      </w:t>
      </w:r>
      <w:r>
        <w:rPr>
          <w:rFonts w:cs="Arial" w:ascii="Arial" w:hAnsi="Arial"/>
          <w:sz w:val="18"/>
          <w:szCs w:val="18"/>
          <w:lang w:val="en-GB"/>
        </w:rPr>
        <w:t>After electroshock of 30 mutant larvae, recovery time was measured. efa6</w:t>
      </w:r>
      <w:r>
        <w:rPr>
          <w:rFonts w:cs="Arial" w:ascii="Arial" w:hAnsi="Arial"/>
          <w:sz w:val="18"/>
          <w:szCs w:val="18"/>
          <w:vertAlign w:val="superscript"/>
          <w:lang w:val="en-GB"/>
        </w:rPr>
        <w:t>-</w:t>
      </w:r>
      <w:r>
        <w:rPr>
          <w:rFonts w:cs="Arial" w:ascii="Arial" w:hAnsi="Arial"/>
          <w:sz w:val="18"/>
          <w:szCs w:val="18"/>
          <w:lang w:val="en-GB"/>
        </w:rPr>
        <w:t>/efa6</w:t>
      </w:r>
      <w:r>
        <w:rPr>
          <w:rFonts w:cs="Arial" w:ascii="Arial" w:hAnsi="Arial"/>
          <w:sz w:val="18"/>
          <w:szCs w:val="18"/>
          <w:vertAlign w:val="superscript"/>
          <w:lang w:val="en-GB"/>
        </w:rPr>
        <w:t>-</w:t>
      </w:r>
      <w:r>
        <w:rPr>
          <w:rFonts w:cs="Arial" w:ascii="Arial" w:hAnsi="Arial"/>
          <w:sz w:val="18"/>
          <w:szCs w:val="18"/>
          <w:lang w:val="en-GB"/>
        </w:rPr>
        <w:t xml:space="preserve"> mutants have an enhanced T</w:t>
      </w:r>
      <w:r>
        <w:rPr>
          <w:rFonts w:cs="Arial" w:ascii="Arial" w:hAnsi="Arial"/>
          <w:sz w:val="18"/>
          <w:szCs w:val="18"/>
          <w:vertAlign w:val="subscript"/>
          <w:lang w:val="en-GB"/>
        </w:rPr>
        <w:t>Rec</w:t>
      </w:r>
      <w:r>
        <w:rPr>
          <w:rFonts w:cs="Arial" w:ascii="Arial" w:hAnsi="Arial"/>
          <w:sz w:val="18"/>
          <w:szCs w:val="18"/>
          <w:lang w:val="en-GB"/>
        </w:rPr>
        <w:t xml:space="preserve"> compare to those of Oregon-R larvae, double-heterozygous and triple-heterozygous larvae and a no significant difference of T</w:t>
      </w:r>
      <w:r>
        <w:rPr>
          <w:rFonts w:cs="Arial" w:ascii="Arial" w:hAnsi="Arial"/>
          <w:sz w:val="18"/>
          <w:szCs w:val="18"/>
          <w:vertAlign w:val="subscript"/>
          <w:lang w:val="en-GB"/>
        </w:rPr>
        <w:t>Rec</w:t>
      </w:r>
      <w:r>
        <w:rPr>
          <w:rFonts w:cs="Arial" w:ascii="Arial" w:hAnsi="Arial"/>
          <w:sz w:val="18"/>
          <w:szCs w:val="18"/>
          <w:lang w:val="en-GB"/>
        </w:rPr>
        <w:t xml:space="preserve"> when compared to </w:t>
      </w:r>
      <w:r>
        <w:rPr>
          <w:rFonts w:cs="Arial" w:ascii="Arial" w:hAnsi="Arial"/>
          <w:i/>
          <w:sz w:val="18"/>
          <w:szCs w:val="18"/>
          <w:lang w:val="en-GB"/>
        </w:rPr>
        <w:t>para</w:t>
      </w:r>
      <w:r>
        <w:rPr>
          <w:rFonts w:cs="Arial" w:ascii="Arial" w:hAnsi="Arial"/>
          <w:i/>
          <w:sz w:val="18"/>
          <w:szCs w:val="18"/>
          <w:vertAlign w:val="superscript"/>
          <w:lang w:val="en-GB"/>
        </w:rPr>
        <w:t>bss1</w:t>
      </w:r>
      <w:r>
        <w:rPr>
          <w:rFonts w:cs="Arial" w:ascii="Arial" w:hAnsi="Arial"/>
          <w:sz w:val="18"/>
          <w:szCs w:val="18"/>
          <w:lang w:val="en-GB"/>
        </w:rPr>
        <w:t xml:space="preserve">. </w:t>
      </w:r>
      <w:bookmarkEnd w:id="53"/>
      <w:r>
        <w:rPr>
          <w:rFonts w:cs="Arial" w:ascii="Arial" w:hAnsi="Arial"/>
          <w:sz w:val="18"/>
          <w:szCs w:val="18"/>
          <w:lang w:val="en-GB"/>
        </w:rPr>
        <w:t>(T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wt</w:t>
      </w:r>
      <w:r>
        <w:rPr>
          <w:rFonts w:cs="Arial" w:ascii="Arial" w:hAnsi="Arial"/>
          <w:sz w:val="18"/>
          <w:szCs w:val="18"/>
          <w:lang w:val="en-GB"/>
        </w:rPr>
        <w:t>: 36.86 ± 16.84, T</w:t>
      </w:r>
      <w:r>
        <w:rPr>
          <w:rFonts w:cs="Arial" w:ascii="Arial" w:hAnsi="Arial"/>
          <w:sz w:val="18"/>
          <w:szCs w:val="18"/>
          <w:vertAlign w:val="subscript"/>
          <w:lang w:val="en-GB"/>
        </w:rPr>
        <w:t>Rec</w:t>
      </w:r>
      <w:r>
        <w:rPr>
          <w:rFonts w:cs="Arial" w:ascii="Arial" w:hAnsi="Arial"/>
          <w:sz w:val="18"/>
          <w:szCs w:val="18"/>
          <w:lang w:val="en-GB"/>
        </w:rPr>
        <w:t xml:space="preserve">- </w:t>
      </w:r>
      <w:r>
        <w:rPr>
          <w:rFonts w:cs="Arial" w:ascii="Arial" w:hAnsi="Arial"/>
          <w:i/>
          <w:sz w:val="18"/>
          <w:szCs w:val="18"/>
          <w:lang w:val="en-GB"/>
        </w:rPr>
        <w:t>efa6</w:t>
      </w:r>
      <w:r>
        <w:rPr>
          <w:rFonts w:cs="Arial" w:ascii="Arial" w:hAnsi="Arial"/>
          <w:i/>
          <w:sz w:val="18"/>
          <w:szCs w:val="18"/>
          <w:vertAlign w:val="superscript"/>
          <w:lang w:val="en-GB"/>
        </w:rPr>
        <w:t>-</w:t>
      </w:r>
      <w:r>
        <w:rPr>
          <w:rFonts w:cs="Arial" w:ascii="Arial" w:hAnsi="Arial"/>
          <w:i/>
          <w:sz w:val="18"/>
          <w:szCs w:val="18"/>
          <w:lang w:val="en-GB"/>
        </w:rPr>
        <w:t>/efa6</w:t>
      </w:r>
      <w:r>
        <w:rPr>
          <w:rFonts w:cs="Arial" w:ascii="Arial" w:hAnsi="Arial"/>
          <w:sz w:val="18"/>
          <w:szCs w:val="18"/>
          <w:vertAlign w:val="superscript"/>
          <w:lang w:val="en-GB"/>
        </w:rPr>
        <w:t>-</w:t>
      </w:r>
      <w:r>
        <w:rPr>
          <w:rFonts w:cs="Arial" w:ascii="Arial" w:hAnsi="Arial"/>
          <w:sz w:val="18"/>
          <w:szCs w:val="18"/>
          <w:lang w:val="en-GB"/>
        </w:rPr>
        <w:t>: 152.6s ± 52.42SD; P</w:t>
      </w:r>
      <w:r>
        <w:rPr>
          <w:rFonts w:cs="Arial" w:ascii="Arial" w:hAnsi="Arial"/>
          <w:sz w:val="18"/>
          <w:szCs w:val="18"/>
          <w:vertAlign w:val="subscript"/>
          <w:lang w:val="en-GB"/>
        </w:rPr>
        <w:t>MW</w:t>
      </w:r>
      <w:r>
        <w:rPr>
          <w:rFonts w:cs="Arial" w:ascii="Arial" w:hAnsi="Arial"/>
          <w:sz w:val="18"/>
          <w:szCs w:val="18"/>
          <w:lang w:val="en-GB"/>
        </w:rPr>
        <w:t xml:space="preserve"> &lt; </w:t>
      </w:r>
      <w:r>
        <w:rPr>
          <w:rFonts w:cs="Arial" w:ascii="Arial" w:hAnsi="Arial"/>
          <w:b/>
          <w:sz w:val="18"/>
          <w:szCs w:val="18"/>
          <w:lang w:val="en-GB"/>
        </w:rPr>
        <w:t>0.0001</w:t>
      </w:r>
      <w:r>
        <w:rPr>
          <w:rFonts w:cs="Arial" w:ascii="Arial" w:hAnsi="Arial"/>
          <w:sz w:val="18"/>
          <w:szCs w:val="18"/>
          <w:lang w:val="en-GB"/>
        </w:rPr>
        <w:t>);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para</w:t>
      </w:r>
      <w:r>
        <w:rPr>
          <w:rFonts w:cs="Arial" w:ascii="Arial" w:hAnsi="Arial"/>
          <w:i/>
          <w:sz w:val="18"/>
          <w:szCs w:val="18"/>
          <w:vertAlign w:val="superscript"/>
          <w:lang w:val="en-GB"/>
        </w:rPr>
        <w:t>bss1</w:t>
      </w:r>
      <w:r>
        <w:rPr>
          <w:rFonts w:cs="Arial" w:ascii="Arial" w:hAnsi="Arial"/>
          <w:sz w:val="18"/>
          <w:szCs w:val="18"/>
          <w:lang w:val="en-GB"/>
        </w:rPr>
        <w:t>:, T</w:t>
      </w:r>
      <w:r>
        <w:rPr>
          <w:rFonts w:cs="Arial" w:ascii="Arial" w:hAnsi="Arial"/>
          <w:sz w:val="18"/>
          <w:szCs w:val="18"/>
          <w:vertAlign w:val="subscript"/>
          <w:lang w:val="en-GB"/>
        </w:rPr>
        <w:t>Rec</w:t>
      </w:r>
      <w:r>
        <w:rPr>
          <w:rFonts w:cs="Arial" w:ascii="Arial" w:hAnsi="Arial"/>
          <w:sz w:val="18"/>
          <w:szCs w:val="18"/>
          <w:lang w:val="en-GB"/>
        </w:rPr>
        <w:t>- efa6</w:t>
      </w:r>
      <w:r>
        <w:rPr>
          <w:rFonts w:cs="Arial" w:ascii="Arial" w:hAnsi="Arial"/>
          <w:sz w:val="18"/>
          <w:szCs w:val="18"/>
          <w:vertAlign w:val="superscript"/>
          <w:lang w:val="en-GB"/>
        </w:rPr>
        <w:t>-</w:t>
      </w:r>
      <w:r>
        <w:rPr>
          <w:rFonts w:cs="Arial" w:ascii="Arial" w:hAnsi="Arial"/>
          <w:sz w:val="18"/>
          <w:szCs w:val="18"/>
          <w:lang w:val="en-GB"/>
        </w:rPr>
        <w:t>/efa6</w:t>
      </w:r>
      <w:r>
        <w:rPr>
          <w:rFonts w:cs="Arial" w:ascii="Arial" w:hAnsi="Arial"/>
          <w:sz w:val="18"/>
          <w:szCs w:val="18"/>
          <w:vertAlign w:val="superscript"/>
          <w:lang w:val="en-GB"/>
        </w:rPr>
        <w:t>-</w:t>
      </w:r>
      <w:r>
        <w:rPr>
          <w:rFonts w:cs="Arial" w:ascii="Arial" w:hAnsi="Arial"/>
          <w:sz w:val="18"/>
          <w:szCs w:val="18"/>
          <w:lang w:val="en-GB"/>
        </w:rPr>
        <w:t>: 152.6s ± 52.42SD; P</w:t>
      </w:r>
      <w:r>
        <w:rPr>
          <w:rFonts w:cs="Arial" w:ascii="Arial" w:hAnsi="Arial"/>
          <w:sz w:val="18"/>
          <w:szCs w:val="18"/>
          <w:vertAlign w:val="subscript"/>
          <w:lang w:val="en-GB"/>
        </w:rPr>
        <w:t>MW</w:t>
      </w:r>
      <w:r>
        <w:rPr>
          <w:rFonts w:cs="Arial" w:ascii="Arial" w:hAnsi="Arial"/>
          <w:sz w:val="18"/>
          <w:szCs w:val="18"/>
          <w:lang w:val="en-GB"/>
        </w:rPr>
        <w:t xml:space="preserve"> = </w:t>
      </w:r>
      <w:r>
        <w:rPr>
          <w:rFonts w:cs="Arial" w:ascii="Arial" w:hAnsi="Arial"/>
          <w:b/>
          <w:sz w:val="18"/>
          <w:szCs w:val="18"/>
          <w:lang w:val="en-GB"/>
        </w:rPr>
        <w:t>0.5100</w:t>
      </w:r>
      <w:r>
        <w:rPr>
          <w:rFonts w:cs="Arial" w:ascii="Arial" w:hAnsi="Arial"/>
          <w:sz w:val="18"/>
          <w:szCs w:val="18"/>
          <w:lang w:val="en-GB"/>
        </w:rPr>
        <w:t>);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 xml:space="preserve"> efa6</w:t>
      </w:r>
      <w:r>
        <w:rPr>
          <w:rFonts w:cs="Arial" w:ascii="Arial" w:hAnsi="Arial"/>
          <w:i/>
          <w:sz w:val="18"/>
          <w:szCs w:val="18"/>
          <w:vertAlign w:val="superscript"/>
          <w:lang w:val="en-GB"/>
        </w:rPr>
        <w:t>-</w:t>
      </w:r>
      <w:r>
        <w:rPr>
          <w:rFonts w:cs="Arial" w:ascii="Arial" w:hAnsi="Arial"/>
          <w:i/>
          <w:sz w:val="18"/>
          <w:szCs w:val="18"/>
          <w:lang w:val="en-GB"/>
        </w:rPr>
        <w:t>/efa6</w:t>
      </w:r>
      <w:r>
        <w:rPr>
          <w:rFonts w:cs="Arial" w:ascii="Arial" w:hAnsi="Arial"/>
          <w:sz w:val="18"/>
          <w:szCs w:val="18"/>
          <w:vertAlign w:val="superscript"/>
          <w:lang w:val="en-GB"/>
        </w:rPr>
        <w:t>-</w:t>
      </w:r>
      <w:r>
        <w:rPr>
          <w:rFonts w:cs="Arial" w:ascii="Arial" w:hAnsi="Arial"/>
          <w:sz w:val="18"/>
          <w:szCs w:val="18"/>
          <w:lang w:val="en-GB"/>
        </w:rPr>
        <w:t>: 152.6s ± 52.42SD, T</w:t>
      </w:r>
      <w:r>
        <w:rPr>
          <w:rFonts w:cs="Arial" w:ascii="Arial" w:hAnsi="Arial"/>
          <w:sz w:val="18"/>
          <w:szCs w:val="18"/>
          <w:vertAlign w:val="subscript"/>
          <w:lang w:val="en-GB"/>
        </w:rPr>
        <w:t>Rec</w:t>
      </w:r>
      <w:r>
        <w:rPr>
          <w:rFonts w:cs="Arial" w:ascii="Arial" w:hAnsi="Arial"/>
          <w:sz w:val="18"/>
          <w:szCs w:val="18"/>
          <w:lang w:val="en-GB"/>
        </w:rPr>
        <w:t>- doubles</w:t>
      </w:r>
      <w:r>
        <w:rPr>
          <w:rFonts w:cs="Arial" w:ascii="Arial" w:hAnsi="Arial"/>
          <w:sz w:val="18"/>
          <w:szCs w:val="18"/>
          <w:vertAlign w:val="superscript"/>
          <w:lang w:val="en-GB"/>
        </w:rPr>
        <w:t>-</w:t>
      </w:r>
      <w:r>
        <w:rPr>
          <w:rFonts w:cs="Arial" w:ascii="Arial" w:hAnsi="Arial"/>
          <w:sz w:val="18"/>
          <w:szCs w:val="18"/>
          <w:lang w:val="en-GB"/>
        </w:rPr>
        <w:t>: 88.93 ± 37.78 SD; P</w:t>
      </w:r>
      <w:r>
        <w:rPr>
          <w:rFonts w:cs="Arial" w:ascii="Arial" w:hAnsi="Arial"/>
          <w:sz w:val="18"/>
          <w:szCs w:val="18"/>
          <w:vertAlign w:val="subscript"/>
          <w:lang w:val="en-GB"/>
        </w:rPr>
        <w:t>MW</w:t>
      </w:r>
      <w:r>
        <w:rPr>
          <w:rFonts w:cs="Arial" w:ascii="Arial" w:hAnsi="Arial"/>
          <w:sz w:val="18"/>
          <w:szCs w:val="18"/>
          <w:lang w:val="en-GB"/>
        </w:rPr>
        <w:t xml:space="preserve"> &lt; </w:t>
      </w:r>
      <w:r>
        <w:rPr>
          <w:rFonts w:cs="Arial" w:ascii="Arial" w:hAnsi="Arial"/>
          <w:b/>
          <w:sz w:val="18"/>
          <w:szCs w:val="18"/>
          <w:lang w:val="en-GB"/>
        </w:rPr>
        <w:t>0.0001</w:t>
      </w:r>
      <w:r>
        <w:rPr>
          <w:rFonts w:cs="Arial" w:ascii="Arial" w:hAnsi="Arial"/>
          <w:sz w:val="18"/>
          <w:szCs w:val="18"/>
          <w:lang w:val="en-GB"/>
        </w:rPr>
        <w:t>) and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 xml:space="preserve"> efa6</w:t>
      </w:r>
      <w:r>
        <w:rPr>
          <w:rFonts w:cs="Arial" w:ascii="Arial" w:hAnsi="Arial"/>
          <w:i/>
          <w:sz w:val="18"/>
          <w:szCs w:val="18"/>
          <w:vertAlign w:val="superscript"/>
          <w:lang w:val="en-GB"/>
        </w:rPr>
        <w:t>-</w:t>
      </w:r>
      <w:r>
        <w:rPr>
          <w:rFonts w:cs="Arial" w:ascii="Arial" w:hAnsi="Arial"/>
          <w:i/>
          <w:sz w:val="18"/>
          <w:szCs w:val="18"/>
          <w:lang w:val="en-GB"/>
        </w:rPr>
        <w:t>/efa6</w:t>
      </w:r>
      <w:r>
        <w:rPr>
          <w:rFonts w:cs="Arial" w:ascii="Arial" w:hAnsi="Arial"/>
          <w:sz w:val="18"/>
          <w:szCs w:val="18"/>
          <w:vertAlign w:val="superscript"/>
          <w:lang w:val="en-GB"/>
        </w:rPr>
        <w:t>-</w:t>
      </w:r>
      <w:r>
        <w:rPr>
          <w:rFonts w:cs="Arial" w:ascii="Arial" w:hAnsi="Arial"/>
          <w:sz w:val="18"/>
          <w:szCs w:val="18"/>
          <w:lang w:val="en-GB"/>
        </w:rPr>
        <w:t>: 152.6s ± 52.42SD,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triples</w:t>
      </w:r>
      <w:r>
        <w:rPr>
          <w:rFonts w:cs="Arial" w:ascii="Arial" w:hAnsi="Arial"/>
          <w:sz w:val="18"/>
          <w:szCs w:val="18"/>
          <w:vertAlign w:val="superscript"/>
          <w:lang w:val="en-GB"/>
        </w:rPr>
        <w:t>-</w:t>
      </w:r>
      <w:r>
        <w:rPr>
          <w:rFonts w:cs="Arial" w:ascii="Arial" w:hAnsi="Arial"/>
          <w:sz w:val="18"/>
          <w:szCs w:val="18"/>
          <w:lang w:val="en-GB"/>
        </w:rPr>
        <w:t>:127.3s ± 53.25SD; P</w:t>
      </w:r>
      <w:r>
        <w:rPr>
          <w:rFonts w:cs="Arial" w:ascii="Arial" w:hAnsi="Arial"/>
          <w:sz w:val="18"/>
          <w:szCs w:val="18"/>
          <w:vertAlign w:val="subscript"/>
          <w:lang w:val="en-GB"/>
        </w:rPr>
        <w:t>MW</w:t>
      </w:r>
      <w:r>
        <w:rPr>
          <w:rFonts w:cs="Arial" w:ascii="Arial" w:hAnsi="Arial"/>
          <w:sz w:val="18"/>
          <w:szCs w:val="18"/>
          <w:lang w:val="en-GB"/>
        </w:rPr>
        <w:t xml:space="preserve"> &lt; </w:t>
      </w:r>
      <w:r>
        <w:rPr>
          <w:rFonts w:cs="Arial" w:ascii="Arial" w:hAnsi="Arial"/>
          <w:b/>
          <w:sz w:val="18"/>
          <w:szCs w:val="18"/>
          <w:lang w:val="en-GB"/>
        </w:rPr>
        <w:t>0.05</w:t>
      </w:r>
      <w:r>
        <w:rPr>
          <w:rFonts w:cs="Arial" w:ascii="Arial" w:hAnsi="Arial"/>
          <w:sz w:val="18"/>
          <w:szCs w:val="18"/>
          <w:lang w:val="en-GB"/>
        </w:rPr>
        <w:t>). Each bars shows the mean T</w:t>
      </w:r>
      <w:r>
        <w:rPr>
          <w:rFonts w:cs="Arial" w:ascii="Arial" w:hAnsi="Arial"/>
          <w:sz w:val="18"/>
          <w:szCs w:val="18"/>
          <w:vertAlign w:val="subscript"/>
          <w:lang w:val="en-GB"/>
        </w:rPr>
        <w:t>Rec</w:t>
      </w:r>
      <w:r>
        <w:rPr>
          <w:rFonts w:cs="Arial" w:ascii="Arial" w:hAnsi="Arial"/>
          <w:sz w:val="18"/>
          <w:szCs w:val="18"/>
          <w:lang w:val="en-GB"/>
        </w:rPr>
        <w:t>, error bars indicate SD, **** p&lt;0.0001, * p&lt;0.05, ns = no significant.</w:t>
      </w:r>
    </w:p>
    <w:p>
      <w:pPr>
        <w:pStyle w:val="Normal"/>
        <w:spacing w:lineRule="auto" w:line="240" w:before="120" w:after="0"/>
        <w:jc w:val="both"/>
        <w:rPr>
          <w:rFonts w:ascii="Arial" w:hAnsi="Arial" w:cs="Arial"/>
          <w:sz w:val="18"/>
          <w:szCs w:val="18"/>
          <w:lang w:val="en-GB"/>
        </w:rPr>
      </w:pPr>
      <w:r>
        <w:rPr>
          <w:rFonts w:cs="Arial" w:ascii="Arial" w:hAnsi="Arial"/>
          <w:sz w:val="18"/>
          <w:szCs w:val="18"/>
          <w:lang w:val="en-GB"/>
        </w:rPr>
      </w:r>
    </w:p>
    <w:p>
      <w:pPr>
        <w:pStyle w:val="Normal"/>
        <w:spacing w:lineRule="auto" w:line="240" w:before="120" w:after="0"/>
        <w:jc w:val="both"/>
        <w:rPr>
          <w:rFonts w:ascii="Arial" w:hAnsi="Arial" w:cs="Arial"/>
          <w:sz w:val="18"/>
          <w:szCs w:val="18"/>
          <w:lang w:val="en-GB"/>
        </w:rPr>
      </w:pPr>
      <w:r>
        <w:rPr>
          <w:rFonts w:cs="Arial" w:ascii="Arial" w:hAnsi="Arial"/>
          <w:sz w:val="18"/>
          <w:szCs w:val="18"/>
          <w:lang w:val="en-GB"/>
        </w:rPr>
      </w:r>
    </w:p>
    <w:p>
      <w:pPr>
        <w:pStyle w:val="ListParagraph"/>
        <w:numPr>
          <w:ilvl w:val="1"/>
          <w:numId w:val="2"/>
        </w:numPr>
        <w:spacing w:before="120" w:after="0"/>
        <w:contextualSpacing/>
        <w:jc w:val="both"/>
        <w:rPr>
          <w:rFonts w:ascii="Arial" w:hAnsi="Arial" w:cs="Arial"/>
          <w:sz w:val="20"/>
          <w:szCs w:val="20"/>
          <w:u w:val="single"/>
          <w:lang w:val="en-GB"/>
        </w:rPr>
      </w:pPr>
      <w:r>
        <w:rPr>
          <w:rFonts w:cs="Arial" w:ascii="Arial" w:hAnsi="Arial"/>
          <w:sz w:val="20"/>
          <w:szCs w:val="20"/>
          <w:u w:val="single"/>
          <w:lang w:val="en-GB"/>
        </w:rPr>
        <w:t xml:space="preserve">The cytoskeleton of motorneurons is implicated in seizure-like phenotype. </w:t>
      </w:r>
    </w:p>
    <w:p>
      <w:pPr>
        <w:pStyle w:val="Normal"/>
        <w:spacing w:lineRule="auto" w:line="360" w:before="120" w:after="0"/>
        <w:jc w:val="both"/>
        <w:rPr/>
      </w:pPr>
      <w:r>
        <w:rPr>
          <w:rFonts w:cs="Arial" w:ascii="Arial" w:hAnsi="Arial"/>
          <w:bCs/>
          <w:i/>
          <w:iCs/>
          <w:sz w:val="20"/>
          <w:szCs w:val="20"/>
          <w:lang w:val="en-US"/>
        </w:rPr>
        <w:t>Eb1</w:t>
      </w:r>
      <w:r>
        <w:rPr>
          <w:rFonts w:cs="Arial" w:ascii="Arial" w:hAnsi="Arial"/>
          <w:bCs/>
          <w:i/>
          <w:iCs/>
          <w:sz w:val="20"/>
          <w:szCs w:val="20"/>
          <w:vertAlign w:val="superscript"/>
          <w:lang w:val="en-US"/>
        </w:rPr>
        <w:t>04524/+</w:t>
      </w:r>
      <w:r>
        <w:rPr>
          <w:rFonts w:cs="Arial" w:ascii="Arial" w:hAnsi="Arial"/>
          <w:bCs/>
          <w:i/>
          <w:iCs/>
          <w:sz w:val="20"/>
          <w:szCs w:val="20"/>
          <w:lang w:val="en-US"/>
        </w:rPr>
        <w:t xml:space="preserve"> msps</w:t>
      </w:r>
      <w:r>
        <w:rPr>
          <w:rFonts w:cs="Arial" w:ascii="Arial" w:hAnsi="Arial"/>
          <w:bCs/>
          <w:i/>
          <w:iCs/>
          <w:sz w:val="20"/>
          <w:szCs w:val="20"/>
          <w:vertAlign w:val="superscript"/>
          <w:lang w:val="en-US"/>
        </w:rPr>
        <w:t>1/+</w:t>
      </w:r>
      <w:r>
        <w:rPr>
          <w:rFonts w:cs="Arial" w:ascii="Arial" w:hAnsi="Arial"/>
          <w:bCs/>
          <w:i/>
          <w:iCs/>
          <w:sz w:val="20"/>
          <w:szCs w:val="20"/>
          <w:lang w:val="en-US"/>
        </w:rPr>
        <w:t xml:space="preserve"> tau</w:t>
      </w:r>
      <w:r>
        <w:rPr>
          <w:rFonts w:cs="Arial" w:ascii="Arial" w:hAnsi="Arial"/>
          <w:bCs/>
          <w:i/>
          <w:iCs/>
          <w:sz w:val="20"/>
          <w:szCs w:val="20"/>
          <w:vertAlign w:val="superscript"/>
          <w:lang w:val="en-US"/>
        </w:rPr>
        <w:t>ko/+</w:t>
      </w:r>
      <w:r>
        <w:rPr>
          <w:rFonts w:cs="Arial" w:ascii="Arial" w:hAnsi="Arial"/>
          <w:sz w:val="20"/>
          <w:szCs w:val="20"/>
          <w:lang w:val="en-GB"/>
        </w:rPr>
        <w:t xml:space="preserve"> triple-heterozygous larvae display true seizure-like phenotypes. However, mutations affecting these larvae are present in all the cells of the body. One of the aims of this study was to determine which subset of neurons are implicated in seizure-like phenotype in </w:t>
      </w:r>
      <w:r>
        <w:rPr>
          <w:rFonts w:cs="Arial" w:ascii="Arial" w:hAnsi="Arial"/>
          <w:i/>
          <w:sz w:val="20"/>
          <w:szCs w:val="20"/>
          <w:lang w:val="en-GB"/>
        </w:rPr>
        <w:t>Drosophila</w:t>
      </w:r>
      <w:r>
        <w:rPr>
          <w:rFonts w:cs="Arial" w:ascii="Arial" w:hAnsi="Arial"/>
          <w:sz w:val="20"/>
          <w:szCs w:val="20"/>
          <w:lang w:val="en-GB"/>
        </w:rPr>
        <w:t xml:space="preserve"> larvae. For this, RNAi technique was applied in three different subsets of neurons to knocking-down </w:t>
      </w:r>
      <w:r>
        <w:rPr>
          <w:rFonts w:cs="Arial" w:ascii="Arial" w:hAnsi="Arial"/>
          <w:i/>
          <w:sz w:val="20"/>
          <w:szCs w:val="20"/>
          <w:lang w:val="en-GB"/>
        </w:rPr>
        <w:t>Eb1</w:t>
      </w:r>
      <w:r>
        <w:rPr>
          <w:rFonts w:cs="Arial" w:ascii="Arial" w:hAnsi="Arial"/>
          <w:sz w:val="20"/>
          <w:szCs w:val="20"/>
          <w:lang w:val="en-GB"/>
        </w:rPr>
        <w:t xml:space="preserve"> using the UAS/Gal4 system, in which the Gal4 transcription factor is expressed specifically in one tissue and allow the transcription of a gene under the UAS control </w:t>
      </w:r>
      <w:r>
        <w:fldChar w:fldCharType="begin"/>
      </w:r>
      <w:r>
        <w:rPr/>
        <w:instrText>ADDIN EN.CITE &lt;EndNote&gt;&lt;Cite&gt;&lt;Author&gt;Duffy&lt;/Author&gt;&lt;Year&gt;2002&lt;/Year&gt;&lt;RecNum&gt;114&lt;/RecNum&gt;&lt;DisplayText&gt;(Duffy, 2002)&lt;/DisplayText&gt;&lt;record&gt;&lt;rec-number&gt;114&lt;/rec-number&gt;&lt;foreign-keys&gt;&lt;key app="EN" db-id="vedta2ppje59fceprax5xvwqzxt2awx0xd99"&gt;114&lt;/key&gt;&lt;/foreign-keys&gt;&lt;ref-type name="Journal Article"&gt;17&lt;/ref-type&gt;&lt;contributors&gt;&lt;authors&gt;&lt;author&gt;Duffy, J. B.&lt;/author&gt;&lt;/authors&gt;&lt;/contributors&gt;&lt;titles&gt;&lt;title&gt;&lt;style face="normal" font="default" size="100%"&gt;GAL4 system in &lt;/style&gt;&lt;style face="italic" font="default" size="100%"&gt;Drosophila&lt;/style&gt;&lt;style face="normal" font="default" size="100%"&gt;: a fly geneticist&amp;apos;s Swiss army knife&lt;/style&gt;&lt;/title&gt;&lt;secondary-title&gt;Genesis&lt;/secondary-title&gt;&lt;/titles&gt;&lt;periodical&gt;&lt;full-title&gt;Genesis&lt;/full-title&gt;&lt;/periodical&gt;&lt;pages&gt;1-15&lt;/pages&gt;&lt;volume&gt;34&lt;/volume&gt;&lt;number&gt;1-2&lt;/number&gt;&lt;keywords&gt;&lt;keyword&gt;methods&lt;/keyword&gt;&lt;keyword&gt;techniques&lt;/keyword&gt;&lt;keyword&gt;Gal4&lt;/keyword&gt;&lt;/keywords&gt;&lt;dates&gt;&lt;year&gt;2002&lt;/year&gt;&lt;pub-dates&gt;&lt;date&gt;Sep-Oct&lt;/date&gt;&lt;/pub-dates&gt;&lt;/dates&gt;&lt;label&gt;PDF&lt;/label&gt;&lt;urls&gt;&lt;/urls&gt;&lt;/record&gt;&lt;/Cite&gt;&lt;/EndNote&gt;</w:instrText>
      </w:r>
      <w:r>
        <w:rPr/>
        <w:fldChar w:fldCharType="separate"/>
      </w:r>
      <w:bookmarkStart w:id="91" w:name="__Fieldmark__2089_4090835577"/>
      <w:r>
        <w:rPr/>
      </w:r>
      <w:r>
        <w:rPr>
          <w:rFonts w:cs="Arial" w:ascii="Arial" w:hAnsi="Arial"/>
          <w:sz w:val="20"/>
          <w:szCs w:val="20"/>
          <w:lang w:val="en-GB"/>
        </w:rPr>
        <w:t>(Duffy, 2002)</w:t>
      </w:r>
      <w:r>
        <w:rPr/>
      </w:r>
      <w:r>
        <w:rPr/>
        <w:fldChar w:fldCharType="end"/>
      </w:r>
      <w:hyperlink w:anchor="_ENREF_13" w:tgtFrame="Duffy, 2002 #114">
        <w:bookmarkEnd w:id="91"/>
        <w:r>
          <w:rPr>
            <w:rFonts w:cs="Arial" w:ascii="Arial" w:hAnsi="Arial"/>
            <w:sz w:val="20"/>
            <w:szCs w:val="20"/>
            <w:lang w:val="en-GB"/>
          </w:rPr>
          <w:t xml:space="preserve">. </w:t>
        </w:r>
      </w:hyperlink>
    </w:p>
    <w:p>
      <w:pPr>
        <w:pStyle w:val="Normal"/>
        <w:spacing w:lineRule="auto" w:line="360" w:before="120" w:after="0"/>
        <w:jc w:val="both"/>
        <w:rPr/>
      </w:pPr>
      <w:r>
        <w:rPr>
          <w:rFonts w:cs="Arial" w:ascii="Arial" w:hAnsi="Arial"/>
          <w:sz w:val="20"/>
          <w:szCs w:val="20"/>
          <w:lang w:val="en-GB"/>
        </w:rPr>
        <w:t xml:space="preserve">Knocking down </w:t>
      </w:r>
      <w:r>
        <w:rPr>
          <w:rFonts w:cs="Arial" w:ascii="Arial" w:hAnsi="Arial"/>
          <w:i/>
          <w:sz w:val="20"/>
          <w:szCs w:val="20"/>
          <w:lang w:val="en-GB"/>
        </w:rPr>
        <w:t>Eb1</w:t>
      </w:r>
      <w:r>
        <w:rPr>
          <w:rFonts w:cs="Arial" w:ascii="Arial" w:hAnsi="Arial"/>
          <w:sz w:val="20"/>
          <w:szCs w:val="20"/>
          <w:lang w:val="en-GB"/>
        </w:rPr>
        <w:t xml:space="preserve"> in </w:t>
      </w:r>
      <w:r>
        <w:rPr>
          <w:rFonts w:cs="Arial" w:ascii="Arial" w:hAnsi="Arial"/>
          <w:b/>
          <w:sz w:val="20"/>
          <w:szCs w:val="20"/>
          <w:lang w:val="en-GB"/>
        </w:rPr>
        <w:t>all neurons</w:t>
      </w:r>
      <w:r>
        <w:rPr>
          <w:rFonts w:cs="Arial" w:ascii="Arial" w:hAnsi="Arial"/>
          <w:sz w:val="20"/>
          <w:szCs w:val="20"/>
          <w:lang w:val="en-GB"/>
        </w:rPr>
        <w:t xml:space="preserve"> of the L3 larvae CNS using an </w:t>
      </w:r>
      <w:r>
        <w:rPr>
          <w:rFonts w:cs="Arial" w:ascii="Arial" w:hAnsi="Arial"/>
          <w:i/>
          <w:sz w:val="20"/>
          <w:szCs w:val="20"/>
          <w:lang w:val="en-GB"/>
        </w:rPr>
        <w:t>elav</w:t>
      </w:r>
      <w:r>
        <w:rPr>
          <w:rFonts w:cs="Arial" w:ascii="Arial" w:hAnsi="Arial"/>
          <w:sz w:val="20"/>
          <w:szCs w:val="20"/>
          <w:lang w:val="en-GB"/>
        </w:rPr>
        <w:t xml:space="preserve"> promoter led to a severe  increase in recovery time by by </w:t>
      </w:r>
      <w:r>
        <w:rPr>
          <w:rFonts w:cs="Arial" w:ascii="Arial" w:hAnsi="Arial"/>
          <w:b/>
          <w:sz w:val="20"/>
          <w:szCs w:val="20"/>
          <w:lang w:val="en-GB"/>
        </w:rPr>
        <w:t>217</w:t>
      </w:r>
      <w:r>
        <w:rPr>
          <w:rFonts w:cs="Arial" w:ascii="Arial" w:hAnsi="Arial"/>
          <w:sz w:val="20"/>
          <w:szCs w:val="20"/>
          <w:lang w:val="en-GB"/>
        </w:rPr>
        <w:t xml:space="preserve">% in </w:t>
      </w:r>
      <w:r>
        <w:rPr>
          <w:rFonts w:cs="Arial" w:ascii="Arial" w:hAnsi="Arial"/>
          <w:i/>
          <w:sz w:val="20"/>
          <w:szCs w:val="20"/>
          <w:lang w:val="en-GB"/>
        </w:rPr>
        <w:t>elav-GAL4 UAS-Eb1-RNA</w:t>
      </w:r>
      <w:r>
        <w:rPr>
          <w:rFonts w:cs="Arial" w:ascii="Arial" w:hAnsi="Arial"/>
          <w:i/>
          <w:sz w:val="20"/>
          <w:szCs w:val="20"/>
          <w:vertAlign w:val="subscript"/>
          <w:lang w:val="en-GB"/>
        </w:rPr>
        <w:t>i</w:t>
      </w:r>
      <w:r>
        <w:rPr>
          <w:rFonts w:cs="Arial" w:ascii="Arial" w:hAnsi="Arial"/>
          <w:sz w:val="20"/>
          <w:szCs w:val="20"/>
          <w:lang w:val="en-GB"/>
        </w:rPr>
        <w:t xml:space="preserve"> compared to Oregon-R larvae (Fig.7a). We could expect to have a stronger phenotype in triple-heterozygous because they have three genes mutated which are important for MTs organisation. However, no significant difference was find between T</w:t>
      </w:r>
      <w:r>
        <w:rPr>
          <w:rFonts w:cs="Arial" w:ascii="Arial" w:hAnsi="Arial"/>
          <w:sz w:val="20"/>
          <w:szCs w:val="20"/>
          <w:vertAlign w:val="subscript"/>
          <w:lang w:val="en-GB"/>
        </w:rPr>
        <w:t>Rec</w:t>
      </w:r>
      <w:r>
        <w:rPr>
          <w:rFonts w:cs="Arial" w:ascii="Arial" w:hAnsi="Arial"/>
          <w:sz w:val="20"/>
          <w:szCs w:val="20"/>
          <w:lang w:val="en-GB"/>
        </w:rPr>
        <w:t xml:space="preserve"> of triple heterozygous and </w:t>
      </w:r>
      <w:r>
        <w:rPr>
          <w:rFonts w:cs="Arial" w:ascii="Arial" w:hAnsi="Arial"/>
          <w:i/>
          <w:sz w:val="20"/>
          <w:szCs w:val="20"/>
          <w:lang w:val="en-GB"/>
        </w:rPr>
        <w:t>elav-GAL4 UAS-Eb1-RNA</w:t>
      </w:r>
      <w:r>
        <w:rPr>
          <w:rFonts w:cs="Arial" w:ascii="Arial" w:hAnsi="Arial"/>
          <w:i/>
          <w:sz w:val="20"/>
          <w:szCs w:val="20"/>
          <w:vertAlign w:val="subscript"/>
          <w:lang w:val="en-GB"/>
        </w:rPr>
        <w:t>i</w:t>
      </w:r>
      <w:r>
        <w:rPr>
          <w:rFonts w:cs="Arial" w:ascii="Arial" w:hAnsi="Arial"/>
          <w:sz w:val="20"/>
          <w:szCs w:val="20"/>
          <w:lang w:val="en-GB"/>
        </w:rPr>
        <w:t xml:space="preserve"> larvae</w:t>
      </w:r>
      <w:r>
        <w:rPr>
          <w:rFonts w:cs="Arial" w:ascii="Arial" w:hAnsi="Arial"/>
          <w:b/>
          <w:sz w:val="20"/>
          <w:szCs w:val="20"/>
          <w:lang w:val="en-GB"/>
        </w:rPr>
        <w:t xml:space="preserve">. </w:t>
      </w:r>
      <w:r>
        <w:rPr>
          <w:rFonts w:cs="Arial" w:ascii="Arial" w:hAnsi="Arial"/>
          <w:sz w:val="20"/>
          <w:szCs w:val="20"/>
          <w:lang w:val="en-GB"/>
        </w:rPr>
        <w:t xml:space="preserve">This results suggests that </w:t>
      </w:r>
      <w:r>
        <w:rPr>
          <w:rFonts w:cs="Arial" w:ascii="Arial" w:hAnsi="Arial"/>
          <w:i/>
          <w:sz w:val="20"/>
          <w:szCs w:val="20"/>
          <w:lang w:val="en-GB"/>
        </w:rPr>
        <w:t xml:space="preserve">Eb1 </w:t>
      </w:r>
      <w:r>
        <w:rPr>
          <w:rFonts w:cs="Arial" w:ascii="Arial" w:hAnsi="Arial"/>
          <w:sz w:val="20"/>
          <w:szCs w:val="20"/>
          <w:lang w:val="en-GB"/>
        </w:rPr>
        <w:t xml:space="preserve">are present in lower levels in </w:t>
      </w:r>
      <w:r>
        <w:rPr>
          <w:rFonts w:cs="Arial" w:ascii="Arial" w:hAnsi="Arial"/>
          <w:i/>
          <w:sz w:val="20"/>
          <w:szCs w:val="20"/>
          <w:lang w:val="en-GB"/>
        </w:rPr>
        <w:t>elav-GAL4 UAS-Eb1-RNA</w:t>
      </w:r>
      <w:r>
        <w:rPr>
          <w:rFonts w:cs="Arial" w:ascii="Arial" w:hAnsi="Arial"/>
          <w:i/>
          <w:sz w:val="20"/>
          <w:szCs w:val="20"/>
          <w:vertAlign w:val="subscript"/>
          <w:lang w:val="en-GB"/>
        </w:rPr>
        <w:t>i</w:t>
      </w:r>
      <w:r>
        <w:rPr>
          <w:rFonts w:cs="Arial" w:ascii="Arial" w:hAnsi="Arial"/>
          <w:sz w:val="20"/>
          <w:szCs w:val="20"/>
          <w:lang w:val="en-GB"/>
        </w:rPr>
        <w:t xml:space="preserve"> larvae compare to levels in the triple heterozygous. Thus, the RNA</w:t>
      </w:r>
      <w:r>
        <w:rPr>
          <w:rFonts w:cs="Arial" w:ascii="Arial" w:hAnsi="Arial"/>
          <w:sz w:val="20"/>
          <w:szCs w:val="20"/>
          <w:vertAlign w:val="subscript"/>
          <w:lang w:val="en-GB"/>
        </w:rPr>
        <w:t>i</w:t>
      </w:r>
      <w:r>
        <w:rPr>
          <w:rFonts w:cs="Arial" w:ascii="Arial" w:hAnsi="Arial"/>
          <w:sz w:val="20"/>
          <w:szCs w:val="20"/>
          <w:lang w:val="en-GB"/>
        </w:rPr>
        <w:t xml:space="preserve"> used here is very efficient as previously tested in Prokop’s laboratory </w:t>
      </w:r>
      <w:r>
        <w:fldChar w:fldCharType="begin"/>
      </w:r>
      <w:r>
        <w:rPr/>
        <w:instrText>ADDIN EN.CITE &lt;EndNote&gt;&lt;Cite&gt;&lt;Author&gt;Petzold&lt;/Author&gt;&lt;Year&gt;2018&lt;/Year&gt;&lt;RecNum&gt;9782&lt;/RecNum&gt;&lt;DisplayText&gt;(Petzold, 2018)&lt;/DisplayText&gt;&lt;record&gt;&lt;rec-number&gt;9782&lt;/rec-number&gt;&lt;foreign-keys&gt;&lt;key app="EN" db-id="vwexp2xatx0fvxeff5rxex5pvw2vepptvvfs"&gt;9782&lt;/key&gt;&lt;/foreign-keys&gt;&lt;ref-type name="Thesis"&gt;32&lt;/ref-type&gt;&lt;contributors&gt;&lt;authors&gt;&lt;author&gt;Petzold, T.&lt;/author&gt;&lt;/authors&gt;&lt;/contributors&gt;&lt;titles&gt;&lt;title&gt;&lt;style face="normal" font="default" size="100%"&gt;Does axonal microtubule unbundling induce seizure-like behaviour in &lt;/style&gt;&lt;style face="italic" font="default" size="100%"&gt;Drosophila &lt;/style&gt;&lt;style face="normal" font="default" size="100%"&gt;and what is the mechanism for this?&lt;/style&gt;&lt;/title&gt;&lt;secondary-title&gt;Faculty of Biology, Health and Medicine&lt;/secondary-title&gt;&lt;/titles&gt;&lt;pages&gt;26&lt;/pages&gt;&lt;dates&gt;&lt;year&gt;2018&lt;/year&gt;&lt;/dates&gt;&lt;pub-location&gt;Manchester&lt;/pub-location&gt;&lt;publisher&gt;The University of Manchester&lt;/publisher&gt;&lt;work-type&gt;Final year undergraduate project&lt;/work-type&gt;&lt;urls&gt;&lt;/urls&gt;&lt;/record&gt;&lt;/Cite&gt;&lt;/EndNote&gt;</w:instrText>
      </w:r>
      <w:r>
        <w:rPr/>
        <w:fldChar w:fldCharType="separate"/>
      </w:r>
      <w:bookmarkStart w:id="92" w:name="__Fieldmark__2148_4090835577"/>
      <w:r>
        <w:rPr/>
      </w:r>
      <w:r>
        <w:rPr>
          <w:rFonts w:cs="Arial" w:ascii="Arial" w:hAnsi="Arial"/>
          <w:sz w:val="20"/>
          <w:szCs w:val="20"/>
          <w:lang w:val="en-GB"/>
        </w:rPr>
        <w:t>(Petzold, 2018)</w:t>
      </w:r>
      <w:r>
        <w:rPr/>
      </w:r>
      <w:r>
        <w:rPr/>
        <w:fldChar w:fldCharType="end"/>
      </w:r>
      <w:hyperlink w:anchor="_ENREF_57" w:tgtFrame="Petzold, 2018 #9782">
        <w:bookmarkEnd w:id="92"/>
        <w:r>
          <w:rPr>
            <w:rFonts w:cs="Arial" w:ascii="Arial" w:hAnsi="Arial"/>
            <w:sz w:val="20"/>
            <w:szCs w:val="20"/>
            <w:lang w:val="en-GB"/>
          </w:rPr>
          <w:t xml:space="preserve"> . For a more accurate result, MT disorganisation would have to be compared between triple-heterozygous and </w:t>
        </w:r>
      </w:hyperlink>
      <w:r>
        <w:rPr>
          <w:rFonts w:cs="Arial" w:ascii="Arial" w:hAnsi="Arial"/>
          <w:i/>
          <w:sz w:val="20"/>
          <w:szCs w:val="20"/>
          <w:lang w:val="en-GB"/>
        </w:rPr>
        <w:t>Eb1-RNAi</w:t>
      </w:r>
      <w:r>
        <w:rPr>
          <w:rFonts w:cs="Arial" w:ascii="Arial" w:hAnsi="Arial"/>
          <w:sz w:val="20"/>
          <w:szCs w:val="20"/>
          <w:lang w:val="en-GB"/>
        </w:rPr>
        <w:t xml:space="preserve">, but I can speculate that MT disorganisation might be stronger in  </w:t>
      </w:r>
      <w:r>
        <w:rPr>
          <w:rFonts w:cs="Arial" w:ascii="Arial" w:hAnsi="Arial"/>
          <w:i/>
          <w:sz w:val="20"/>
          <w:szCs w:val="20"/>
          <w:lang w:val="en-GB"/>
        </w:rPr>
        <w:t>elav-GAL4 UAS-Eb1-RNA</w:t>
      </w:r>
      <w:r>
        <w:rPr>
          <w:rFonts w:cs="Arial" w:ascii="Arial" w:hAnsi="Arial"/>
          <w:i/>
          <w:sz w:val="20"/>
          <w:szCs w:val="20"/>
          <w:vertAlign w:val="subscript"/>
          <w:lang w:val="en-GB"/>
        </w:rPr>
        <w:t>i</w:t>
      </w:r>
      <w:r>
        <w:rPr>
          <w:rFonts w:cs="Arial" w:ascii="Arial" w:hAnsi="Arial"/>
          <w:sz w:val="20"/>
          <w:szCs w:val="20"/>
          <w:lang w:val="en-GB"/>
        </w:rPr>
        <w:t xml:space="preserve"> larvae.</w:t>
      </w:r>
    </w:p>
    <w:p>
      <w:pPr>
        <w:pStyle w:val="Normal"/>
        <w:spacing w:lineRule="auto" w:line="360" w:before="120" w:after="0"/>
        <w:jc w:val="both"/>
        <w:rPr>
          <w:rFonts w:ascii="Arial" w:hAnsi="Arial" w:cs="Arial"/>
          <w:b/>
          <w:b/>
          <w:sz w:val="18"/>
          <w:szCs w:val="18"/>
          <w:lang w:val="en-GB"/>
        </w:rPr>
      </w:pPr>
      <w:r>
        <w:rPr/>
        <w:drawing>
          <wp:inline distT="0" distB="6985" distL="0" distR="0">
            <wp:extent cx="5591810" cy="1802765"/>
            <wp:effectExtent l="0" t="0" r="0" b="0"/>
            <wp:docPr id="9" name="Imagem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31" descr=""/>
                    <pic:cNvPicPr>
                      <a:picLocks noChangeAspect="1" noChangeArrowheads="1"/>
                    </pic:cNvPicPr>
                  </pic:nvPicPr>
                  <pic:blipFill>
                    <a:blip r:embed="rId10"/>
                    <a:stretch>
                      <a:fillRect/>
                    </a:stretch>
                  </pic:blipFill>
                  <pic:spPr bwMode="auto">
                    <a:xfrm>
                      <a:off x="0" y="0"/>
                      <a:ext cx="5591810" cy="1802765"/>
                    </a:xfrm>
                    <a:prstGeom prst="rect">
                      <a:avLst/>
                    </a:prstGeom>
                  </pic:spPr>
                </pic:pic>
              </a:graphicData>
            </a:graphic>
          </wp:inline>
        </w:drawing>
      </w:r>
    </w:p>
    <w:p>
      <w:pPr>
        <w:pStyle w:val="Normal"/>
        <w:spacing w:lineRule="auto" w:line="240" w:before="120" w:after="0"/>
        <w:jc w:val="both"/>
        <w:rPr>
          <w:rFonts w:ascii="Arial" w:hAnsi="Arial" w:cs="Arial"/>
          <w:sz w:val="20"/>
          <w:szCs w:val="20"/>
          <w:lang w:val="en-GB"/>
        </w:rPr>
      </w:pPr>
      <w:r>
        <w:rPr>
          <w:rFonts w:cs="Arial" w:ascii="Arial" w:hAnsi="Arial"/>
          <w:b/>
          <w:sz w:val="18"/>
          <w:szCs w:val="18"/>
          <w:lang w:val="en-GB"/>
        </w:rPr>
        <w:t>Fig.7: Testing seizure-like phenotype in L3 larvae when Eb1-RNAi is applied in all the neurons of the CNS</w:t>
      </w:r>
      <w:r>
        <w:rPr>
          <w:rFonts w:cs="Arial" w:ascii="Arial" w:hAnsi="Arial"/>
          <w:sz w:val="18"/>
          <w:szCs w:val="18"/>
          <w:lang w:val="en-GB"/>
        </w:rPr>
        <w:t xml:space="preserve"> (Fig.7a), </w:t>
      </w:r>
      <w:r>
        <w:rPr>
          <w:rFonts w:cs="Arial" w:ascii="Arial" w:hAnsi="Arial"/>
          <w:b/>
          <w:sz w:val="18"/>
          <w:szCs w:val="18"/>
          <w:lang w:val="en-GB"/>
        </w:rPr>
        <w:t>in cholinergic neurons</w:t>
      </w:r>
      <w:r>
        <w:rPr>
          <w:rFonts w:cs="Arial" w:ascii="Arial" w:hAnsi="Arial"/>
          <w:sz w:val="18"/>
          <w:szCs w:val="18"/>
          <w:lang w:val="en-GB"/>
        </w:rPr>
        <w:t xml:space="preserve"> (Fig.7b) </w:t>
      </w:r>
      <w:r>
        <w:rPr>
          <w:rFonts w:cs="Arial" w:ascii="Arial" w:hAnsi="Arial"/>
          <w:b/>
          <w:sz w:val="18"/>
          <w:szCs w:val="18"/>
          <w:lang w:val="en-GB"/>
        </w:rPr>
        <w:t>and in motorneurons</w:t>
      </w:r>
      <w:r>
        <w:rPr>
          <w:rFonts w:cs="Arial" w:ascii="Arial" w:hAnsi="Arial"/>
          <w:sz w:val="18"/>
          <w:szCs w:val="18"/>
          <w:lang w:val="en-GB"/>
        </w:rPr>
        <w:t xml:space="preserve"> (Fig.7c), (n=30) compare to Oregon-R and triple-heterozygous larvae (n=30 and n=50 respectively). When Eb1-RNAi is applied in all neurons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wt</w:t>
      </w:r>
      <w:r>
        <w:rPr>
          <w:rFonts w:cs="Arial" w:ascii="Arial" w:hAnsi="Arial"/>
          <w:sz w:val="18"/>
          <w:szCs w:val="18"/>
          <w:lang w:val="en-GB"/>
        </w:rPr>
        <w:t>: 36.86 ± 16.84SD,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elav-GAL4UAS-Eb1RNAi</w:t>
      </w:r>
      <w:r>
        <w:rPr>
          <w:rFonts w:cs="Arial" w:ascii="Arial" w:hAnsi="Arial"/>
          <w:sz w:val="18"/>
          <w:szCs w:val="18"/>
          <w:lang w:val="en-GB"/>
        </w:rPr>
        <w:t xml:space="preserve"> : </w:t>
      </w:r>
      <w:r>
        <w:rPr>
          <w:rFonts w:eastAsia="Times New Roman" w:cs="Arial" w:ascii="Arial" w:hAnsi="Arial"/>
          <w:sz w:val="18"/>
          <w:szCs w:val="18"/>
          <w:lang w:val="en-GB" w:eastAsia="pt-PT"/>
        </w:rPr>
        <w:t>134.7</w:t>
      </w:r>
      <w:r>
        <w:rPr>
          <w:rFonts w:cs="Arial" w:ascii="Arial" w:hAnsi="Arial"/>
          <w:sz w:val="18"/>
          <w:szCs w:val="18"/>
          <w:lang w:val="en-GB"/>
        </w:rPr>
        <w:t xml:space="preserve">s ± </w:t>
      </w:r>
      <w:r>
        <w:rPr>
          <w:rFonts w:eastAsia="Times New Roman" w:cs="Arial" w:ascii="Arial" w:hAnsi="Arial"/>
          <w:sz w:val="18"/>
          <w:szCs w:val="18"/>
          <w:lang w:val="en-GB" w:eastAsia="pt-PT"/>
        </w:rPr>
        <w:t>61.8</w:t>
      </w:r>
      <w:r>
        <w:rPr>
          <w:rFonts w:cs="Arial" w:ascii="Arial" w:hAnsi="Arial"/>
          <w:sz w:val="18"/>
          <w:szCs w:val="18"/>
          <w:lang w:val="en-GB"/>
        </w:rPr>
        <w:t>SD; P</w:t>
      </w:r>
      <w:r>
        <w:rPr>
          <w:rFonts w:cs="Arial" w:ascii="Arial" w:hAnsi="Arial"/>
          <w:sz w:val="18"/>
          <w:szCs w:val="18"/>
          <w:vertAlign w:val="subscript"/>
          <w:lang w:val="en-GB"/>
        </w:rPr>
        <w:t xml:space="preserve"> </w:t>
      </w:r>
      <w:r>
        <w:rPr>
          <w:rFonts w:cs="Arial" w:ascii="Arial" w:hAnsi="Arial"/>
          <w:sz w:val="18"/>
          <w:szCs w:val="18"/>
          <w:lang w:val="en-GB"/>
        </w:rPr>
        <w:t xml:space="preserve">value &lt; </w:t>
      </w:r>
      <w:r>
        <w:rPr>
          <w:rFonts w:cs="Arial" w:ascii="Arial" w:hAnsi="Arial"/>
          <w:b/>
          <w:sz w:val="18"/>
          <w:szCs w:val="18"/>
          <w:lang w:val="en-GB"/>
        </w:rPr>
        <w:t>0.0001</w:t>
      </w:r>
      <w:r>
        <w:rPr>
          <w:rFonts w:cs="Arial" w:ascii="Arial" w:hAnsi="Arial"/>
          <w:sz w:val="18"/>
          <w:szCs w:val="18"/>
          <w:lang w:val="en-GB"/>
        </w:rPr>
        <w:t>) and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triples</w:t>
      </w:r>
      <w:r>
        <w:rPr>
          <w:rFonts w:cs="Arial" w:ascii="Arial" w:hAnsi="Arial"/>
          <w:sz w:val="18"/>
          <w:szCs w:val="18"/>
          <w:vertAlign w:val="superscript"/>
          <w:lang w:val="en-GB"/>
        </w:rPr>
        <w:t>-</w:t>
      </w:r>
      <w:r>
        <w:rPr>
          <w:rFonts w:cs="Arial" w:ascii="Arial" w:hAnsi="Arial"/>
          <w:sz w:val="18"/>
          <w:szCs w:val="18"/>
          <w:lang w:val="en-GB"/>
        </w:rPr>
        <w:t>:127.3s ± 53.25SD;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elav-GAL4UAS-Eb1RNAi</w:t>
      </w:r>
      <w:r>
        <w:rPr>
          <w:rFonts w:cs="Arial" w:ascii="Arial" w:hAnsi="Arial"/>
          <w:sz w:val="18"/>
          <w:szCs w:val="18"/>
          <w:lang w:val="en-GB"/>
        </w:rPr>
        <w:t xml:space="preserve"> :</w:t>
      </w:r>
      <w:r>
        <w:rPr>
          <w:rFonts w:eastAsia="Times New Roman" w:cs="Arial" w:ascii="Arial" w:hAnsi="Arial"/>
          <w:sz w:val="18"/>
          <w:szCs w:val="18"/>
          <w:lang w:val="en-GB" w:eastAsia="pt-PT"/>
        </w:rPr>
        <w:t xml:space="preserve"> 134.7</w:t>
      </w:r>
      <w:r>
        <w:rPr>
          <w:rFonts w:cs="Arial" w:ascii="Arial" w:hAnsi="Arial"/>
          <w:sz w:val="18"/>
          <w:szCs w:val="18"/>
          <w:lang w:val="en-GB"/>
        </w:rPr>
        <w:t xml:space="preserve">s ± </w:t>
      </w:r>
      <w:r>
        <w:rPr>
          <w:rFonts w:eastAsia="Times New Roman" w:cs="Arial" w:ascii="Arial" w:hAnsi="Arial"/>
          <w:sz w:val="18"/>
          <w:szCs w:val="18"/>
          <w:lang w:val="en-GB" w:eastAsia="pt-PT"/>
        </w:rPr>
        <w:t>61.8</w:t>
      </w:r>
      <w:r>
        <w:rPr>
          <w:rFonts w:cs="Arial" w:ascii="Arial" w:hAnsi="Arial"/>
          <w:sz w:val="18"/>
          <w:szCs w:val="18"/>
          <w:lang w:val="en-GB"/>
        </w:rPr>
        <w:t xml:space="preserve"> SD; P</w:t>
      </w:r>
      <w:r>
        <w:rPr>
          <w:rFonts w:cs="Arial" w:ascii="Arial" w:hAnsi="Arial"/>
          <w:sz w:val="18"/>
          <w:szCs w:val="18"/>
          <w:vertAlign w:val="subscript"/>
          <w:lang w:val="en-GB"/>
        </w:rPr>
        <w:t xml:space="preserve"> </w:t>
      </w:r>
      <w:r>
        <w:rPr>
          <w:rFonts w:cs="Arial" w:ascii="Arial" w:hAnsi="Arial"/>
          <w:sz w:val="18"/>
          <w:szCs w:val="18"/>
          <w:lang w:val="en-GB"/>
        </w:rPr>
        <w:t xml:space="preserve">value = </w:t>
      </w:r>
      <w:r>
        <w:rPr>
          <w:rFonts w:cs="Arial" w:ascii="Arial" w:hAnsi="Arial"/>
          <w:b/>
          <w:sz w:val="18"/>
          <w:szCs w:val="18"/>
          <w:lang w:val="en-GB"/>
        </w:rPr>
        <w:t>0.5748</w:t>
      </w:r>
      <w:r>
        <w:rPr>
          <w:rFonts w:cs="Arial" w:ascii="Arial" w:hAnsi="Arial"/>
          <w:sz w:val="18"/>
          <w:szCs w:val="18"/>
          <w:lang w:val="en-GB"/>
        </w:rPr>
        <w:t xml:space="preserve">). For </w:t>
      </w:r>
      <w:r>
        <w:rPr>
          <w:rFonts w:cs="Arial" w:ascii="Arial" w:hAnsi="Arial"/>
          <w:i/>
          <w:sz w:val="18"/>
          <w:szCs w:val="18"/>
          <w:lang w:val="en-GB"/>
        </w:rPr>
        <w:t>Eb1-RNAi</w:t>
      </w:r>
      <w:r>
        <w:rPr>
          <w:rFonts w:cs="Arial" w:ascii="Arial" w:hAnsi="Arial"/>
          <w:sz w:val="18"/>
          <w:szCs w:val="18"/>
          <w:lang w:val="en-GB"/>
        </w:rPr>
        <w:t xml:space="preserve"> in cholinergic neurons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wt</w:t>
      </w:r>
      <w:r>
        <w:rPr>
          <w:rFonts w:cs="Arial" w:ascii="Arial" w:hAnsi="Arial"/>
          <w:sz w:val="18"/>
          <w:szCs w:val="18"/>
          <w:lang w:val="en-GB"/>
        </w:rPr>
        <w:t>: 36.86 ± 16.84SD,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ChaT:Bac-GAL4UAS-Eb1RNAi</w:t>
      </w:r>
      <w:r>
        <w:rPr>
          <w:rFonts w:cs="Arial" w:ascii="Arial" w:hAnsi="Arial"/>
          <w:sz w:val="18"/>
          <w:szCs w:val="18"/>
          <w:lang w:val="en-GB"/>
        </w:rPr>
        <w:t xml:space="preserve">: </w:t>
      </w:r>
      <w:r>
        <w:rPr>
          <w:rFonts w:eastAsia="Times New Roman" w:cs="Arial" w:ascii="Arial" w:hAnsi="Arial"/>
          <w:sz w:val="18"/>
          <w:szCs w:val="18"/>
          <w:lang w:val="en-GB" w:eastAsia="pt-PT"/>
        </w:rPr>
        <w:t>29.83</w:t>
      </w:r>
      <w:r>
        <w:rPr>
          <w:rFonts w:cs="Arial" w:ascii="Arial" w:hAnsi="Arial"/>
          <w:sz w:val="18"/>
          <w:szCs w:val="18"/>
          <w:lang w:val="en-GB"/>
        </w:rPr>
        <w:t xml:space="preserve"> ± 11.8SD; P value=</w:t>
      </w:r>
      <w:r>
        <w:rPr>
          <w:rFonts w:cs="Arial" w:ascii="Arial" w:hAnsi="Arial"/>
          <w:b/>
          <w:sz w:val="18"/>
          <w:szCs w:val="18"/>
          <w:lang w:val="en-GB"/>
        </w:rPr>
        <w:t>0.1064</w:t>
      </w:r>
      <w:r>
        <w:rPr>
          <w:rFonts w:cs="Arial" w:ascii="Arial" w:hAnsi="Arial"/>
          <w:sz w:val="18"/>
          <w:szCs w:val="18"/>
          <w:lang w:val="en-GB"/>
        </w:rPr>
        <w:t>) and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elav-GAL4UAS-Eb1RNAi</w:t>
      </w:r>
      <w:r>
        <w:rPr>
          <w:rFonts w:cs="Arial" w:ascii="Arial" w:hAnsi="Arial"/>
          <w:sz w:val="18"/>
          <w:szCs w:val="18"/>
          <w:lang w:val="en-GB"/>
        </w:rPr>
        <w:t xml:space="preserve"> :117 s ± </w:t>
      </w:r>
      <w:r>
        <w:rPr>
          <w:rFonts w:eastAsia="Times New Roman" w:cs="Arial" w:ascii="Arial" w:hAnsi="Arial"/>
          <w:sz w:val="18"/>
          <w:szCs w:val="18"/>
          <w:lang w:val="en-GB" w:eastAsia="pt-PT"/>
        </w:rPr>
        <w:t>49.87</w:t>
      </w:r>
      <w:r>
        <w:rPr>
          <w:rFonts w:cs="Arial" w:ascii="Arial" w:hAnsi="Arial"/>
          <w:sz w:val="18"/>
          <w:szCs w:val="18"/>
          <w:lang w:val="en-GB"/>
        </w:rPr>
        <w:t>SD,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 xml:space="preserve">ChaT:Bac-GAL4UAS-Eb1RNAi: </w:t>
      </w:r>
      <w:r>
        <w:rPr>
          <w:rFonts w:eastAsia="Times New Roman" w:cs="Arial" w:ascii="Arial" w:hAnsi="Arial"/>
          <w:sz w:val="18"/>
          <w:szCs w:val="18"/>
          <w:lang w:val="en-GB" w:eastAsia="pt-PT"/>
        </w:rPr>
        <w:t>29.83</w:t>
      </w:r>
      <w:r>
        <w:rPr>
          <w:rFonts w:cs="Arial" w:ascii="Arial" w:hAnsi="Arial"/>
          <w:sz w:val="18"/>
          <w:szCs w:val="18"/>
          <w:lang w:val="en-GB"/>
        </w:rPr>
        <w:t xml:space="preserve"> ± 11.8 ; P value&lt;0.0001). For Eb1-RNAi in motorneurons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wt</w:t>
      </w:r>
      <w:r>
        <w:rPr>
          <w:rFonts w:cs="Arial" w:ascii="Arial" w:hAnsi="Arial"/>
          <w:sz w:val="18"/>
          <w:szCs w:val="18"/>
          <w:lang w:val="en-GB"/>
        </w:rPr>
        <w:t>: 36.86 ± 16.84SD,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OK6 -GAL4UAS-Eb1RNAi</w:t>
      </w:r>
      <w:r>
        <w:rPr>
          <w:rFonts w:cs="Arial" w:ascii="Arial" w:hAnsi="Arial"/>
          <w:sz w:val="18"/>
          <w:szCs w:val="18"/>
          <w:lang w:val="en-GB"/>
        </w:rPr>
        <w:t xml:space="preserve"> :117 s ± </w:t>
      </w:r>
      <w:r>
        <w:rPr>
          <w:rFonts w:eastAsia="Times New Roman" w:cs="Arial" w:ascii="Arial" w:hAnsi="Arial"/>
          <w:sz w:val="18"/>
          <w:szCs w:val="18"/>
          <w:lang w:val="en-GB" w:eastAsia="pt-PT"/>
        </w:rPr>
        <w:t>49.87</w:t>
      </w:r>
      <w:r>
        <w:rPr>
          <w:rFonts w:cs="Arial" w:ascii="Arial" w:hAnsi="Arial"/>
          <w:sz w:val="18"/>
          <w:szCs w:val="18"/>
          <w:lang w:val="en-GB"/>
        </w:rPr>
        <w:t>SD; P</w:t>
      </w:r>
      <w:r>
        <w:rPr>
          <w:rFonts w:cs="Arial" w:ascii="Arial" w:hAnsi="Arial"/>
          <w:sz w:val="18"/>
          <w:szCs w:val="18"/>
          <w:vertAlign w:val="subscript"/>
          <w:lang w:val="en-GB"/>
        </w:rPr>
        <w:t xml:space="preserve"> </w:t>
      </w:r>
      <w:r>
        <w:rPr>
          <w:rFonts w:cs="Arial" w:ascii="Arial" w:hAnsi="Arial"/>
          <w:sz w:val="18"/>
          <w:szCs w:val="18"/>
          <w:lang w:val="en-GB"/>
        </w:rPr>
        <w:t xml:space="preserve">value &lt; </w:t>
      </w:r>
      <w:r>
        <w:rPr>
          <w:rFonts w:cs="Arial" w:ascii="Arial" w:hAnsi="Arial"/>
          <w:b/>
          <w:sz w:val="18"/>
          <w:szCs w:val="18"/>
          <w:lang w:val="en-GB"/>
        </w:rPr>
        <w:t>0.0001</w:t>
      </w:r>
      <w:r>
        <w:rPr>
          <w:rFonts w:cs="Arial" w:ascii="Arial" w:hAnsi="Arial"/>
          <w:sz w:val="18"/>
          <w:szCs w:val="18"/>
          <w:lang w:val="en-GB"/>
        </w:rPr>
        <w:t>);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triples</w:t>
      </w:r>
      <w:r>
        <w:rPr>
          <w:rFonts w:cs="Arial" w:ascii="Arial" w:hAnsi="Arial"/>
          <w:sz w:val="18"/>
          <w:szCs w:val="18"/>
          <w:vertAlign w:val="superscript"/>
          <w:lang w:val="en-GB"/>
        </w:rPr>
        <w:t>-</w:t>
      </w:r>
      <w:r>
        <w:rPr>
          <w:rFonts w:cs="Arial" w:ascii="Arial" w:hAnsi="Arial"/>
          <w:sz w:val="18"/>
          <w:szCs w:val="18"/>
          <w:lang w:val="en-GB"/>
        </w:rPr>
        <w:t>:127.3s ± 53.25SD; T</w:t>
      </w:r>
      <w:r>
        <w:rPr>
          <w:rFonts w:cs="Arial" w:ascii="Arial" w:hAnsi="Arial"/>
          <w:sz w:val="18"/>
          <w:szCs w:val="18"/>
          <w:vertAlign w:val="subscript"/>
          <w:lang w:val="en-GB"/>
        </w:rPr>
        <w:t>Rec</w:t>
      </w:r>
      <w:r>
        <w:rPr>
          <w:rFonts w:cs="Arial" w:ascii="Arial" w:hAnsi="Arial"/>
          <w:sz w:val="18"/>
          <w:szCs w:val="18"/>
          <w:lang w:val="en-GB"/>
        </w:rPr>
        <w:t>-OK6</w:t>
      </w:r>
      <w:r>
        <w:rPr>
          <w:rFonts w:cs="Arial" w:ascii="Arial" w:hAnsi="Arial"/>
          <w:i/>
          <w:sz w:val="18"/>
          <w:szCs w:val="18"/>
          <w:lang w:val="en-GB"/>
        </w:rPr>
        <w:t>-GAL4UAS-Eb1RNAi</w:t>
      </w:r>
      <w:r>
        <w:rPr>
          <w:rFonts w:cs="Arial" w:ascii="Arial" w:hAnsi="Arial"/>
          <w:sz w:val="18"/>
          <w:szCs w:val="18"/>
          <w:lang w:val="en-GB"/>
        </w:rPr>
        <w:t xml:space="preserve"> :</w:t>
      </w:r>
      <w:r>
        <w:rPr>
          <w:rFonts w:eastAsia="Times New Roman" w:cs="Arial" w:ascii="Arial" w:hAnsi="Arial"/>
          <w:sz w:val="18"/>
          <w:szCs w:val="18"/>
          <w:lang w:val="en-GB" w:eastAsia="pt-PT"/>
        </w:rPr>
        <w:t xml:space="preserve"> </w:t>
      </w:r>
      <w:r>
        <w:rPr>
          <w:rFonts w:cs="Arial" w:ascii="Arial" w:hAnsi="Arial"/>
          <w:sz w:val="18"/>
          <w:szCs w:val="18"/>
          <w:lang w:val="en-GB"/>
        </w:rPr>
        <w:t xml:space="preserve">117 s ± </w:t>
      </w:r>
      <w:r>
        <w:rPr>
          <w:rFonts w:eastAsia="Times New Roman" w:cs="Arial" w:ascii="Arial" w:hAnsi="Arial"/>
          <w:sz w:val="18"/>
          <w:szCs w:val="18"/>
          <w:lang w:val="en-GB" w:eastAsia="pt-PT"/>
        </w:rPr>
        <w:t>49.87</w:t>
      </w:r>
      <w:r>
        <w:rPr>
          <w:rFonts w:cs="Arial" w:ascii="Arial" w:hAnsi="Arial"/>
          <w:sz w:val="18"/>
          <w:szCs w:val="18"/>
          <w:lang w:val="en-GB"/>
        </w:rPr>
        <w:t>SD; P</w:t>
      </w:r>
      <w:r>
        <w:rPr>
          <w:rFonts w:cs="Arial" w:ascii="Arial" w:hAnsi="Arial"/>
          <w:sz w:val="18"/>
          <w:szCs w:val="18"/>
          <w:vertAlign w:val="subscript"/>
          <w:lang w:val="en-GB"/>
        </w:rPr>
        <w:t xml:space="preserve"> </w:t>
      </w:r>
      <w:r>
        <w:rPr>
          <w:rFonts w:cs="Arial" w:ascii="Arial" w:hAnsi="Arial"/>
          <w:sz w:val="18"/>
          <w:szCs w:val="18"/>
          <w:lang w:val="en-GB"/>
        </w:rPr>
        <w:t>value =</w:t>
      </w:r>
      <w:r>
        <w:rPr>
          <w:rFonts w:cs="Arial" w:ascii="Arial" w:hAnsi="Arial"/>
          <w:b/>
          <w:sz w:val="18"/>
          <w:szCs w:val="18"/>
          <w:lang w:val="en-GB"/>
        </w:rPr>
        <w:t>0.5416</w:t>
      </w:r>
      <w:r>
        <w:rPr>
          <w:rFonts w:cs="Arial" w:ascii="Arial" w:hAnsi="Arial"/>
          <w:sz w:val="18"/>
          <w:szCs w:val="18"/>
          <w:lang w:val="en-GB"/>
        </w:rPr>
        <w:t xml:space="preserve">). p value = </w:t>
      </w:r>
      <w:r>
        <w:rPr>
          <w:rFonts w:cs="Arial" w:ascii="Arial" w:hAnsi="Arial"/>
          <w:b/>
          <w:sz w:val="18"/>
          <w:szCs w:val="18"/>
          <w:lang w:val="en-GB"/>
        </w:rPr>
        <w:t>0.3298</w:t>
      </w:r>
      <w:r>
        <w:rPr>
          <w:rFonts w:cs="Arial" w:ascii="Arial" w:hAnsi="Arial"/>
          <w:sz w:val="18"/>
          <w:szCs w:val="18"/>
          <w:lang w:val="en-GB"/>
        </w:rPr>
        <w:t>) and</w:t>
      </w:r>
      <w:r>
        <w:rPr>
          <w:rFonts w:cs="Arial" w:ascii="Arial" w:hAnsi="Arial"/>
          <w:b/>
          <w:sz w:val="18"/>
          <w:szCs w:val="18"/>
          <w:lang w:val="en-GB"/>
        </w:rPr>
        <w:t xml:space="preserve"> </w:t>
      </w:r>
      <w:r>
        <w:rPr>
          <w:rFonts w:cs="Arial" w:ascii="Arial" w:hAnsi="Arial"/>
          <w:sz w:val="18"/>
          <w:szCs w:val="18"/>
          <w:lang w:val="en-GB"/>
        </w:rPr>
        <w:t>(T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elav-GAL4UAS-Eb1RNAi</w:t>
      </w:r>
      <w:r>
        <w:rPr>
          <w:rFonts w:cs="Arial" w:ascii="Arial" w:hAnsi="Arial"/>
          <w:sz w:val="18"/>
          <w:szCs w:val="18"/>
          <w:lang w:val="en-GB"/>
        </w:rPr>
        <w:t xml:space="preserve"> :117 s ± </w:t>
      </w:r>
      <w:r>
        <w:rPr>
          <w:rFonts w:eastAsia="Times New Roman" w:cs="Arial" w:ascii="Arial" w:hAnsi="Arial"/>
          <w:sz w:val="18"/>
          <w:szCs w:val="18"/>
          <w:lang w:val="en-GB" w:eastAsia="pt-PT"/>
        </w:rPr>
        <w:t>49.87</w:t>
      </w:r>
      <w:r>
        <w:rPr>
          <w:rFonts w:cs="Arial" w:ascii="Arial" w:hAnsi="Arial"/>
          <w:sz w:val="18"/>
          <w:szCs w:val="18"/>
          <w:lang w:val="en-GB"/>
        </w:rPr>
        <w:t>SD,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 xml:space="preserve">OK6-GAL4UAS-Eb1RNAi: </w:t>
      </w:r>
      <w:r>
        <w:rPr>
          <w:rFonts w:cs="Arial" w:ascii="Arial" w:hAnsi="Arial"/>
          <w:sz w:val="18"/>
          <w:szCs w:val="18"/>
          <w:lang w:val="en-GB"/>
        </w:rPr>
        <w:t xml:space="preserve">117 s ± </w:t>
      </w:r>
      <w:r>
        <w:rPr>
          <w:rFonts w:eastAsia="Times New Roman" w:cs="Arial" w:ascii="Arial" w:hAnsi="Arial"/>
          <w:sz w:val="18"/>
          <w:szCs w:val="18"/>
          <w:lang w:val="en-GB" w:eastAsia="pt-PT"/>
        </w:rPr>
        <w:t>49.87</w:t>
      </w:r>
      <w:r>
        <w:rPr>
          <w:rFonts w:cs="Arial" w:ascii="Arial" w:hAnsi="Arial"/>
          <w:sz w:val="18"/>
          <w:szCs w:val="18"/>
          <w:lang w:val="en-GB"/>
        </w:rPr>
        <w:t>SD ; P value =</w:t>
      </w:r>
      <w:r>
        <w:rPr>
          <w:rFonts w:cs="Arial" w:ascii="Arial" w:hAnsi="Arial"/>
          <w:b/>
          <w:sz w:val="18"/>
          <w:szCs w:val="18"/>
          <w:lang w:val="en-GB"/>
        </w:rPr>
        <w:t>0.3298</w:t>
      </w:r>
      <w:r>
        <w:rPr>
          <w:rFonts w:cs="Arial" w:ascii="Arial" w:hAnsi="Arial"/>
          <w:sz w:val="18"/>
          <w:szCs w:val="18"/>
          <w:lang w:val="en-GB"/>
        </w:rPr>
        <w:t>).Each bars shows the mean T</w:t>
      </w:r>
      <w:r>
        <w:rPr>
          <w:rFonts w:cs="Arial" w:ascii="Arial" w:hAnsi="Arial"/>
          <w:sz w:val="18"/>
          <w:szCs w:val="18"/>
          <w:vertAlign w:val="subscript"/>
          <w:lang w:val="en-GB"/>
        </w:rPr>
        <w:t>Rec</w:t>
      </w:r>
      <w:r>
        <w:rPr>
          <w:rFonts w:cs="Arial" w:ascii="Arial" w:hAnsi="Arial"/>
          <w:sz w:val="18"/>
          <w:szCs w:val="18"/>
          <w:lang w:val="en-GB"/>
        </w:rPr>
        <w:t>, error bars indicate SD, **** p&lt;0.0001, ns = no significant.</w:t>
      </w:r>
    </w:p>
    <w:p>
      <w:pPr>
        <w:pStyle w:val="Normal"/>
        <w:spacing w:lineRule="auto" w:line="240" w:before="120" w:after="0"/>
        <w:jc w:val="both"/>
        <w:rPr>
          <w:rFonts w:ascii="Arial" w:hAnsi="Arial" w:cs="Arial"/>
          <w:sz w:val="18"/>
          <w:szCs w:val="18"/>
          <w:lang w:val="en-GB"/>
        </w:rPr>
      </w:pPr>
      <w:r>
        <w:rPr>
          <w:rFonts w:cs="Arial" w:ascii="Arial" w:hAnsi="Arial"/>
          <w:sz w:val="18"/>
          <w:szCs w:val="18"/>
          <w:lang w:val="en-GB"/>
        </w:rPr>
      </w:r>
    </w:p>
    <w:p>
      <w:pPr>
        <w:pStyle w:val="Normal"/>
        <w:spacing w:lineRule="auto" w:line="360" w:before="120" w:after="0"/>
        <w:jc w:val="both"/>
        <w:rPr>
          <w:rFonts w:ascii="Arial" w:hAnsi="Arial" w:cs="Arial"/>
          <w:sz w:val="20"/>
          <w:szCs w:val="20"/>
          <w:lang w:val="en-GB"/>
        </w:rPr>
      </w:pPr>
      <w:r>
        <w:rPr>
          <w:rFonts w:cs="Arial" w:ascii="Arial" w:hAnsi="Arial"/>
          <w:sz w:val="20"/>
          <w:szCs w:val="20"/>
          <w:lang w:val="en-GB"/>
        </w:rPr>
        <w:t xml:space="preserve">In order, to determine if a specific subset of neurons is inducing the seizure-like phenotype I tested  knockdown of </w:t>
      </w:r>
      <w:r>
        <w:rPr>
          <w:rFonts w:cs="Arial" w:ascii="Arial" w:hAnsi="Arial"/>
          <w:i/>
          <w:sz w:val="20"/>
          <w:szCs w:val="20"/>
          <w:lang w:val="en-GB"/>
        </w:rPr>
        <w:t>Eb1</w:t>
      </w:r>
      <w:r>
        <w:rPr>
          <w:rFonts w:cs="Arial" w:ascii="Arial" w:hAnsi="Arial"/>
          <w:sz w:val="20"/>
          <w:szCs w:val="20"/>
          <w:lang w:val="en-GB"/>
        </w:rPr>
        <w:t xml:space="preserve"> in cholinergic neurons and in motorneurons (Fig.7b, c). </w:t>
      </w:r>
    </w:p>
    <w:p>
      <w:pPr>
        <w:pStyle w:val="Normal"/>
        <w:spacing w:lineRule="auto" w:line="360" w:before="120" w:after="0"/>
        <w:jc w:val="both"/>
        <w:rPr/>
      </w:pPr>
      <w:r>
        <w:rPr>
          <w:rFonts w:cs="Arial" w:ascii="Arial" w:hAnsi="Arial"/>
          <w:sz w:val="20"/>
          <w:szCs w:val="20"/>
          <w:lang w:val="en-GB"/>
        </w:rPr>
        <w:t xml:space="preserve">I used </w:t>
      </w:r>
      <w:r>
        <w:rPr>
          <w:rFonts w:eastAsia="Times New Roman" w:cs="Arial" w:ascii="Arial" w:hAnsi="Arial"/>
          <w:i/>
          <w:iCs/>
          <w:sz w:val="20"/>
          <w:szCs w:val="20"/>
          <w:lang w:val="en-GB" w:eastAsia="pt-PT"/>
        </w:rPr>
        <w:t xml:space="preserve">ChaT:Bac-Gal4, </w:t>
      </w:r>
      <w:r>
        <w:rPr>
          <w:rFonts w:eastAsia="Times New Roman" w:cs="Arial" w:ascii="Arial" w:hAnsi="Arial"/>
          <w:iCs/>
          <w:sz w:val="20"/>
          <w:szCs w:val="20"/>
          <w:lang w:val="en-GB" w:eastAsia="pt-PT"/>
        </w:rPr>
        <w:t xml:space="preserve">which is specific to cholinergic neurons </w:t>
      </w:r>
      <w:r>
        <w:fldChar w:fldCharType="begin"/>
      </w:r>
      <w:r>
        <w:rPr/>
        <w:instrText>ADDIN EN.CITE &lt;EndNote&gt;&lt;Cite&gt;&lt;Author&gt;Salvaterra&lt;/Author&gt;&lt;Year&gt;2001&lt;/Year&gt;&lt;RecNum&gt;89&lt;/RecNum&gt;&lt;DisplayText&gt;(Salvaterra and Kitamoto, 2001)&lt;/DisplayText&gt;&lt;record&gt;&lt;rec-number&gt;89&lt;/rec-number&gt;&lt;foreign-keys&gt;&lt;key app="EN" db-id="vedta2ppje59fceprax5xvwqzxt2awx0xd99"&gt;89&lt;/key&gt;&lt;/foreign-keys&gt;&lt;ref-type name="Journal Article"&gt;17&lt;/ref-type&gt;&lt;contributors&gt;&lt;authors&gt;&lt;author&gt;Salvaterra, P. M.&lt;/author&gt;&lt;author&gt;Kitamoto, T.&lt;/author&gt;&lt;/authors&gt;&lt;/contributors&gt;&lt;auth-address&gt;Division of Neuroscience, Beckman Research Institute of the City of Hope, 1450 E. Duarte Road, Duarte, CA 91010, USA. psalv@coh.org&lt;/auth-address&gt;&lt;titles&gt;&lt;title&gt;Drosophila cholinergic neurons and processes visualized with Gal4/UAS-GFP&lt;/title&gt;&lt;secondary-title&gt;Brain Res Gene Expr Patterns&lt;/secondary-title&gt;&lt;/titles&gt;&lt;periodical&gt;&lt;full-title&gt;Brain Res Gene Expr Patterns&lt;/full-title&gt;&lt;/periodical&gt;&lt;pages&gt;73-82&lt;/pages&gt;&lt;volume&gt;1&lt;/volume&gt;&lt;number&gt;1&lt;/number&gt;&lt;edition&gt;2004/03/17&lt;/edition&gt;&lt;dates&gt;&lt;year&gt;2001&lt;/year&gt;&lt;pub-dates&gt;&lt;date&gt;Aug&lt;/date&gt;&lt;/pub-dates&gt;&lt;/dates&gt;&lt;accession-num&gt;15018821&lt;/accession-num&gt;&lt;urls&gt;&lt;related-urls&gt;&lt;url&gt;http://www.ncbi.nlm.nih.gov/pubmed/15018821&lt;/url&gt;&lt;/related-urls&gt;&lt;/urls&gt;&lt;electronic-resource-num&gt;S1567-133X(01)00011-4 [pii]&lt;/electronic-resource-num&gt;&lt;language&gt;eng&lt;/language&gt;&lt;/record&gt;&lt;/Cite&gt;&lt;/EndNote&gt;</w:instrText>
      </w:r>
      <w:r>
        <w:rPr/>
        <w:fldChar w:fldCharType="separate"/>
      </w:r>
      <w:bookmarkStart w:id="93" w:name="__Fieldmark__2319_4090835577"/>
      <w:r>
        <w:rPr/>
      </w:r>
      <w:r>
        <w:rPr>
          <w:rFonts w:eastAsia="Times New Roman" w:cs="Arial" w:ascii="Arial" w:hAnsi="Arial"/>
          <w:iCs/>
          <w:sz w:val="20"/>
          <w:szCs w:val="20"/>
          <w:lang w:val="en-GB" w:eastAsia="pt-PT"/>
        </w:rPr>
        <w:t>(Salvaterra and Kitamoto, 2001)</w:t>
      </w:r>
      <w:r>
        <w:rPr/>
      </w:r>
      <w:r>
        <w:rPr/>
        <w:fldChar w:fldCharType="end"/>
      </w:r>
      <w:hyperlink w:anchor="_ENREF_71" w:tgtFrame="Salvaterra, 2001 #89">
        <w:bookmarkEnd w:id="93"/>
        <w:r>
          <w:rPr>
            <w:rFonts w:eastAsia="Times New Roman" w:cs="Arial" w:ascii="Arial" w:hAnsi="Arial"/>
            <w:iCs/>
            <w:sz w:val="20"/>
            <w:szCs w:val="20"/>
            <w:lang w:val="en-GB" w:eastAsia="pt-PT"/>
          </w:rPr>
          <w:t xml:space="preserve"> to reduce EB1 levels in cholinergic neurons and found no significant increase in recovery time (</w:t>
        </w:r>
      </w:hyperlink>
      <w:r>
        <w:rPr>
          <w:rFonts w:cs="Arial" w:ascii="Arial" w:hAnsi="Arial"/>
          <w:sz w:val="18"/>
          <w:szCs w:val="18"/>
          <w:lang w:val="en-GB"/>
        </w:rPr>
        <w:t>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wt</w:t>
      </w:r>
      <w:r>
        <w:rPr>
          <w:rFonts w:cs="Arial" w:ascii="Arial" w:hAnsi="Arial"/>
          <w:sz w:val="18"/>
          <w:szCs w:val="18"/>
          <w:lang w:val="en-GB"/>
        </w:rPr>
        <w:t>: 36.86 ± 16.84SD,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ChaT:Bac-GAL4UAS-Eb1RNAi</w:t>
      </w:r>
      <w:r>
        <w:rPr>
          <w:rFonts w:cs="Arial" w:ascii="Arial" w:hAnsi="Arial"/>
          <w:sz w:val="18"/>
          <w:szCs w:val="18"/>
          <w:lang w:val="en-GB"/>
        </w:rPr>
        <w:t xml:space="preserve">: </w:t>
      </w:r>
      <w:r>
        <w:rPr>
          <w:rFonts w:eastAsia="Times New Roman" w:cs="Arial" w:ascii="Arial" w:hAnsi="Arial"/>
          <w:sz w:val="18"/>
          <w:szCs w:val="18"/>
          <w:lang w:val="en-GB" w:eastAsia="pt-PT"/>
        </w:rPr>
        <w:t>29.83</w:t>
      </w:r>
      <w:r>
        <w:rPr>
          <w:rFonts w:cs="Arial" w:ascii="Arial" w:hAnsi="Arial"/>
          <w:sz w:val="18"/>
          <w:szCs w:val="18"/>
          <w:lang w:val="en-GB"/>
        </w:rPr>
        <w:t xml:space="preserve"> ± 11.8SD; P value=0.1064).</w:t>
      </w:r>
      <w:r>
        <w:rPr>
          <w:rFonts w:eastAsia="Times New Roman" w:cs="Arial" w:ascii="Arial" w:hAnsi="Arial"/>
          <w:iCs/>
          <w:sz w:val="20"/>
          <w:szCs w:val="20"/>
          <w:lang w:val="en-GB" w:eastAsia="pt-PT"/>
        </w:rPr>
        <w:t xml:space="preserve"> I could conclude </w:t>
      </w:r>
      <w:r>
        <w:rPr>
          <w:rFonts w:cs="Arial" w:ascii="Arial" w:hAnsi="Arial"/>
          <w:sz w:val="20"/>
          <w:szCs w:val="20"/>
          <w:lang w:val="en-GB"/>
        </w:rPr>
        <w:t xml:space="preserve">that knocking-down of </w:t>
      </w:r>
      <w:r>
        <w:rPr>
          <w:rFonts w:cs="Arial" w:ascii="Arial" w:hAnsi="Arial"/>
          <w:i/>
          <w:sz w:val="20"/>
          <w:szCs w:val="20"/>
          <w:lang w:val="en-GB"/>
        </w:rPr>
        <w:t>Eb1</w:t>
      </w:r>
      <w:r>
        <w:rPr>
          <w:rFonts w:cs="Arial" w:ascii="Arial" w:hAnsi="Arial"/>
          <w:sz w:val="20"/>
          <w:szCs w:val="20"/>
          <w:lang w:val="en-GB"/>
        </w:rPr>
        <w:t xml:space="preserve"> affects a subset of neurons different than cholinergic neurons.</w:t>
      </w:r>
      <w:r>
        <w:rPr>
          <w:rFonts w:cs="Arial" w:ascii="Arial" w:hAnsi="Arial"/>
          <w:sz w:val="20"/>
          <w:szCs w:val="20"/>
          <w:lang w:val="en-GB" w:eastAsia="en-GB"/>
        </w:rPr>
        <w:t xml:space="preserve"> </w:t>
      </w:r>
    </w:p>
    <w:p>
      <w:pPr>
        <w:pStyle w:val="Normal"/>
        <w:spacing w:lineRule="auto" w:line="360" w:before="120" w:after="0"/>
        <w:jc w:val="both"/>
        <w:rPr>
          <w:rFonts w:ascii="Arial" w:hAnsi="Arial" w:cs="Arial"/>
          <w:b/>
          <w:b/>
          <w:bCs/>
          <w:color w:val="FF0000"/>
          <w:sz w:val="20"/>
          <w:szCs w:val="20"/>
          <w:lang w:val="en-GB"/>
        </w:rPr>
      </w:pPr>
      <w:r>
        <w:rPr>
          <w:rFonts w:cs="Arial" w:ascii="Arial" w:hAnsi="Arial"/>
          <w:bCs/>
          <w:sz w:val="20"/>
          <w:szCs w:val="20"/>
          <w:lang w:val="en-US"/>
        </w:rPr>
        <w:t>In contrast,</w:t>
      </w:r>
      <w:r>
        <w:rPr>
          <w:rFonts w:cs="Arial" w:ascii="Arial" w:hAnsi="Arial"/>
          <w:b/>
          <w:bCs/>
          <w:sz w:val="20"/>
          <w:szCs w:val="20"/>
          <w:lang w:val="en-US"/>
        </w:rPr>
        <w:t xml:space="preserve"> </w:t>
      </w:r>
      <w:r>
        <w:rPr>
          <w:rFonts w:cs="Arial" w:ascii="Arial" w:hAnsi="Arial"/>
          <w:bCs/>
          <w:i/>
          <w:sz w:val="20"/>
          <w:szCs w:val="20"/>
          <w:lang w:val="en-US"/>
        </w:rPr>
        <w:t>Eb1</w:t>
      </w:r>
      <w:r>
        <w:rPr>
          <w:rFonts w:cs="Arial" w:ascii="Arial" w:hAnsi="Arial"/>
          <w:bCs/>
          <w:sz w:val="20"/>
          <w:szCs w:val="20"/>
          <w:lang w:val="en-US"/>
        </w:rPr>
        <w:t xml:space="preserve"> is knock-down specifically in motorneurons (via OK6-Gal4) led to an increase in</w:t>
      </w:r>
      <w:r>
        <w:rPr>
          <w:rFonts w:cs="Arial" w:ascii="Arial" w:hAnsi="Arial"/>
          <w:sz w:val="20"/>
          <w:szCs w:val="20"/>
          <w:lang w:val="en-GB"/>
        </w:rPr>
        <w:t xml:space="preserve"> T</w:t>
      </w:r>
      <w:r>
        <w:rPr>
          <w:rFonts w:cs="Arial" w:ascii="Arial" w:hAnsi="Arial"/>
          <w:sz w:val="20"/>
          <w:szCs w:val="20"/>
          <w:vertAlign w:val="subscript"/>
          <w:lang w:val="en-GB"/>
        </w:rPr>
        <w:t xml:space="preserve">Rec </w:t>
      </w:r>
      <w:r>
        <w:rPr>
          <w:rFonts w:cs="Arial" w:ascii="Arial" w:hAnsi="Arial"/>
          <w:sz w:val="20"/>
          <w:szCs w:val="20"/>
          <w:lang w:val="en-GB"/>
        </w:rPr>
        <w:t>by 217% compare to Oregon-R. There is no significant difference between the T</w:t>
      </w:r>
      <w:r>
        <w:rPr>
          <w:rFonts w:cs="Arial" w:ascii="Arial" w:hAnsi="Arial"/>
          <w:sz w:val="20"/>
          <w:szCs w:val="20"/>
          <w:vertAlign w:val="subscript"/>
          <w:lang w:val="en-GB"/>
        </w:rPr>
        <w:t>Rec</w:t>
      </w:r>
      <w:r>
        <w:rPr>
          <w:rFonts w:cs="Arial" w:ascii="Arial" w:hAnsi="Arial"/>
          <w:sz w:val="20"/>
          <w:szCs w:val="20"/>
          <w:lang w:val="en-GB"/>
        </w:rPr>
        <w:t xml:space="preserve"> of </w:t>
      </w:r>
      <w:r>
        <w:rPr>
          <w:rFonts w:cs="Arial" w:ascii="Arial" w:hAnsi="Arial"/>
          <w:i/>
          <w:sz w:val="20"/>
          <w:szCs w:val="20"/>
          <w:lang w:val="en-GB"/>
        </w:rPr>
        <w:t>OK6-GAL4 UAS-Eb1-RNA</w:t>
      </w:r>
      <w:r>
        <w:rPr>
          <w:rFonts w:cs="Arial" w:ascii="Arial" w:hAnsi="Arial"/>
          <w:i/>
          <w:sz w:val="20"/>
          <w:szCs w:val="20"/>
          <w:vertAlign w:val="subscript"/>
          <w:lang w:val="en-GB"/>
        </w:rPr>
        <w:t>i</w:t>
      </w:r>
      <w:r>
        <w:rPr>
          <w:rFonts w:cs="Arial" w:ascii="Arial" w:hAnsi="Arial"/>
          <w:sz w:val="20"/>
          <w:szCs w:val="20"/>
          <w:lang w:val="en-GB"/>
        </w:rPr>
        <w:t xml:space="preserve"> and </w:t>
      </w:r>
      <w:r>
        <w:rPr>
          <w:rFonts w:cs="Arial" w:ascii="Arial" w:hAnsi="Arial"/>
          <w:i/>
          <w:sz w:val="20"/>
          <w:szCs w:val="20"/>
          <w:lang w:val="en-GB"/>
        </w:rPr>
        <w:t>elav-GAL4 UAS-Eb1-RNA</w:t>
      </w:r>
      <w:r>
        <w:rPr>
          <w:rFonts w:cs="Arial" w:ascii="Arial" w:hAnsi="Arial"/>
          <w:i/>
          <w:sz w:val="20"/>
          <w:szCs w:val="20"/>
          <w:vertAlign w:val="subscript"/>
          <w:lang w:val="en-GB"/>
        </w:rPr>
        <w:t>i</w:t>
      </w:r>
      <w:r>
        <w:rPr>
          <w:rFonts w:cs="Arial" w:ascii="Arial" w:hAnsi="Arial"/>
          <w:sz w:val="20"/>
          <w:szCs w:val="20"/>
          <w:lang w:val="en-GB"/>
        </w:rPr>
        <w:t xml:space="preserve"> larvae (Fig.7d), in which </w:t>
      </w:r>
      <w:r>
        <w:rPr>
          <w:rFonts w:cs="Arial" w:ascii="Arial" w:hAnsi="Arial"/>
          <w:i/>
          <w:sz w:val="20"/>
          <w:szCs w:val="20"/>
          <w:lang w:val="en-GB"/>
        </w:rPr>
        <w:t>Eb1</w:t>
      </w:r>
      <w:r>
        <w:rPr>
          <w:rFonts w:cs="Arial" w:ascii="Arial" w:hAnsi="Arial"/>
          <w:sz w:val="20"/>
          <w:szCs w:val="20"/>
          <w:lang w:val="en-GB"/>
        </w:rPr>
        <w:t xml:space="preserve"> is mutated in every cells of the body. These results suggest that seizure-like phenotype in </w:t>
      </w:r>
      <w:r>
        <w:rPr>
          <w:rFonts w:cs="Arial" w:ascii="Arial" w:hAnsi="Arial"/>
          <w:i/>
          <w:sz w:val="20"/>
          <w:szCs w:val="20"/>
          <w:lang w:val="en-GB"/>
        </w:rPr>
        <w:t>elav-GAL4 UAS-Eb1-RNA</w:t>
      </w:r>
      <w:r>
        <w:rPr>
          <w:rFonts w:cs="Arial" w:ascii="Arial" w:hAnsi="Arial"/>
          <w:i/>
          <w:sz w:val="20"/>
          <w:szCs w:val="20"/>
          <w:vertAlign w:val="subscript"/>
          <w:lang w:val="en-GB"/>
        </w:rPr>
        <w:t>i</w:t>
      </w:r>
      <w:r>
        <w:rPr>
          <w:rFonts w:cs="Arial" w:ascii="Arial" w:hAnsi="Arial"/>
          <w:sz w:val="20"/>
          <w:szCs w:val="20"/>
          <w:lang w:val="en-GB"/>
        </w:rPr>
        <w:t xml:space="preserve"> larvae could be due to mutations affecting motorneuronal cells specifically. I could conclude that knocking-down in motorneurons is a major cause of seizure-like phenotype in </w:t>
      </w:r>
      <w:r>
        <w:rPr>
          <w:rFonts w:cs="Arial" w:ascii="Arial" w:hAnsi="Arial"/>
          <w:i/>
          <w:sz w:val="20"/>
          <w:szCs w:val="20"/>
          <w:lang w:val="en-GB"/>
        </w:rPr>
        <w:t>Drosophila</w:t>
      </w:r>
      <w:r>
        <w:rPr>
          <w:rFonts w:cs="Arial" w:ascii="Arial" w:hAnsi="Arial"/>
          <w:sz w:val="20"/>
          <w:szCs w:val="20"/>
          <w:lang w:val="en-GB"/>
        </w:rPr>
        <w:t xml:space="preserve"> larvae. </w:t>
      </w:r>
    </w:p>
    <w:p>
      <w:pPr>
        <w:pStyle w:val="ListParagraph"/>
        <w:numPr>
          <w:ilvl w:val="1"/>
          <w:numId w:val="2"/>
        </w:numPr>
        <w:spacing w:before="120" w:after="0"/>
        <w:contextualSpacing/>
        <w:jc w:val="both"/>
        <w:rPr>
          <w:rFonts w:ascii="Arial" w:hAnsi="Arial" w:cs="Arial"/>
          <w:sz w:val="20"/>
          <w:szCs w:val="20"/>
          <w:u w:val="single"/>
          <w:lang w:val="en-GB"/>
        </w:rPr>
      </w:pPr>
      <w:r>
        <w:rPr>
          <w:rFonts w:cs="Arial" w:ascii="Arial" w:hAnsi="Arial"/>
          <w:sz w:val="20"/>
          <w:szCs w:val="20"/>
          <w:u w:val="single"/>
          <w:lang w:val="en-GB"/>
        </w:rPr>
        <w:t xml:space="preserve">There is no genetic interaction between loss of motor proteins and double-heterozygous mutants </w:t>
      </w:r>
      <w:r>
        <w:rPr>
          <w:rFonts w:cs="Arial" w:ascii="Arial" w:hAnsi="Arial"/>
          <w:bCs/>
          <w:i/>
          <w:iCs/>
          <w:sz w:val="20"/>
          <w:szCs w:val="20"/>
          <w:u w:val="single"/>
          <w:lang w:val="en-US"/>
        </w:rPr>
        <w:t xml:space="preserve">msps </w:t>
      </w:r>
      <w:r>
        <w:rPr>
          <w:rFonts w:cs="Arial" w:ascii="Arial" w:hAnsi="Arial"/>
          <w:bCs/>
          <w:i/>
          <w:iCs/>
          <w:sz w:val="20"/>
          <w:szCs w:val="20"/>
          <w:u w:val="single"/>
          <w:vertAlign w:val="superscript"/>
          <w:lang w:val="en-US"/>
        </w:rPr>
        <w:t>1/+</w:t>
      </w:r>
      <w:r>
        <w:rPr>
          <w:rFonts w:cs="Arial" w:ascii="Arial" w:hAnsi="Arial"/>
          <w:bCs/>
          <w:i/>
          <w:iCs/>
          <w:sz w:val="20"/>
          <w:szCs w:val="20"/>
          <w:u w:val="single"/>
          <w:lang w:val="en-US"/>
        </w:rPr>
        <w:t xml:space="preserve"> tau</w:t>
      </w:r>
      <w:r>
        <w:rPr>
          <w:rFonts w:cs="Arial" w:ascii="Arial" w:hAnsi="Arial"/>
          <w:bCs/>
          <w:i/>
          <w:iCs/>
          <w:sz w:val="20"/>
          <w:szCs w:val="20"/>
          <w:u w:val="single"/>
          <w:vertAlign w:val="superscript"/>
          <w:lang w:val="en-US"/>
        </w:rPr>
        <w:t>ko/+</w:t>
      </w:r>
      <w:r>
        <w:rPr>
          <w:rFonts w:cs="Arial" w:ascii="Arial" w:hAnsi="Arial"/>
          <w:sz w:val="20"/>
          <w:szCs w:val="20"/>
          <w:u w:val="single"/>
          <w:lang w:val="en-GB"/>
        </w:rPr>
        <w:t xml:space="preserve"> . </w:t>
      </w:r>
    </w:p>
    <w:p>
      <w:pPr>
        <w:pStyle w:val="Normal"/>
        <w:spacing w:lineRule="auto" w:line="360" w:before="120" w:after="0"/>
        <w:jc w:val="both"/>
        <w:rPr/>
      </w:pPr>
      <w:r>
        <w:rPr>
          <w:rFonts w:cs="Arial" w:ascii="Arial" w:hAnsi="Arial"/>
          <w:sz w:val="20"/>
          <w:szCs w:val="20"/>
          <w:lang w:val="en-GB"/>
        </w:rPr>
        <w:t xml:space="preserve">Kinesins are motor proteins involved in the anterograde transport of several cargoes, such as proteins, lipids, mRNA and others slong microtubules </w:t>
      </w:r>
      <w:r>
        <w:fldChar w:fldCharType="begin"/>
      </w:r>
      <w:r>
        <w:rPr/>
        <w:instrText>ADDIN EN.CITE &lt;EndNote&gt;&lt;Cite&gt;&lt;Author&gt;Roy&lt;/Author&gt;&lt;Year&gt;2005&lt;/Year&gt;&lt;RecNum&gt;57&lt;/RecNum&gt;&lt;DisplayText&gt;(Roy et al., 2005)&lt;/DisplayText&gt;&lt;record&gt;&lt;rec-number&gt;57&lt;/rec-number&gt;&lt;foreign-keys&gt;&lt;key app="EN" db-id="vedta2ppje59fceprax5xvwqzxt2awx0xd99"&gt;57&lt;/key&gt;&lt;/foreign-keys&gt;&lt;ref-type name="Journal Article"&gt;17&lt;/ref-type&gt;&lt;contributors&gt;&lt;authors&gt;&lt;author&gt;Roy, S.&lt;/author&gt;&lt;author&gt;Zhang, B.&lt;/author&gt;&lt;author&gt;Lee, V. M.&lt;/author&gt;&lt;author&gt;Trojanowski, J. Q.&lt;/author&gt;&lt;/authors&gt;&lt;/contributors&gt;&lt;auth-address&gt;Department of Pathology and Laboratory Medicine, University of Pennsylvania School of Medicine, Philadelphia, 19104-4283, USA.&lt;/auth-address&gt;&lt;titles&gt;&lt;title&gt;Axonal transport defects: a common theme in neurodegenerative diseases&lt;/title&gt;&lt;secondary-title&gt;Acta Neuropathol&lt;/secondary-title&gt;&lt;/titles&gt;&lt;periodical&gt;&lt;full-title&gt;Acta Neuropathol&lt;/full-title&gt;&lt;/periodical&gt;&lt;pages&gt;5-13&lt;/pages&gt;&lt;volume&gt;109&lt;/volume&gt;&lt;number&gt;1&lt;/number&gt;&lt;edition&gt;2005/01/13&lt;/edition&gt;&lt;keywords&gt;&lt;keyword&gt;Animals&lt;/keyword&gt;&lt;keyword&gt;Axonal Transport/*physiology&lt;/keyword&gt;&lt;keyword&gt;Humans&lt;/keyword&gt;&lt;keyword&gt;Microtubule Proteins/genetics&lt;/keyword&gt;&lt;keyword&gt;Models, Neurological&lt;/keyword&gt;&lt;keyword&gt;Mutation&lt;/keyword&gt;&lt;keyword&gt;Neurodegenerative Diseases/classification/genetics/*physiopathology&lt;/keyword&gt;&lt;/keywords&gt;&lt;dates&gt;&lt;year&gt;2005&lt;/year&gt;&lt;pub-dates&gt;&lt;date&gt;Jan&lt;/date&gt;&lt;/pub-dates&gt;&lt;/dates&gt;&lt;isbn&gt;0001-6322 (Print)&amp;#xD;0001-6322 (Linking)&lt;/isbn&gt;&lt;accession-num&gt;15645263&lt;/accession-num&gt;&lt;urls&gt;&lt;related-urls&gt;&lt;url&gt;http://www.ncbi.nlm.nih.gov/pubmed/15645263&lt;/url&gt;&lt;/related-urls&gt;&lt;/urls&gt;&lt;electronic-resource-num&gt;10.1007/s00401-004-0952-x&lt;/electronic-resource-num&gt;&lt;language&gt;eng&lt;/language&gt;&lt;/record&gt;&lt;/Cite&gt;&lt;/EndNote&gt;</w:instrText>
      </w:r>
      <w:r>
        <w:rPr/>
        <w:fldChar w:fldCharType="separate"/>
      </w:r>
      <w:bookmarkStart w:id="94" w:name="__Fieldmark__2399_4090835577"/>
      <w:r>
        <w:rPr/>
      </w:r>
      <w:r>
        <w:rPr>
          <w:rFonts w:eastAsia="Times New Roman" w:cs="Arial" w:ascii="Arial" w:hAnsi="Arial"/>
          <w:color w:val="333333"/>
          <w:sz w:val="20"/>
          <w:szCs w:val="20"/>
          <w:lang w:val="en-GB" w:eastAsia="pt-PT"/>
        </w:rPr>
        <w:t>(Roy et al., 2005)</w:t>
      </w:r>
      <w:r>
        <w:rPr/>
      </w:r>
      <w:r>
        <w:rPr/>
        <w:fldChar w:fldCharType="end"/>
      </w:r>
      <w:hyperlink w:anchor="_ENREF_70" w:tgtFrame="Roy, 2005 #57">
        <w:bookmarkEnd w:id="94"/>
        <w:r>
          <w:rPr>
            <w:rFonts w:eastAsia="Times New Roman" w:cs="Arial" w:ascii="Arial" w:hAnsi="Arial"/>
            <w:color w:val="333333"/>
            <w:sz w:val="20"/>
            <w:szCs w:val="20"/>
            <w:lang w:val="en-GB" w:eastAsia="pt-PT"/>
          </w:rPr>
          <w:t xml:space="preserve"> </w:t>
        </w:r>
      </w:hyperlink>
      <w:r>
        <w:rPr>
          <w:rFonts w:cs="Arial" w:ascii="Arial" w:hAnsi="Arial"/>
          <w:sz w:val="20"/>
          <w:szCs w:val="20"/>
          <w:lang w:val="en-GB"/>
        </w:rPr>
        <w:t>(Fig.8).</w:t>
      </w:r>
      <w:r>
        <w:rPr>
          <w:rFonts w:eastAsia="Times New Roman" w:cs="Arial" w:ascii="Arial" w:hAnsi="Arial"/>
          <w:color w:val="333333"/>
          <w:sz w:val="20"/>
          <w:szCs w:val="20"/>
          <w:lang w:val="en-GB" w:eastAsia="pt-PT"/>
        </w:rPr>
        <w:t xml:space="preserve"> </w:t>
      </w:r>
      <w:r>
        <w:rPr>
          <w:rFonts w:cs="Arial" w:ascii="Arial" w:hAnsi="Arial"/>
          <w:sz w:val="20"/>
          <w:szCs w:val="20"/>
          <w:lang w:val="en-GB"/>
        </w:rPr>
        <w:t xml:space="preserve">Mutations affecting kinesins and other transport proteins are the causes of developmental and neurodegenerative brain disorders </w:t>
      </w:r>
      <w:r>
        <w:fldChar w:fldCharType="begin"/>
      </w:r>
      <w:r>
        <w:rPr/>
        <w:instrText>ADDIN EN.CITE &lt;EndNote&gt;&lt;Cite&gt;&lt;Author&gt;Prokop&lt;/Author&gt;&lt;Year&gt;2013&lt;/Year&gt;&lt;RecNum&gt;55&lt;/RecNum&gt;&lt;DisplayText&gt;(Prokop, 2013)&lt;/DisplayText&gt;&lt;record&gt;&lt;rec-number&gt;55&lt;/rec-number&gt;&lt;foreign-keys&gt;&lt;key app="EN" db-id="vedta2ppje59fceprax5xvwqzxt2awx0xd99"&gt;55&lt;/key&gt;&lt;/foreign-keys&gt;&lt;ref-type name="Journal Article"&gt;17&lt;/ref-type&gt;&lt;contributors&gt;&lt;authors&gt;&lt;author&gt;Prokop, A.&lt;/author&gt;&lt;/authors&gt;&lt;/contributors&gt;&lt;auth-address&gt;Faculty of Life Sciences, Michael Smith Building, Oxford Road, Manchester M13 9PT, UK. Andreas.Prokop@manchester.ac.uk.&lt;/auth-address&gt;&lt;titles&gt;&lt;title&gt;The intricate relationship between microtubules and their associated motor proteins during axon growth and maintenance&lt;/title&gt;&lt;secondary-title&gt;Neural Dev&lt;/secondary-title&gt;&lt;/titles&gt;&lt;periodical&gt;&lt;full-title&gt;Neural Dev&lt;/full-title&gt;&lt;/periodical&gt;&lt;pages&gt;17&lt;/pages&gt;&lt;volume&gt;8&lt;/volume&gt;&lt;edition&gt;2013/09/10&lt;/edition&gt;&lt;keywords&gt;&lt;keyword&gt;Animals&lt;/keyword&gt;&lt;keyword&gt;Axons/*physiology&lt;/keyword&gt;&lt;keyword&gt;Growth Cones/physiology&lt;/keyword&gt;&lt;keyword&gt;Humans&lt;/keyword&gt;&lt;keyword&gt;Microtubules/*physiology&lt;/keyword&gt;&lt;keyword&gt;Molecular Motor Proteins/*physiology&lt;/keyword&gt;&lt;/keywords&gt;&lt;dates&gt;&lt;year&gt;2013&lt;/year&gt;&lt;pub-dates&gt;&lt;date&gt;Sep 8&lt;/date&gt;&lt;/pub-dates&gt;&lt;/dates&gt;&lt;isbn&gt;1749-8104 (Electronic)&amp;#xD;1749-8104 (Linking)&lt;/isbn&gt;&lt;accession-num&gt;24010872&lt;/accession-num&gt;&lt;urls&gt;&lt;related-urls&gt;&lt;url&gt;http://www.ncbi.nlm.nih.gov/pubmed/24010872&lt;/url&gt;&lt;/related-urls&gt;&lt;/urls&gt;&lt;custom2&gt;3846809&lt;/custom2&gt;&lt;electronic-resource-num&gt;10.1186/1749-8104-8-17&amp;#xD;1749-8104-8-17 [pii]&lt;/electronic-resource-num&gt;&lt;language&gt;eng&lt;/language&gt;&lt;/record&gt;&lt;/Cite&gt;&lt;/EndNote&gt;</w:instrText>
      </w:r>
      <w:r>
        <w:rPr/>
        <w:fldChar w:fldCharType="separate"/>
      </w:r>
      <w:bookmarkStart w:id="95" w:name="__Fieldmark__2412_4090835577"/>
      <w:r>
        <w:rPr/>
      </w:r>
      <w:r>
        <w:rPr>
          <w:rFonts w:cs="Arial" w:ascii="Arial" w:hAnsi="Arial"/>
          <w:sz w:val="20"/>
          <w:szCs w:val="20"/>
          <w:lang w:val="en-GB"/>
        </w:rPr>
        <w:t>(Prokop, 2013)</w:t>
      </w:r>
      <w:r>
        <w:rPr/>
      </w:r>
      <w:r>
        <w:rPr/>
        <w:fldChar w:fldCharType="end"/>
      </w:r>
      <w:hyperlink w:anchor="_ENREF_58" w:tgtFrame="Prokop, 2013 #55">
        <w:bookmarkEnd w:id="95"/>
        <w:r>
          <w:rPr>
            <w:rFonts w:cs="Arial" w:ascii="Arial" w:hAnsi="Arial"/>
            <w:sz w:val="20"/>
            <w:szCs w:val="20"/>
            <w:lang w:val="en-GB"/>
          </w:rPr>
          <w:t xml:space="preserve">. </w:t>
        </w:r>
      </w:hyperlink>
      <w:r>
        <w:rPr>
          <w:rFonts w:eastAsia="Times New Roman" w:cs="Arial" w:ascii="Arial" w:hAnsi="Arial"/>
          <w:b/>
          <w:color w:val="333333"/>
          <w:sz w:val="20"/>
          <w:szCs w:val="20"/>
          <w:lang w:val="en-GB" w:eastAsia="pt-PT"/>
        </w:rPr>
        <w:t>An accumulation of organelles</w:t>
      </w:r>
      <w:r>
        <w:rPr>
          <w:rFonts w:eastAsia="Times New Roman" w:cs="Arial" w:ascii="Arial" w:hAnsi="Arial"/>
          <w:color w:val="333333"/>
          <w:sz w:val="20"/>
          <w:szCs w:val="20"/>
          <w:lang w:val="en-GB" w:eastAsia="pt-PT"/>
        </w:rPr>
        <w:t xml:space="preserve"> can be seen in larval axons in Khc</w:t>
      </w:r>
      <w:r>
        <w:rPr>
          <w:rFonts w:eastAsia="Times New Roman" w:cs="Arial" w:ascii="Arial" w:hAnsi="Arial"/>
          <w:color w:val="333333"/>
          <w:sz w:val="20"/>
          <w:szCs w:val="20"/>
          <w:vertAlign w:val="superscript"/>
          <w:lang w:val="en-GB" w:eastAsia="pt-PT"/>
        </w:rPr>
        <w:t>8/8</w:t>
      </w:r>
      <w:r>
        <w:rPr>
          <w:rFonts w:eastAsia="Times New Roman" w:cs="Arial" w:ascii="Arial" w:hAnsi="Arial"/>
          <w:color w:val="333333"/>
          <w:sz w:val="20"/>
          <w:szCs w:val="20"/>
          <w:lang w:val="en-GB" w:eastAsia="pt-PT"/>
        </w:rPr>
        <w:t xml:space="preserve"> </w:t>
      </w:r>
      <w:r>
        <w:fldChar w:fldCharType="begin"/>
      </w:r>
      <w:r>
        <w:rPr/>
        <w:instrText>ADDIN EN.CITE &lt;EndNote&gt;&lt;Cite&gt;&lt;Author&gt;Gunawardena&lt;/Author&gt;&lt;Year&gt;2001&lt;/Year&gt;&lt;RecNum&gt;56&lt;/RecNum&gt;&lt;DisplayText&gt;(Gunawardena and Goldstein, 2001)&lt;/DisplayText&gt;&lt;record&gt;&lt;rec-number&gt;56&lt;/rec-number&gt;&lt;foreign-keys&gt;&lt;key app="EN" db-id="vedta2ppje59fceprax5xvwqzxt2awx0xd99"&gt;56&lt;/key&gt;&lt;/foreign-keys&gt;&lt;ref-type name="Journal Article"&gt;17&lt;/ref-type&gt;&lt;contributors&gt;&lt;authors&gt;&lt;author&gt;Gunawardena, S.&lt;/author&gt;&lt;author&gt;Goldstein, L. S.&lt;/author&gt;&lt;/authors&gt;&lt;/contributors&gt;&lt;auth-address&gt;Howard Hughes Medical Institute, Department of Cellular and Molecular Medicine, School of Medicine, University of California, San Diego, La Jolla, CA 92093-0683, USA.&lt;/auth-address&gt;&lt;titles&gt;&lt;title&gt;Disruption of axonal transport and neuronal viability by amyloid precursor protein mutations in Drosophila&lt;/title&gt;&lt;secondary-title&gt;Neuron&lt;/secondary-title&gt;&lt;/titles&gt;&lt;periodical&gt;&lt;full-title&gt;Neuron&lt;/full-title&gt;&lt;/periodical&gt;&lt;pages&gt;389-401&lt;/pages&gt;&lt;volume&gt;32&lt;/volume&gt;&lt;number&gt;3&lt;/number&gt;&lt;edition&gt;2001/11/16&lt;/edition&gt;&lt;keywords&gt;&lt;keyword&gt;Amyloid beta-Protein Precursor/*analogs &amp;amp; derivatives/biosynthesis/*genetics&lt;/keyword&gt;&lt;keyword&gt;Animals&lt;/keyword&gt;&lt;keyword&gt;Axonal Transport/*genetics&lt;/keyword&gt;&lt;keyword&gt;Cell Death/genetics&lt;/keyword&gt;&lt;keyword&gt;Cell Survival/genetics&lt;/keyword&gt;&lt;keyword&gt;Drosophila/*genetics/metabolism&lt;/keyword&gt;&lt;keyword&gt;Humans&lt;/keyword&gt;&lt;keyword&gt;Kinesin/biosynthesis/genetics&lt;/keyword&gt;&lt;keyword&gt;*Mutation/genetics&lt;/keyword&gt;&lt;keyword&gt;Neurons/*metabolism&lt;/keyword&gt;&lt;/keywords&gt;&lt;dates&gt;&lt;year&gt;2001&lt;/year&gt;&lt;pub-dates&gt;&lt;date&gt;Nov 8&lt;/date&gt;&lt;/pub-dates&gt;&lt;/dates&gt;&lt;isbn&gt;0896-6273 (Print)&amp;#xD;0896-6273 (Linking)&lt;/isbn&gt;&lt;accession-num&gt;11709151&lt;/accession-num&gt;&lt;urls&gt;&lt;related-urls&gt;&lt;url&gt;http://www.ncbi.nlm.nih.gov/pubmed/11709151&lt;/url&gt;&lt;/related-urls&gt;&lt;/urls&gt;&lt;electronic-resource-num&gt;S0896-6273(01)00496-2 [pii]&lt;/electronic-resource-num&gt;&lt;language&gt;eng&lt;/language&gt;&lt;/record&gt;&lt;/Cite&gt;&lt;/EndNote&gt;</w:instrText>
      </w:r>
      <w:r>
        <w:rPr/>
        <w:fldChar w:fldCharType="separate"/>
      </w:r>
      <w:bookmarkStart w:id="96" w:name="__Fieldmark__2426_4090835577"/>
      <w:r>
        <w:rPr/>
      </w:r>
      <w:r>
        <w:rPr>
          <w:rFonts w:eastAsia="Times New Roman" w:cs="Arial" w:ascii="Arial" w:hAnsi="Arial"/>
          <w:color w:val="333333"/>
          <w:sz w:val="20"/>
          <w:szCs w:val="20"/>
          <w:lang w:val="en-GB" w:eastAsia="pt-PT"/>
        </w:rPr>
        <w:t>(Gunawardena and Goldstein, 2001)</w:t>
      </w:r>
      <w:r>
        <w:rPr/>
      </w:r>
      <w:r>
        <w:rPr/>
        <w:fldChar w:fldCharType="end"/>
      </w:r>
      <w:hyperlink w:anchor="_ENREF_22" w:tgtFrame="Gunawardena, 2001 #56">
        <w:bookmarkEnd w:id="96"/>
        <w:r>
          <w:rPr>
            <w:rFonts w:eastAsia="Times New Roman" w:cs="Arial" w:ascii="Arial" w:hAnsi="Arial"/>
            <w:color w:val="333333"/>
            <w:sz w:val="20"/>
            <w:szCs w:val="20"/>
            <w:lang w:val="en-GB" w:eastAsia="pt-PT"/>
          </w:rPr>
          <w:t xml:space="preserve"> and can be </w:t>
        </w:r>
      </w:hyperlink>
      <w:r>
        <w:rPr>
          <w:rFonts w:eastAsia="Times New Roman" w:cs="Arial" w:ascii="Arial" w:hAnsi="Arial"/>
          <w:b/>
          <w:color w:val="333333"/>
          <w:sz w:val="20"/>
          <w:szCs w:val="20"/>
          <w:lang w:val="en-GB" w:eastAsia="pt-PT"/>
        </w:rPr>
        <w:t>lethal</w:t>
      </w:r>
      <w:r>
        <w:rPr>
          <w:rFonts w:eastAsia="Times New Roman" w:cs="Arial" w:ascii="Arial" w:hAnsi="Arial"/>
          <w:color w:val="333333"/>
          <w:sz w:val="20"/>
          <w:szCs w:val="20"/>
          <w:lang w:val="en-GB" w:eastAsia="pt-PT"/>
        </w:rPr>
        <w:t xml:space="preserve"> (</w:t>
      </w:r>
      <w:r>
        <w:rPr>
          <w:rFonts w:cs="Arial" w:ascii="Arial" w:hAnsi="Arial"/>
          <w:sz w:val="20"/>
          <w:szCs w:val="20"/>
          <w:lang w:val="en-GB"/>
        </w:rPr>
        <w:t>I.Hahn, personal communication</w:t>
      </w:r>
      <w:r>
        <w:rPr>
          <w:rFonts w:eastAsia="Times New Roman" w:cs="Arial" w:ascii="Arial" w:hAnsi="Arial"/>
          <w:color w:val="333333"/>
          <w:sz w:val="20"/>
          <w:szCs w:val="20"/>
          <w:lang w:val="en-GB" w:eastAsia="pt-PT"/>
        </w:rPr>
        <w:t>).</w:t>
      </w:r>
      <w:r>
        <w:rPr>
          <w:rFonts w:eastAsia="Times New Roman" w:cs="Arial" w:ascii="Arial" w:hAnsi="Arial"/>
          <w:i/>
          <w:color w:val="333333"/>
          <w:sz w:val="20"/>
          <w:szCs w:val="20"/>
          <w:lang w:val="en-GB" w:eastAsia="pt-PT"/>
        </w:rPr>
        <w:t xml:space="preserve"> Imac</w:t>
      </w:r>
      <w:r>
        <w:rPr>
          <w:rFonts w:eastAsia="Times New Roman" w:cs="Arial" w:ascii="Arial" w:hAnsi="Arial"/>
          <w:color w:val="333333"/>
          <w:sz w:val="20"/>
          <w:szCs w:val="20"/>
          <w:lang w:val="en-GB" w:eastAsia="pt-PT"/>
        </w:rPr>
        <w:t xml:space="preserve"> </w:t>
      </w:r>
      <w:r>
        <w:rPr>
          <w:rFonts w:cs="Arial" w:ascii="Arial" w:hAnsi="Arial"/>
          <w:sz w:val="20"/>
          <w:szCs w:val="20"/>
          <w:lang w:val="en-GB"/>
        </w:rPr>
        <w:t>is essential for the transport of synaptic vesicles precursors. Indeed, experimental evidence show that imac</w:t>
      </w:r>
      <w:r>
        <w:rPr>
          <w:rFonts w:cs="Arial" w:ascii="Arial" w:hAnsi="Arial"/>
          <w:sz w:val="20"/>
          <w:szCs w:val="20"/>
          <w:vertAlign w:val="superscript"/>
          <w:lang w:val="en-GB"/>
        </w:rPr>
        <w:t>170</w:t>
      </w:r>
      <w:r>
        <w:rPr>
          <w:rFonts w:cs="Arial" w:ascii="Arial" w:hAnsi="Arial"/>
          <w:sz w:val="20"/>
          <w:szCs w:val="20"/>
          <w:lang w:val="en-GB"/>
        </w:rPr>
        <w:t xml:space="preserve"> mutants have impaired synaptic boutons formation </w:t>
      </w:r>
      <w:r>
        <w:fldChar w:fldCharType="begin"/>
      </w:r>
      <w:r>
        <w:rPr/>
        <w:instrText>ADDIN EN.CITE</w:instrText>
      </w:r>
      <w:r>
        <w:rPr/>
        <w:fldChar w:fldCharType="separate"/>
      </w:r>
      <w:bookmarkStart w:id="97" w:name="__Fieldmark__2449_4090835577"/>
      <w:r>
        <w:rPr/>
      </w:r>
      <w:r>
        <w:rPr/>
      </w:r>
      <w:r>
        <w:rPr/>
        <w:fldChar w:fldCharType="end"/>
      </w:r>
      <w:r>
        <w:fldChar w:fldCharType="begin"/>
      </w:r>
      <w:r>
        <w:rPr/>
        <w:instrText>ADDIN EN.CITE.DATA</w:instrText>
      </w:r>
      <w:r>
        <w:rPr/>
        <w:fldChar w:fldCharType="separate"/>
      </w:r>
      <w:bookmarkStart w:id="98" w:name="__Fieldmark__2448_4090835577"/>
      <w:bookmarkEnd w:id="97"/>
      <w:r>
        <w:rPr/>
      </w:r>
      <w:r>
        <w:rPr>
          <w:rFonts w:cs="Arial" w:ascii="Arial" w:hAnsi="Arial"/>
          <w:sz w:val="20"/>
          <w:szCs w:val="20"/>
          <w:lang w:val="en-GB"/>
        </w:rPr>
        <w:t>(Pack-Chung et al., 2007)</w:t>
      </w:r>
      <w:r>
        <w:rPr/>
      </w:r>
      <w:r>
        <w:rPr/>
        <w:fldChar w:fldCharType="end"/>
      </w:r>
      <w:hyperlink w:anchor="_ENREF_53" w:tgtFrame="Pack-Chung, 2007 #85">
        <w:bookmarkEnd w:id="98"/>
        <w:r>
          <w:rPr>
            <w:rFonts w:cs="Arial" w:ascii="Arial" w:hAnsi="Arial"/>
            <w:sz w:val="20"/>
            <w:szCs w:val="20"/>
            <w:lang w:val="en-GB"/>
          </w:rPr>
          <w:t xml:space="preserve">. </w:t>
        </w:r>
      </w:hyperlink>
    </w:p>
    <w:p>
      <w:pPr>
        <w:pStyle w:val="Normal"/>
        <w:jc w:val="both"/>
        <w:rPr/>
      </w:pPr>
      <w:r>
        <w:drawing>
          <wp:anchor behindDoc="0" distT="19050" distB="15240" distL="0" distR="130810" simplePos="0" locked="0" layoutInCell="1" allowOverlap="1" relativeHeight="13">
            <wp:simplePos x="0" y="0"/>
            <wp:positionH relativeFrom="margin">
              <wp:align>left</wp:align>
            </wp:positionH>
            <wp:positionV relativeFrom="paragraph">
              <wp:posOffset>-16510</wp:posOffset>
            </wp:positionV>
            <wp:extent cx="3412490" cy="1985010"/>
            <wp:effectExtent l="0" t="0" r="0" b="0"/>
            <wp:wrapTight wrapText="bothSides">
              <wp:wrapPolygon edited="0">
                <wp:start x="-174" y="-199"/>
                <wp:lineTo x="-174" y="21492"/>
                <wp:lineTo x="21569" y="21492"/>
                <wp:lineTo x="21569" y="-199"/>
                <wp:lineTo x="-174" y="-199"/>
              </wp:wrapPolygon>
            </wp:wrapTight>
            <wp:docPr id="10" name="Imagem 19" descr="Anterograde and retrograde axonal transport by motors kinesins and dyneins, respectively. Kinesins and dyneins move on microtubules and transport Golgi-derived vesicles, cytosolic protein complexes, cytoskeletal polymers, and other cargos like ribosomes and messenger RNAs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9" descr="Anterograde and retrograde axonal transport by motors kinesins and dyneins, respectively. Kinesins and dyneins move on microtubules and transport Golgi-derived vesicles, cytosolic protein complexes, cytoskeletal polymers, and other cargos like ribosomes and messenger RNAsÂ "/>
                    <pic:cNvPicPr>
                      <a:picLocks noChangeAspect="1" noChangeArrowheads="1"/>
                    </pic:cNvPicPr>
                  </pic:nvPicPr>
                  <pic:blipFill>
                    <a:blip r:embed="rId11"/>
                    <a:stretch>
                      <a:fillRect/>
                    </a:stretch>
                  </pic:blipFill>
                  <pic:spPr bwMode="auto">
                    <a:xfrm>
                      <a:off x="0" y="0"/>
                      <a:ext cx="3412490" cy="1985010"/>
                    </a:xfrm>
                    <a:prstGeom prst="rect">
                      <a:avLst/>
                    </a:prstGeom>
                  </pic:spPr>
                </pic:pic>
              </a:graphicData>
            </a:graphic>
          </wp:anchor>
        </w:drawing>
      </w:r>
      <w:r>
        <w:rPr>
          <w:rFonts w:cs="Arial" w:ascii="Arial" w:hAnsi="Arial"/>
          <w:b/>
          <w:sz w:val="18"/>
          <w:szCs w:val="18"/>
          <w:lang w:val="en-GB"/>
        </w:rPr>
        <w:t>F</w:t>
      </w:r>
      <w:r>
        <w:rPr>
          <w:rFonts w:cs="Arial" w:ascii="Arial" w:hAnsi="Arial"/>
          <w:b/>
          <w:sz w:val="18"/>
          <w:szCs w:val="18"/>
          <w:lang w:val="en-GB"/>
        </w:rPr>
        <w:t>ig.8</w:t>
      </w:r>
      <w:r>
        <w:rPr>
          <w:rFonts w:cs="Arial" w:ascii="Arial" w:hAnsi="Arial"/>
          <w:sz w:val="18"/>
          <w:szCs w:val="18"/>
          <w:lang w:val="en-GB"/>
        </w:rPr>
        <w:t xml:space="preserve"> </w:t>
      </w:r>
      <w:r>
        <w:rPr>
          <w:rFonts w:cs="Arial" w:ascii="Arial" w:hAnsi="Arial"/>
          <w:b/>
          <w:color w:val="111111"/>
          <w:sz w:val="18"/>
          <w:szCs w:val="18"/>
          <w:lang w:val="en-GB"/>
        </w:rPr>
        <w:t xml:space="preserve">Anterograde and retrograde axonal transport by motors kinesins and dyneins, respectively. </w:t>
      </w:r>
      <w:r>
        <w:rPr>
          <w:rFonts w:cs="Arial" w:ascii="Arial" w:hAnsi="Arial"/>
          <w:i/>
          <w:color w:val="111111"/>
          <w:sz w:val="18"/>
          <w:szCs w:val="18"/>
          <w:lang w:val="en-GB"/>
        </w:rPr>
        <w:t>“Anterograde and retrograde axonal transport by motors kinesins and dyneins, respectively. Kinesins and dyneins move on microtubules and transport Golgi-derived vesicles, cytosolic protein complexes, cytoskeletal polymers, and other cargos like ribosomes and messenger RNAs”</w:t>
      </w:r>
      <w:r>
        <w:rPr>
          <w:rFonts w:cs="Arial" w:ascii="Arial" w:hAnsi="Arial"/>
          <w:i/>
          <w:color w:val="111111"/>
          <w:sz w:val="20"/>
          <w:szCs w:val="20"/>
          <w:lang w:val="en-GB"/>
        </w:rPr>
        <w:t xml:space="preserve"> </w:t>
      </w:r>
      <w:r>
        <w:rPr>
          <w:rFonts w:cs="Arial" w:ascii="Arial" w:hAnsi="Arial"/>
          <w:color w:val="111111"/>
          <w:sz w:val="18"/>
          <w:szCs w:val="18"/>
          <w:lang w:val="en-GB"/>
        </w:rPr>
        <w:t xml:space="preserve">Taken from </w:t>
      </w:r>
      <w:hyperlink w:anchor="_ENREF_42" w:tgtFrame="Roy, 2005 #57">
        <w:r>
          <w:rPr>
            <w:rStyle w:val="ListLabel125"/>
            <w:rFonts w:eastAsia="Times New Roman" w:cs="Arial" w:ascii="Arial" w:hAnsi="Arial"/>
            <w:color w:val="333333"/>
            <w:sz w:val="18"/>
            <w:szCs w:val="18"/>
            <w:lang w:val="en-GB" w:eastAsia="pt-PT"/>
          </w:rPr>
          <w:t>Roy, Zhang et al. 2005</w:t>
        </w:r>
      </w:hyperlink>
    </w:p>
    <w:p>
      <w:pPr>
        <w:pStyle w:val="Normal"/>
        <w:spacing w:lineRule="auto" w:line="360"/>
        <w:jc w:val="both"/>
        <w:rPr>
          <w:rFonts w:ascii="Arial" w:hAnsi="Arial" w:cs="Arial"/>
          <w:sz w:val="20"/>
          <w:szCs w:val="20"/>
          <w:lang w:val="en-GB"/>
        </w:rPr>
      </w:pPr>
      <w:r>
        <w:rPr>
          <w:rFonts w:cs="Arial" w:ascii="Arial" w:hAnsi="Arial"/>
          <w:sz w:val="20"/>
          <w:szCs w:val="20"/>
          <w:lang w:val="en-GB"/>
        </w:rPr>
      </w:r>
    </w:p>
    <w:p>
      <w:pPr>
        <w:pStyle w:val="Normal"/>
        <w:spacing w:lineRule="auto" w:line="360"/>
        <w:jc w:val="both"/>
        <w:rPr/>
      </w:pPr>
      <w:r>
        <w:rPr>
          <w:rFonts w:cs="Arial" w:ascii="Arial" w:hAnsi="Arial"/>
          <w:sz w:val="20"/>
          <w:szCs w:val="20"/>
          <w:lang w:val="en-GB"/>
        </w:rPr>
        <w:t xml:space="preserve">This study is based on the main hypothesis that MT-regulators, affect organisation of MT bundles which leads to aberration in motor protein-dependent vesicle transport </w:t>
      </w:r>
      <w:r>
        <w:fldChar w:fldCharType="begin"/>
      </w:r>
      <w:r>
        <w:rPr/>
        <w:instrText>ADDIN EN.CITE &lt;EndNote&gt;&lt;Cite&gt;&lt;Author&gt;Nakajima&lt;/Author&gt;&lt;Year&gt;2012&lt;/Year&gt;&lt;RecNum&gt;49&lt;/RecNum&gt;&lt;DisplayText&gt;(K. Nakajima et al., 2012)&lt;/DisplayText&gt;&lt;record&gt;&lt;rec-number&gt;49&lt;/rec-number&gt;&lt;foreign-keys&gt;&lt;key app="EN" db-id="vedta2ppje59fceprax5xvwqzxt2awx0xd99"&gt;49&lt;/key&gt;&lt;/foreign-keys&gt;&lt;ref-type name="Journal Article"&gt;17&lt;/ref-type&gt;&lt;contributors&gt;&lt;authors&gt;&lt;author&gt;Nakajima, K.&lt;/author&gt;&lt;author&gt;Yin, X. L.&lt;/author&gt;&lt;author&gt;Takei, Y.&lt;/author&gt;&lt;author&gt;Seog, D. H.&lt;/author&gt;&lt;author&gt;Homma, N.&lt;/author&gt;&lt;author&gt;Hirokawa, N.&lt;/author&gt;&lt;/authors&gt;&lt;/contributors&gt;&lt;auth-address&gt;Univ Tokyo, Grad Sch Med, Dept Cell Biol &amp;amp; Anat, Tokyo 1130033, Japan&amp;#xD;King Abdulaziz Univ, Ctr Excellence Genom Med Res, Jeddah 21589, Saudi Arabia&amp;#xD;Inje Univ, Coll Med, Dept Biochem, Pusan 614735, South Korea&lt;/auth-address&gt;&lt;titles&gt;&lt;title&gt;Molecular Motor KIF5A Is Essential for GABA(A) Receptor Transport, and KIF5A Deletion Causes Epilepsy&lt;/title&gt;&lt;secondary-title&gt;Neuron&lt;/secondary-title&gt;&lt;alt-title&gt;Neuron&lt;/alt-title&gt;&lt;/titles&gt;&lt;periodical&gt;&lt;full-title&gt;Neuron&lt;/full-title&gt;&lt;/periodical&gt;&lt;alt-periodical&gt;&lt;full-title&gt;Neuron&lt;/full-title&gt;&lt;/alt-periodical&gt;&lt;pages&gt;945-961&lt;/pages&gt;&lt;volume&gt;76&lt;/volume&gt;&lt;number&gt;5&lt;/number&gt;&lt;keywords&gt;&lt;keyword&gt;kinesin heavy-chain&lt;/keyword&gt;&lt;keyword&gt;nmda receptor&lt;/keyword&gt;&lt;keyword&gt;intracellular-transport&lt;/keyword&gt;&lt;keyword&gt;targeted disruption&lt;/keyword&gt;&lt;keyword&gt;cerebral-cortex&lt;/keyword&gt;&lt;keyword&gt;protein&lt;/keyword&gt;&lt;keyword&gt;gabarap&lt;/keyword&gt;&lt;keyword&gt;neurons&lt;/keyword&gt;&lt;keyword&gt;superfamily&lt;/keyword&gt;&lt;keyword&gt;binding&lt;/keyword&gt;&lt;/keywords&gt;&lt;dates&gt;&lt;year&gt;2012&lt;/year&gt;&lt;pub-dates&gt;&lt;date&gt;Dec 6&lt;/date&gt;&lt;/pub-dates&gt;&lt;/dates&gt;&lt;isbn&gt;0896-6273&lt;/isbn&gt;&lt;accession-num&gt;ISI:000312283400011&lt;/accession-num&gt;&lt;urls&gt;&lt;related-urls&gt;&lt;url&gt;&amp;lt;Go to ISI&amp;gt;://000312283400011&lt;/url&gt;&lt;/related-urls&gt;&lt;/urls&gt;&lt;electronic-resource-num&gt;10.1016/j.neuron.2012.10.012&lt;/electronic-resource-num&gt;&lt;language&gt;English&lt;/language&gt;&lt;/record&gt;&lt;/Cite&gt;&lt;/EndNote&gt;</w:instrText>
      </w:r>
      <w:r>
        <w:rPr/>
        <w:fldChar w:fldCharType="separate"/>
      </w:r>
      <w:bookmarkStart w:id="99" w:name="__Fieldmark__2477_4090835577"/>
      <w:r>
        <w:rPr/>
      </w:r>
      <w:r>
        <w:rPr>
          <w:rFonts w:cs="Arial" w:ascii="Arial" w:hAnsi="Arial"/>
          <w:sz w:val="20"/>
          <w:szCs w:val="20"/>
          <w:lang w:val="en-GB"/>
        </w:rPr>
        <w:t>(K. Nakajima et al., 2012)</w:t>
      </w:r>
      <w:r>
        <w:rPr/>
      </w:r>
      <w:r>
        <w:rPr/>
        <w:fldChar w:fldCharType="end"/>
      </w:r>
      <w:hyperlink w:anchor="_ENREF_51" w:tgtFrame="Nakajima, 2012 #49">
        <w:bookmarkEnd w:id="99"/>
        <w:r>
          <w:rPr>
            <w:rFonts w:cs="Arial" w:ascii="Arial" w:hAnsi="Arial"/>
            <w:sz w:val="20"/>
            <w:szCs w:val="20"/>
            <w:lang w:val="en-GB"/>
          </w:rPr>
          <w:t xml:space="preserve">. My aim is to test this hypothesis by determining if whether or not </w:t>
        </w:r>
      </w:hyperlink>
      <w:r>
        <w:rPr>
          <w:rFonts w:cs="Arial" w:ascii="Arial" w:hAnsi="Arial"/>
          <w:i/>
          <w:sz w:val="20"/>
          <w:szCs w:val="20"/>
          <w:lang w:val="en-GB"/>
        </w:rPr>
        <w:t xml:space="preserve">msps </w:t>
      </w:r>
      <w:r>
        <w:rPr>
          <w:rFonts w:cs="Arial" w:ascii="Arial" w:hAnsi="Arial"/>
          <w:sz w:val="20"/>
          <w:szCs w:val="20"/>
          <w:lang w:val="en-GB"/>
        </w:rPr>
        <w:t xml:space="preserve">and </w:t>
      </w:r>
      <w:r>
        <w:rPr>
          <w:rFonts w:cs="Arial" w:ascii="Arial" w:hAnsi="Arial"/>
          <w:i/>
          <w:sz w:val="20"/>
          <w:szCs w:val="20"/>
          <w:lang w:val="en-GB"/>
        </w:rPr>
        <w:t>Tau</w:t>
      </w:r>
      <w:r>
        <w:rPr>
          <w:rFonts w:cs="Arial" w:ascii="Arial" w:hAnsi="Arial"/>
          <w:sz w:val="20"/>
          <w:szCs w:val="20"/>
          <w:lang w:val="en-GB"/>
        </w:rPr>
        <w:t xml:space="preserve"> mutants genetically interact with two types of kinesins, Khc</w:t>
      </w:r>
      <w:r>
        <w:rPr>
          <w:rFonts w:cs="Arial" w:ascii="Arial" w:hAnsi="Arial"/>
          <w:sz w:val="20"/>
          <w:szCs w:val="20"/>
          <w:vertAlign w:val="superscript"/>
          <w:lang w:val="en-GB"/>
        </w:rPr>
        <w:t>8</w:t>
      </w:r>
      <w:r>
        <w:rPr>
          <w:rFonts w:cs="Arial" w:ascii="Arial" w:hAnsi="Arial"/>
          <w:sz w:val="20"/>
          <w:szCs w:val="20"/>
          <w:lang w:val="en-GB"/>
        </w:rPr>
        <w:t xml:space="preserve"> and imac</w:t>
      </w:r>
      <w:r>
        <w:rPr>
          <w:rFonts w:cs="Arial" w:ascii="Arial" w:hAnsi="Arial"/>
          <w:sz w:val="20"/>
          <w:szCs w:val="20"/>
          <w:vertAlign w:val="superscript"/>
          <w:lang w:val="en-GB"/>
        </w:rPr>
        <w:t>170</w:t>
      </w:r>
      <w:r>
        <w:rPr>
          <w:rFonts w:cs="Arial" w:ascii="Arial" w:hAnsi="Arial"/>
          <w:sz w:val="20"/>
          <w:szCs w:val="20"/>
          <w:lang w:val="en-GB"/>
        </w:rPr>
        <w:t xml:space="preserve">, which can be implicated in the transport of GABA-R. Genetic interaction is defined as when mutations in two genes produce a phenotype that is higher than the phenotype produced by each mutation individually </w:t>
      </w:r>
      <w:r>
        <w:fldChar w:fldCharType="begin"/>
      </w:r>
      <w:r>
        <w:rPr/>
        <w:instrText>ADDIN EN.CITE</w:instrText>
      </w:r>
      <w:r>
        <w:rPr/>
        <w:fldChar w:fldCharType="separate"/>
      </w:r>
      <w:bookmarkStart w:id="100" w:name="__Fieldmark__2502_4090835577"/>
      <w:r>
        <w:rPr/>
      </w:r>
      <w:r>
        <w:rPr/>
      </w:r>
      <w:r>
        <w:rPr/>
        <w:fldChar w:fldCharType="end"/>
      </w:r>
      <w:r>
        <w:fldChar w:fldCharType="begin"/>
      </w:r>
      <w:r>
        <w:rPr/>
        <w:instrText>ADDIN EN.CITE.DATA</w:instrText>
      </w:r>
      <w:r>
        <w:rPr/>
        <w:fldChar w:fldCharType="separate"/>
      </w:r>
      <w:bookmarkStart w:id="101" w:name="__Fieldmark__2501_4090835577"/>
      <w:bookmarkEnd w:id="100"/>
      <w:r>
        <w:rPr/>
      </w:r>
      <w:r>
        <w:rPr>
          <w:rFonts w:cs="Arial" w:ascii="Arial" w:hAnsi="Arial"/>
          <w:sz w:val="20"/>
          <w:szCs w:val="20"/>
          <w:lang w:val="en-GB"/>
        </w:rPr>
        <w:t>(Mani et al., 2008)</w:t>
      </w:r>
      <w:r>
        <w:rPr/>
      </w:r>
      <w:r>
        <w:rPr/>
        <w:fldChar w:fldCharType="end"/>
      </w:r>
      <w:hyperlink w:anchor="_ENREF_44" w:tgtFrame="Mani, 2008 #6">
        <w:bookmarkEnd w:id="101"/>
        <w:r>
          <w:rPr>
            <w:rFonts w:cs="Arial" w:ascii="Arial" w:hAnsi="Arial"/>
            <w:sz w:val="20"/>
            <w:szCs w:val="20"/>
            <w:lang w:val="en-GB"/>
          </w:rPr>
          <w:t xml:space="preserve">. Previous work in Prokop Lab did not found </w:t>
        </w:r>
      </w:hyperlink>
      <w:r>
        <w:rPr>
          <w:rFonts w:cs="Arial" w:ascii="Arial" w:hAnsi="Arial"/>
          <w:bCs/>
          <w:sz w:val="20"/>
          <w:szCs w:val="20"/>
          <w:lang w:val="en-US"/>
        </w:rPr>
        <w:t>genetic interaction between genes implicated in MTs organisation (</w:t>
      </w:r>
      <w:r>
        <w:rPr>
          <w:rFonts w:cs="Arial" w:ascii="Arial" w:hAnsi="Arial"/>
          <w:bCs/>
          <w:i/>
          <w:iCs/>
          <w:sz w:val="20"/>
          <w:szCs w:val="20"/>
          <w:lang w:val="en-US"/>
        </w:rPr>
        <w:t>Eb1</w:t>
      </w:r>
      <w:r>
        <w:rPr>
          <w:rFonts w:cs="Arial" w:ascii="Arial" w:hAnsi="Arial"/>
          <w:bCs/>
          <w:i/>
          <w:iCs/>
          <w:sz w:val="20"/>
          <w:szCs w:val="20"/>
          <w:vertAlign w:val="superscript"/>
          <w:lang w:val="en-US"/>
        </w:rPr>
        <w:t>04524/+</w:t>
      </w:r>
      <w:r>
        <w:rPr>
          <w:rFonts w:cs="Arial" w:ascii="Arial" w:hAnsi="Arial"/>
          <w:bCs/>
          <w:i/>
          <w:iCs/>
          <w:sz w:val="20"/>
          <w:szCs w:val="20"/>
          <w:lang w:val="en-US"/>
        </w:rPr>
        <w:t xml:space="preserve"> ,msps </w:t>
      </w:r>
      <w:r>
        <w:rPr>
          <w:rFonts w:cs="Arial" w:ascii="Arial" w:hAnsi="Arial"/>
          <w:bCs/>
          <w:i/>
          <w:iCs/>
          <w:sz w:val="20"/>
          <w:szCs w:val="20"/>
          <w:vertAlign w:val="superscript"/>
          <w:lang w:val="en-US"/>
        </w:rPr>
        <w:t>1/+</w:t>
      </w:r>
      <w:r>
        <w:rPr>
          <w:rFonts w:cs="Arial" w:ascii="Arial" w:hAnsi="Arial"/>
          <w:bCs/>
          <w:i/>
          <w:iCs/>
          <w:sz w:val="20"/>
          <w:szCs w:val="20"/>
          <w:lang w:val="en-US"/>
        </w:rPr>
        <w:t xml:space="preserve"> ,tau</w:t>
      </w:r>
      <w:r>
        <w:rPr>
          <w:rFonts w:cs="Arial" w:ascii="Arial" w:hAnsi="Arial"/>
          <w:bCs/>
          <w:i/>
          <w:iCs/>
          <w:sz w:val="20"/>
          <w:szCs w:val="20"/>
          <w:vertAlign w:val="superscript"/>
          <w:lang w:val="en-US"/>
        </w:rPr>
        <w:t>ko/+</w:t>
      </w:r>
      <w:r>
        <w:rPr>
          <w:rFonts w:cs="Arial" w:ascii="Arial" w:hAnsi="Arial"/>
          <w:bCs/>
          <w:sz w:val="20"/>
          <w:szCs w:val="20"/>
          <w:lang w:val="en-US"/>
        </w:rPr>
        <w:t xml:space="preserve">) and the two studied kinesins when mutated </w:t>
      </w:r>
      <w:r>
        <w:fldChar w:fldCharType="begin"/>
      </w:r>
      <w:r>
        <w:rPr/>
        <w:instrText>ADDIN EN.CITE &lt;EndNote&gt;&lt;Cite&gt;&lt;Author&gt;Petzold&lt;/Author&gt;&lt;Year&gt;2018&lt;/Year&gt;&lt;RecNum&gt;9782&lt;/RecNum&gt;&lt;DisplayText&gt;(Petzold, 2018)&lt;/DisplayText&gt;&lt;record&gt;&lt;rec-number&gt;9782&lt;/rec-number&gt;&lt;foreign-keys&gt;&lt;key app="EN" db-id="vwexp2xatx0fvxeff5rxex5pvw2vepptvvfs"&gt;9782&lt;/key&gt;&lt;/foreign-keys&gt;&lt;ref-type name="Thesis"&gt;32&lt;/ref-type&gt;&lt;contributors&gt;&lt;authors&gt;&lt;author&gt;Petzold, T.&lt;/author&gt;&lt;/authors&gt;&lt;/contributors&gt;&lt;titles&gt;&lt;title&gt;&lt;style face="normal" font="default" size="100%"&gt;Does axonal microtubule unbundling induce seizure-like behaviour in &lt;/style&gt;&lt;style face="italic" font="default" size="100%"&gt;Drosophila &lt;/style&gt;&lt;style face="normal" font="default" size="100%"&gt;and what is the mechanism for this?&lt;/style&gt;&lt;/title&gt;&lt;secondary-title&gt;Faculty of Biology, Health and Medicine&lt;/secondary-title&gt;&lt;/titles&gt;&lt;pages&gt;26&lt;/pages&gt;&lt;dates&gt;&lt;year&gt;2018&lt;/year&gt;&lt;/dates&gt;&lt;pub-location&gt;Manchester&lt;/pub-location&gt;&lt;publisher&gt;The University of Manchester&lt;/publisher&gt;&lt;work-type&gt;Final year undergraduate project&lt;/work-type&gt;&lt;urls&gt;&lt;/urls&gt;&lt;/record&gt;&lt;/Cite&gt;&lt;/EndNote&gt;</w:instrText>
      </w:r>
      <w:r>
        <w:rPr/>
        <w:fldChar w:fldCharType="separate"/>
      </w:r>
      <w:bookmarkStart w:id="102" w:name="__Fieldmark__2526_4090835577"/>
      <w:r>
        <w:rPr/>
      </w:r>
      <w:r>
        <w:rPr>
          <w:rFonts w:cs="Arial" w:ascii="Arial" w:hAnsi="Arial"/>
          <w:bCs/>
          <w:sz w:val="20"/>
          <w:szCs w:val="20"/>
          <w:lang w:val="en-US"/>
        </w:rPr>
        <w:t>(Petzold, 2018)</w:t>
      </w:r>
      <w:r>
        <w:rPr/>
      </w:r>
      <w:r>
        <w:rPr/>
        <w:fldChar w:fldCharType="end"/>
      </w:r>
      <w:hyperlink w:anchor="_ENREF_57" w:tgtFrame="Petzold, 2018 #9782">
        <w:bookmarkEnd w:id="102"/>
        <w:r>
          <w:rPr>
            <w:rFonts w:cs="Arial" w:ascii="Arial" w:hAnsi="Arial"/>
            <w:sz w:val="20"/>
            <w:szCs w:val="20"/>
            <w:lang w:val="en-GB"/>
          </w:rPr>
          <w:t xml:space="preserve">. This experiments  were done with triple-heterozygous mutants, which are already very severe and perhaps </w:t>
        </w:r>
      </w:hyperlink>
      <w:r>
        <w:rPr>
          <w:rFonts w:cs="Arial" w:ascii="Arial" w:hAnsi="Arial"/>
          <w:bCs/>
          <w:sz w:val="20"/>
          <w:szCs w:val="20"/>
          <w:lang w:val="en-US"/>
        </w:rPr>
        <w:t xml:space="preserve">seizure-like behaviour cannot be enhanced. I tested seizure-like phenotype in </w:t>
      </w:r>
      <w:r>
        <w:rPr>
          <w:rFonts w:cs="Arial" w:ascii="Arial" w:hAnsi="Arial"/>
          <w:bCs/>
          <w:i/>
          <w:iCs/>
          <w:sz w:val="20"/>
          <w:szCs w:val="20"/>
          <w:lang w:val="en-US"/>
        </w:rPr>
        <w:t xml:space="preserve">msps </w:t>
      </w:r>
      <w:r>
        <w:rPr>
          <w:rFonts w:cs="Arial" w:ascii="Arial" w:hAnsi="Arial"/>
          <w:bCs/>
          <w:i/>
          <w:iCs/>
          <w:sz w:val="20"/>
          <w:szCs w:val="20"/>
          <w:vertAlign w:val="superscript"/>
          <w:lang w:val="en-US"/>
        </w:rPr>
        <w:t>1/+</w:t>
      </w:r>
      <w:r>
        <w:rPr>
          <w:rFonts w:cs="Arial" w:ascii="Arial" w:hAnsi="Arial"/>
          <w:bCs/>
          <w:i/>
          <w:iCs/>
          <w:sz w:val="20"/>
          <w:szCs w:val="20"/>
          <w:lang w:val="en-US"/>
        </w:rPr>
        <w:t xml:space="preserve"> tau</w:t>
      </w:r>
      <w:r>
        <w:rPr>
          <w:rFonts w:cs="Arial" w:ascii="Arial" w:hAnsi="Arial"/>
          <w:bCs/>
          <w:i/>
          <w:iCs/>
          <w:sz w:val="20"/>
          <w:szCs w:val="20"/>
          <w:vertAlign w:val="superscript"/>
          <w:lang w:val="en-US"/>
        </w:rPr>
        <w:t>ko/+</w:t>
      </w:r>
      <w:r>
        <w:rPr>
          <w:rFonts w:cs="Arial" w:ascii="Arial" w:hAnsi="Arial"/>
          <w:bCs/>
          <w:i/>
          <w:iCs/>
          <w:sz w:val="20"/>
          <w:szCs w:val="20"/>
          <w:lang w:val="en-US"/>
        </w:rPr>
        <w:t>,</w:t>
      </w:r>
      <w:r>
        <w:rPr>
          <w:rFonts w:cs="Arial" w:ascii="Arial" w:hAnsi="Arial"/>
          <w:bCs/>
          <w:iCs/>
          <w:sz w:val="20"/>
          <w:szCs w:val="20"/>
          <w:lang w:val="en-US"/>
        </w:rPr>
        <w:t xml:space="preserve"> </w:t>
      </w:r>
      <w:r>
        <w:rPr>
          <w:rFonts w:cs="Arial" w:ascii="Arial" w:hAnsi="Arial"/>
          <w:bCs/>
          <w:i/>
          <w:sz w:val="20"/>
          <w:szCs w:val="20"/>
          <w:lang w:val="en-US"/>
        </w:rPr>
        <w:t>Khc</w:t>
      </w:r>
      <w:r>
        <w:rPr>
          <w:rFonts w:cs="Arial" w:ascii="Arial" w:hAnsi="Arial"/>
          <w:bCs/>
          <w:i/>
          <w:sz w:val="20"/>
          <w:szCs w:val="20"/>
          <w:vertAlign w:val="superscript"/>
          <w:lang w:val="en-US"/>
        </w:rPr>
        <w:t>8</w:t>
      </w:r>
      <w:r>
        <w:rPr>
          <w:rFonts w:cs="Arial" w:ascii="Arial" w:hAnsi="Arial"/>
          <w:bCs/>
          <w:sz w:val="20"/>
          <w:szCs w:val="20"/>
          <w:lang w:val="en-US"/>
        </w:rPr>
        <w:t xml:space="preserve"> and </w:t>
      </w:r>
      <w:r>
        <w:rPr>
          <w:rFonts w:cs="Arial" w:ascii="Arial" w:hAnsi="Arial"/>
          <w:bCs/>
          <w:i/>
          <w:sz w:val="20"/>
          <w:szCs w:val="20"/>
          <w:lang w:val="en-US"/>
        </w:rPr>
        <w:t>imac</w:t>
      </w:r>
      <w:r>
        <w:rPr>
          <w:rFonts w:cs="Arial" w:ascii="Arial" w:hAnsi="Arial"/>
          <w:bCs/>
          <w:i/>
          <w:sz w:val="20"/>
          <w:szCs w:val="20"/>
          <w:vertAlign w:val="superscript"/>
          <w:lang w:val="en-US"/>
        </w:rPr>
        <w:t>170</w:t>
      </w:r>
      <w:r>
        <w:rPr>
          <w:rFonts w:cs="Arial" w:ascii="Arial" w:hAnsi="Arial"/>
          <w:bCs/>
          <w:sz w:val="20"/>
          <w:szCs w:val="20"/>
          <w:lang w:val="en-US"/>
        </w:rPr>
        <w:t xml:space="preserve"> as controls. Each genotype had an enhanced T</w:t>
      </w:r>
      <w:r>
        <w:rPr>
          <w:rFonts w:cs="Arial" w:ascii="Arial" w:hAnsi="Arial"/>
          <w:bCs/>
          <w:sz w:val="20"/>
          <w:szCs w:val="20"/>
          <w:vertAlign w:val="subscript"/>
          <w:lang w:val="en-US"/>
        </w:rPr>
        <w:t xml:space="preserve">Rec </w:t>
      </w:r>
      <w:r>
        <w:rPr>
          <w:rFonts w:cs="Arial" w:ascii="Arial" w:hAnsi="Arial"/>
          <w:bCs/>
          <w:sz w:val="20"/>
          <w:szCs w:val="20"/>
          <w:lang w:val="en-US"/>
        </w:rPr>
        <w:t xml:space="preserve">compare to control larvae by </w:t>
      </w:r>
      <w:r>
        <w:rPr>
          <w:rFonts w:cs="Arial" w:ascii="Arial" w:hAnsi="Arial"/>
          <w:b/>
          <w:bCs/>
          <w:sz w:val="20"/>
          <w:szCs w:val="20"/>
          <w:lang w:val="en-US"/>
        </w:rPr>
        <w:t>141</w:t>
      </w:r>
      <w:r>
        <w:rPr>
          <w:rFonts w:cs="Arial" w:ascii="Arial" w:hAnsi="Arial"/>
          <w:bCs/>
          <w:sz w:val="20"/>
          <w:szCs w:val="20"/>
          <w:lang w:val="en-US"/>
        </w:rPr>
        <w:t xml:space="preserve">%, </w:t>
      </w:r>
      <w:r>
        <w:rPr>
          <w:rFonts w:cs="Arial" w:ascii="Arial" w:hAnsi="Arial"/>
          <w:b/>
          <w:bCs/>
          <w:sz w:val="20"/>
          <w:szCs w:val="20"/>
          <w:lang w:val="en-US"/>
        </w:rPr>
        <w:t>157</w:t>
      </w:r>
      <w:r>
        <w:rPr>
          <w:rFonts w:cs="Arial" w:ascii="Arial" w:hAnsi="Arial"/>
          <w:bCs/>
          <w:sz w:val="20"/>
          <w:szCs w:val="20"/>
          <w:lang w:val="en-US"/>
        </w:rPr>
        <w:t xml:space="preserve">%, and </w:t>
      </w:r>
      <w:r>
        <w:rPr>
          <w:rFonts w:cs="Arial" w:ascii="Arial" w:hAnsi="Arial"/>
          <w:b/>
          <w:bCs/>
          <w:sz w:val="20"/>
          <w:szCs w:val="20"/>
          <w:lang w:val="en-US"/>
        </w:rPr>
        <w:t>240</w:t>
      </w:r>
      <w:r>
        <w:rPr>
          <w:rFonts w:cs="Arial" w:ascii="Arial" w:hAnsi="Arial"/>
          <w:bCs/>
          <w:sz w:val="20"/>
          <w:szCs w:val="20"/>
          <w:lang w:val="en-US"/>
        </w:rPr>
        <w:t>% respectively</w:t>
      </w:r>
      <w:r>
        <w:rPr>
          <w:rFonts w:cs="Arial" w:ascii="Arial" w:hAnsi="Arial"/>
          <w:bCs/>
          <w:sz w:val="20"/>
          <w:szCs w:val="20"/>
          <w:vertAlign w:val="subscript"/>
          <w:lang w:val="en-US"/>
        </w:rPr>
        <w:t xml:space="preserve"> </w:t>
      </w:r>
      <w:r>
        <w:rPr>
          <w:rFonts w:cs="Arial" w:ascii="Arial" w:hAnsi="Arial"/>
          <w:sz w:val="20"/>
          <w:szCs w:val="20"/>
          <w:lang w:val="en-US"/>
        </w:rPr>
        <w:t xml:space="preserve">(Fig.9). Moreover, </w:t>
      </w:r>
      <w:r>
        <w:rPr>
          <w:rFonts w:cs="Arial" w:ascii="Arial" w:hAnsi="Arial"/>
          <w:i/>
          <w:sz w:val="20"/>
          <w:szCs w:val="20"/>
          <w:lang w:val="en-GB"/>
        </w:rPr>
        <w:t>Khc</w:t>
      </w:r>
      <w:r>
        <w:rPr>
          <w:rFonts w:cs="Arial" w:ascii="Arial" w:hAnsi="Arial"/>
          <w:i/>
          <w:sz w:val="20"/>
          <w:szCs w:val="20"/>
          <w:vertAlign w:val="superscript"/>
          <w:lang w:val="en-GB"/>
        </w:rPr>
        <w:t>8/+</w:t>
      </w:r>
      <w:r>
        <w:rPr>
          <w:rFonts w:cs="Arial" w:ascii="Arial" w:hAnsi="Arial"/>
          <w:sz w:val="20"/>
          <w:szCs w:val="20"/>
          <w:vertAlign w:val="superscript"/>
          <w:lang w:val="en-GB"/>
        </w:rPr>
        <w:t xml:space="preserve"> </w:t>
      </w:r>
      <w:r>
        <w:rPr>
          <w:rFonts w:cs="Arial" w:ascii="Arial" w:hAnsi="Arial"/>
          <w:sz w:val="20"/>
          <w:szCs w:val="20"/>
          <w:lang w:val="en-GB"/>
        </w:rPr>
        <w:t xml:space="preserve">and </w:t>
      </w:r>
      <w:r>
        <w:rPr>
          <w:rFonts w:cs="Arial" w:ascii="Arial" w:hAnsi="Arial"/>
          <w:bCs/>
          <w:i/>
          <w:iCs/>
          <w:sz w:val="20"/>
          <w:szCs w:val="20"/>
          <w:lang w:val="en-US"/>
        </w:rPr>
        <w:t xml:space="preserve">msps </w:t>
      </w:r>
      <w:r>
        <w:rPr>
          <w:rFonts w:cs="Arial" w:ascii="Arial" w:hAnsi="Arial"/>
          <w:bCs/>
          <w:i/>
          <w:iCs/>
          <w:sz w:val="20"/>
          <w:szCs w:val="20"/>
          <w:vertAlign w:val="superscript"/>
          <w:lang w:val="en-US"/>
        </w:rPr>
        <w:t>1/+</w:t>
      </w:r>
      <w:r>
        <w:rPr>
          <w:rFonts w:cs="Arial" w:ascii="Arial" w:hAnsi="Arial"/>
          <w:bCs/>
          <w:i/>
          <w:iCs/>
          <w:sz w:val="20"/>
          <w:szCs w:val="20"/>
          <w:lang w:val="en-US"/>
        </w:rPr>
        <w:t xml:space="preserve"> tau</w:t>
      </w:r>
      <w:r>
        <w:rPr>
          <w:rFonts w:cs="Arial" w:ascii="Arial" w:hAnsi="Arial"/>
          <w:bCs/>
          <w:i/>
          <w:iCs/>
          <w:sz w:val="20"/>
          <w:szCs w:val="20"/>
          <w:vertAlign w:val="superscript"/>
          <w:lang w:val="en-US"/>
        </w:rPr>
        <w:t>ko/+</w:t>
      </w:r>
      <w:r>
        <w:rPr>
          <w:rFonts w:cs="Arial" w:ascii="Arial" w:hAnsi="Arial"/>
          <w:bCs/>
          <w:i/>
          <w:iCs/>
          <w:sz w:val="20"/>
          <w:szCs w:val="20"/>
          <w:lang w:val="en-US"/>
        </w:rPr>
        <w:t>,</w:t>
      </w:r>
      <w:r>
        <w:rPr>
          <w:rFonts w:cs="Arial" w:ascii="Arial" w:hAnsi="Arial"/>
          <w:bCs/>
          <w:iCs/>
          <w:sz w:val="20"/>
          <w:szCs w:val="20"/>
          <w:lang w:val="en-US"/>
        </w:rPr>
        <w:t xml:space="preserve"> </w:t>
      </w:r>
      <w:r>
        <w:rPr>
          <w:rFonts w:cs="Arial" w:ascii="Arial" w:hAnsi="Arial"/>
          <w:sz w:val="20"/>
          <w:szCs w:val="20"/>
          <w:lang w:val="en-GB"/>
        </w:rPr>
        <w:t>have similar T</w:t>
      </w:r>
      <w:r>
        <w:rPr>
          <w:rFonts w:cs="Arial" w:ascii="Arial" w:hAnsi="Arial"/>
          <w:sz w:val="20"/>
          <w:szCs w:val="20"/>
          <w:vertAlign w:val="subscript"/>
          <w:lang w:val="en-GB"/>
        </w:rPr>
        <w:t>Rec</w:t>
      </w:r>
      <w:r>
        <w:rPr>
          <w:rFonts w:cs="Arial" w:ascii="Arial" w:hAnsi="Arial"/>
          <w:sz w:val="20"/>
          <w:szCs w:val="20"/>
          <w:lang w:val="en-GB"/>
        </w:rPr>
        <w:t xml:space="preserve"> contrary to </w:t>
      </w:r>
      <w:r>
        <w:rPr>
          <w:rFonts w:cs="Arial" w:ascii="Arial" w:hAnsi="Arial"/>
          <w:i/>
          <w:sz w:val="20"/>
          <w:szCs w:val="20"/>
          <w:lang w:val="en-GB"/>
        </w:rPr>
        <w:t>Imac</w:t>
      </w:r>
      <w:r>
        <w:rPr>
          <w:rFonts w:cs="Arial" w:ascii="Arial" w:hAnsi="Arial"/>
          <w:i/>
          <w:sz w:val="20"/>
          <w:szCs w:val="20"/>
          <w:vertAlign w:val="superscript"/>
          <w:lang w:val="en-GB"/>
        </w:rPr>
        <w:t>170</w:t>
      </w:r>
      <w:r>
        <w:rPr>
          <w:rFonts w:cs="Arial" w:ascii="Arial" w:hAnsi="Arial"/>
          <w:sz w:val="20"/>
          <w:szCs w:val="20"/>
          <w:lang w:val="en-GB"/>
        </w:rPr>
        <w:t xml:space="preserve"> which have an increased T</w:t>
      </w:r>
      <w:r>
        <w:rPr>
          <w:rFonts w:cs="Arial" w:ascii="Arial" w:hAnsi="Arial"/>
          <w:sz w:val="20"/>
          <w:szCs w:val="20"/>
          <w:vertAlign w:val="subscript"/>
          <w:lang w:val="en-GB"/>
        </w:rPr>
        <w:t xml:space="preserve">Rec </w:t>
      </w:r>
      <w:r>
        <w:rPr>
          <w:rFonts w:cs="Arial" w:ascii="Arial" w:hAnsi="Arial"/>
          <w:sz w:val="20"/>
          <w:szCs w:val="20"/>
          <w:lang w:val="en-GB"/>
        </w:rPr>
        <w:t xml:space="preserve">(Fig.10a,b). Indeed, </w:t>
      </w:r>
      <w:r>
        <w:rPr>
          <w:rFonts w:cs="Arial" w:ascii="Arial" w:hAnsi="Arial"/>
          <w:i/>
          <w:sz w:val="20"/>
          <w:szCs w:val="20"/>
          <w:lang w:val="en-GB"/>
        </w:rPr>
        <w:t>imac</w:t>
      </w:r>
      <w:r>
        <w:rPr>
          <w:rFonts w:cs="Arial" w:ascii="Arial" w:hAnsi="Arial"/>
          <w:i/>
          <w:sz w:val="20"/>
          <w:szCs w:val="20"/>
          <w:vertAlign w:val="superscript"/>
          <w:lang w:val="en-GB"/>
        </w:rPr>
        <w:t>170/+</w:t>
      </w:r>
      <w:r>
        <w:rPr>
          <w:rFonts w:cs="Arial" w:ascii="Arial" w:hAnsi="Arial"/>
          <w:sz w:val="20"/>
          <w:szCs w:val="20"/>
          <w:lang w:val="en-GB"/>
        </w:rPr>
        <w:t xml:space="preserve"> has a seizure-like phenotype as severe as the triple-heterozygous phenotype (Fig.10b). </w:t>
      </w:r>
    </w:p>
    <w:p>
      <w:pPr>
        <w:pStyle w:val="Normal"/>
        <w:spacing w:lineRule="auto" w:line="360"/>
        <w:jc w:val="both"/>
        <w:rPr>
          <w:rFonts w:ascii="Arial" w:hAnsi="Arial" w:cs="Arial"/>
          <w:sz w:val="20"/>
          <w:szCs w:val="20"/>
          <w:lang w:val="en-GB"/>
        </w:rPr>
      </w:pPr>
      <w:r>
        <w:rPr>
          <w:rFonts w:cs="Arial" w:ascii="Arial" w:hAnsi="Arial"/>
          <w:sz w:val="20"/>
          <w:szCs w:val="20"/>
          <w:lang w:val="en-GB"/>
        </w:rPr>
        <w:drawing>
          <wp:anchor behindDoc="0" distT="0" distB="5080" distL="0" distR="114300" simplePos="0" locked="0" layoutInCell="1" allowOverlap="1" relativeHeight="14">
            <wp:simplePos x="0" y="0"/>
            <wp:positionH relativeFrom="margin">
              <wp:align>left</wp:align>
            </wp:positionH>
            <wp:positionV relativeFrom="paragraph">
              <wp:posOffset>121285</wp:posOffset>
            </wp:positionV>
            <wp:extent cx="2520315" cy="2167255"/>
            <wp:effectExtent l="0" t="0" r="0" b="0"/>
            <wp:wrapTight wrapText="bothSides">
              <wp:wrapPolygon edited="0">
                <wp:start x="-25" y="0"/>
                <wp:lineTo x="-25" y="21437"/>
                <wp:lineTo x="21390" y="21437"/>
                <wp:lineTo x="21390" y="0"/>
                <wp:lineTo x="-25" y="0"/>
              </wp:wrapPolygon>
            </wp:wrapTight>
            <wp:docPr id="11" name="Imagem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27" descr=""/>
                    <pic:cNvPicPr>
                      <a:picLocks noChangeAspect="1" noChangeArrowheads="1"/>
                    </pic:cNvPicPr>
                  </pic:nvPicPr>
                  <pic:blipFill>
                    <a:blip r:embed="rId12"/>
                    <a:stretch>
                      <a:fillRect/>
                    </a:stretch>
                  </pic:blipFill>
                  <pic:spPr bwMode="auto">
                    <a:xfrm>
                      <a:off x="0" y="0"/>
                      <a:ext cx="2520315" cy="2167255"/>
                    </a:xfrm>
                    <a:prstGeom prst="rect">
                      <a:avLst/>
                    </a:prstGeom>
                  </pic:spPr>
                </pic:pic>
              </a:graphicData>
            </a:graphic>
          </wp:anchor>
        </w:drawing>
      </w:r>
    </w:p>
    <w:p>
      <w:pPr>
        <w:pStyle w:val="Normal"/>
        <w:spacing w:before="120" w:after="0"/>
        <w:jc w:val="both"/>
        <w:rPr>
          <w:rFonts w:ascii="Arial" w:hAnsi="Arial" w:cs="Arial"/>
          <w:b/>
          <w:b/>
          <w:sz w:val="18"/>
          <w:szCs w:val="18"/>
          <w:lang w:val="en-GB"/>
        </w:rPr>
      </w:pPr>
      <w:r>
        <w:rPr>
          <w:rFonts w:cs="Arial" w:ascii="Arial" w:hAnsi="Arial"/>
          <w:b/>
          <w:sz w:val="18"/>
          <w:szCs w:val="18"/>
          <w:lang w:val="en-GB"/>
        </w:rPr>
        <w:t xml:space="preserve">Fig. 9: Seizure-like phenotype in </w:t>
      </w:r>
      <w:r>
        <w:rPr>
          <w:rFonts w:cs="Arial" w:ascii="Arial" w:hAnsi="Arial"/>
          <w:b/>
          <w:i/>
          <w:sz w:val="18"/>
          <w:szCs w:val="18"/>
          <w:lang w:val="en-GB"/>
        </w:rPr>
        <w:t>msps</w:t>
      </w:r>
      <w:r>
        <w:rPr>
          <w:rFonts w:cs="Arial" w:ascii="Arial" w:hAnsi="Arial"/>
          <w:b/>
          <w:i/>
          <w:sz w:val="18"/>
          <w:szCs w:val="18"/>
          <w:vertAlign w:val="superscript"/>
          <w:lang w:val="en-GB"/>
        </w:rPr>
        <w:t>1/+</w:t>
      </w:r>
      <w:r>
        <w:rPr>
          <w:rFonts w:cs="Arial" w:ascii="Arial" w:hAnsi="Arial"/>
          <w:b/>
          <w:i/>
          <w:sz w:val="18"/>
          <w:szCs w:val="18"/>
          <w:lang w:val="en-GB"/>
        </w:rPr>
        <w:t>, tau</w:t>
      </w:r>
      <w:r>
        <w:rPr>
          <w:rFonts w:cs="Arial" w:ascii="Arial" w:hAnsi="Arial"/>
          <w:b/>
          <w:i/>
          <w:sz w:val="18"/>
          <w:szCs w:val="18"/>
          <w:vertAlign w:val="superscript"/>
          <w:lang w:val="en-GB"/>
        </w:rPr>
        <w:t>ko/+</w:t>
      </w:r>
      <w:r>
        <w:rPr>
          <w:rFonts w:cs="Arial" w:ascii="Arial" w:hAnsi="Arial"/>
          <w:b/>
          <w:sz w:val="18"/>
          <w:szCs w:val="18"/>
          <w:lang w:val="en-GB"/>
        </w:rPr>
        <w:t xml:space="preserve">; </w:t>
      </w:r>
      <w:r>
        <w:rPr>
          <w:rFonts w:cs="Arial" w:ascii="Arial" w:hAnsi="Arial"/>
          <w:b/>
          <w:i/>
          <w:sz w:val="18"/>
          <w:szCs w:val="18"/>
          <w:lang w:val="en-GB"/>
        </w:rPr>
        <w:t>Khc</w:t>
      </w:r>
      <w:r>
        <w:rPr>
          <w:rFonts w:cs="Arial" w:ascii="Arial" w:hAnsi="Arial"/>
          <w:b/>
          <w:i/>
          <w:sz w:val="18"/>
          <w:szCs w:val="18"/>
          <w:vertAlign w:val="superscript"/>
          <w:lang w:val="en-GB"/>
        </w:rPr>
        <w:t>8/+</w:t>
      </w:r>
      <w:r>
        <w:rPr>
          <w:rFonts w:cs="Arial" w:ascii="Arial" w:hAnsi="Arial"/>
          <w:b/>
          <w:sz w:val="18"/>
          <w:szCs w:val="18"/>
          <w:lang w:val="en-GB"/>
        </w:rPr>
        <w:t xml:space="preserve"> and </w:t>
      </w:r>
      <w:r>
        <w:rPr>
          <w:rFonts w:cs="Arial" w:ascii="Arial" w:hAnsi="Arial"/>
          <w:b/>
          <w:i/>
          <w:sz w:val="18"/>
          <w:szCs w:val="18"/>
          <w:lang w:val="en-GB"/>
        </w:rPr>
        <w:t>imac</w:t>
      </w:r>
      <w:r>
        <w:rPr>
          <w:rFonts w:cs="Arial" w:ascii="Arial" w:hAnsi="Arial"/>
          <w:b/>
          <w:i/>
          <w:sz w:val="18"/>
          <w:szCs w:val="18"/>
          <w:vertAlign w:val="superscript"/>
          <w:lang w:val="en-GB"/>
        </w:rPr>
        <w:t>170/+</w:t>
      </w:r>
      <w:r>
        <w:rPr>
          <w:rFonts w:cs="Arial" w:ascii="Arial" w:hAnsi="Arial"/>
          <w:b/>
          <w:sz w:val="18"/>
          <w:szCs w:val="18"/>
          <w:lang w:val="en-GB"/>
        </w:rPr>
        <w:t xml:space="preserve"> larvae. </w:t>
      </w:r>
      <w:r>
        <w:rPr>
          <w:rFonts w:cs="Arial" w:ascii="Arial" w:hAnsi="Arial"/>
          <w:sz w:val="18"/>
          <w:szCs w:val="18"/>
          <w:lang w:val="en-GB"/>
        </w:rPr>
        <w:t>(T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wt</w:t>
      </w:r>
      <w:r>
        <w:rPr>
          <w:rFonts w:cs="Arial" w:ascii="Arial" w:hAnsi="Arial"/>
          <w:sz w:val="18"/>
          <w:szCs w:val="18"/>
          <w:lang w:val="en-GB"/>
        </w:rPr>
        <w:t>: 36.86 ± 16.84SD,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b/>
          <w:sz w:val="18"/>
          <w:szCs w:val="18"/>
          <w:lang w:val="en-GB"/>
        </w:rPr>
        <w:t xml:space="preserve"> </w:t>
      </w:r>
      <w:r>
        <w:rPr>
          <w:rFonts w:cs="Arial" w:ascii="Arial" w:hAnsi="Arial"/>
          <w:i/>
          <w:sz w:val="18"/>
          <w:szCs w:val="18"/>
          <w:lang w:val="en-GB"/>
        </w:rPr>
        <w:t>msps1/+, tauko/+</w:t>
      </w:r>
      <w:r>
        <w:rPr>
          <w:rFonts w:cs="Arial" w:ascii="Arial" w:hAnsi="Arial"/>
          <w:sz w:val="18"/>
          <w:szCs w:val="18"/>
          <w:lang w:val="en-GB"/>
        </w:rPr>
        <w:t xml:space="preserve"> : </w:t>
      </w:r>
      <w:r>
        <w:rPr>
          <w:rFonts w:eastAsia="Times New Roman" w:cs="Arial" w:ascii="Arial" w:hAnsi="Arial"/>
          <w:sz w:val="18"/>
          <w:szCs w:val="18"/>
          <w:lang w:val="en-GB" w:eastAsia="pt-PT"/>
        </w:rPr>
        <w:t>88.93</w:t>
      </w:r>
      <w:r>
        <w:rPr>
          <w:rFonts w:cs="Arial" w:ascii="Arial" w:hAnsi="Arial"/>
          <w:sz w:val="18"/>
          <w:szCs w:val="18"/>
          <w:lang w:val="en-GB"/>
        </w:rPr>
        <w:t xml:space="preserve">s ± </w:t>
      </w:r>
      <w:r>
        <w:rPr>
          <w:rFonts w:eastAsia="Times New Roman" w:cs="Arial" w:ascii="Arial" w:hAnsi="Arial"/>
          <w:sz w:val="18"/>
          <w:szCs w:val="18"/>
          <w:lang w:val="en-GB" w:eastAsia="pt-PT"/>
        </w:rPr>
        <w:t>37.78</w:t>
      </w:r>
      <w:r>
        <w:rPr>
          <w:rFonts w:cs="Arial" w:ascii="Arial" w:hAnsi="Arial"/>
          <w:sz w:val="18"/>
          <w:szCs w:val="18"/>
          <w:lang w:val="en-GB"/>
        </w:rPr>
        <w:t>SD; P</w:t>
      </w:r>
      <w:r>
        <w:rPr>
          <w:rFonts w:cs="Arial" w:ascii="Arial" w:hAnsi="Arial"/>
          <w:sz w:val="18"/>
          <w:szCs w:val="18"/>
          <w:vertAlign w:val="subscript"/>
          <w:lang w:val="en-GB"/>
        </w:rPr>
        <w:t xml:space="preserve"> MW</w:t>
      </w:r>
      <w:r>
        <w:rPr>
          <w:rFonts w:cs="Arial" w:ascii="Arial" w:hAnsi="Arial"/>
          <w:sz w:val="18"/>
          <w:szCs w:val="18"/>
          <w:lang w:val="en-GB"/>
        </w:rPr>
        <w:t xml:space="preserve">&lt; </w:t>
      </w:r>
      <w:r>
        <w:rPr>
          <w:rFonts w:cs="Arial" w:ascii="Arial" w:hAnsi="Arial"/>
          <w:b/>
          <w:sz w:val="18"/>
          <w:szCs w:val="18"/>
          <w:lang w:val="en-GB"/>
        </w:rPr>
        <w:t>0.0001</w:t>
      </w:r>
      <w:r>
        <w:rPr>
          <w:rFonts w:cs="Arial" w:ascii="Arial" w:hAnsi="Arial"/>
          <w:sz w:val="18"/>
          <w:szCs w:val="18"/>
          <w:lang w:val="en-GB"/>
        </w:rPr>
        <w:t>),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wt</w:t>
      </w:r>
      <w:r>
        <w:rPr>
          <w:rFonts w:cs="Arial" w:ascii="Arial" w:hAnsi="Arial"/>
          <w:sz w:val="18"/>
          <w:szCs w:val="18"/>
          <w:lang w:val="en-GB"/>
        </w:rPr>
        <w:t>: 36.86 ± 16.84SD,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b/>
          <w:sz w:val="18"/>
          <w:szCs w:val="18"/>
          <w:lang w:val="en-GB"/>
        </w:rPr>
        <w:t xml:space="preserve"> </w:t>
      </w:r>
      <w:r>
        <w:rPr>
          <w:rFonts w:cs="Arial" w:ascii="Arial" w:hAnsi="Arial"/>
          <w:i/>
          <w:sz w:val="18"/>
          <w:szCs w:val="18"/>
          <w:lang w:val="en-GB"/>
        </w:rPr>
        <w:t>Khc</w:t>
      </w:r>
      <w:r>
        <w:rPr>
          <w:rFonts w:cs="Arial" w:ascii="Arial" w:hAnsi="Arial"/>
          <w:i/>
          <w:sz w:val="18"/>
          <w:szCs w:val="18"/>
          <w:vertAlign w:val="superscript"/>
          <w:lang w:val="en-GB"/>
        </w:rPr>
        <w:t>8/+</w:t>
      </w:r>
      <w:r>
        <w:rPr>
          <w:rFonts w:cs="Arial" w:ascii="Arial" w:hAnsi="Arial"/>
          <w:sz w:val="18"/>
          <w:szCs w:val="18"/>
          <w:lang w:val="en-GB"/>
        </w:rPr>
        <w:t xml:space="preserve">: </w:t>
      </w:r>
      <w:r>
        <w:rPr>
          <w:rFonts w:eastAsia="Times New Roman" w:cs="Arial" w:ascii="Arial" w:hAnsi="Arial"/>
          <w:sz w:val="18"/>
          <w:szCs w:val="18"/>
          <w:lang w:val="en-GB" w:eastAsia="pt-PT"/>
        </w:rPr>
        <w:t>94.8</w:t>
      </w:r>
      <w:r>
        <w:rPr>
          <w:rFonts w:cs="Arial" w:ascii="Arial" w:hAnsi="Arial"/>
          <w:sz w:val="18"/>
          <w:szCs w:val="18"/>
          <w:lang w:val="en-GB"/>
        </w:rPr>
        <w:t xml:space="preserve">s ± </w:t>
      </w:r>
      <w:r>
        <w:rPr>
          <w:rFonts w:eastAsia="Times New Roman" w:cs="Arial" w:ascii="Arial" w:hAnsi="Arial"/>
          <w:sz w:val="18"/>
          <w:szCs w:val="18"/>
          <w:lang w:val="en-GB" w:eastAsia="pt-PT"/>
        </w:rPr>
        <w:t>39.41</w:t>
      </w:r>
      <w:r>
        <w:rPr>
          <w:rFonts w:cs="Arial" w:ascii="Arial" w:hAnsi="Arial"/>
          <w:sz w:val="18"/>
          <w:szCs w:val="18"/>
          <w:lang w:val="en-GB"/>
        </w:rPr>
        <w:t>SD; P</w:t>
      </w:r>
      <w:r>
        <w:rPr>
          <w:rFonts w:cs="Arial" w:ascii="Arial" w:hAnsi="Arial"/>
          <w:sz w:val="18"/>
          <w:szCs w:val="18"/>
          <w:vertAlign w:val="subscript"/>
          <w:lang w:val="en-GB"/>
        </w:rPr>
        <w:t>MW</w:t>
      </w:r>
      <w:r>
        <w:rPr>
          <w:rFonts w:cs="Arial" w:ascii="Arial" w:hAnsi="Arial"/>
          <w:sz w:val="18"/>
          <w:szCs w:val="18"/>
          <w:lang w:val="en-GB"/>
        </w:rPr>
        <w:t xml:space="preserve">&lt; </w:t>
      </w:r>
      <w:r>
        <w:rPr>
          <w:rFonts w:cs="Arial" w:ascii="Arial" w:hAnsi="Arial"/>
          <w:b/>
          <w:sz w:val="18"/>
          <w:szCs w:val="18"/>
          <w:lang w:val="en-GB"/>
        </w:rPr>
        <w:t>0.0001</w:t>
      </w:r>
      <w:r>
        <w:rPr>
          <w:rFonts w:cs="Arial" w:ascii="Arial" w:hAnsi="Arial"/>
          <w:sz w:val="18"/>
          <w:szCs w:val="18"/>
          <w:lang w:val="en-GB"/>
        </w:rPr>
        <w:t>) and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wt</w:t>
      </w:r>
      <w:r>
        <w:rPr>
          <w:rFonts w:cs="Arial" w:ascii="Arial" w:hAnsi="Arial"/>
          <w:sz w:val="18"/>
          <w:szCs w:val="18"/>
          <w:lang w:val="en-GB"/>
        </w:rPr>
        <w:t>: 36.86 ± 16.84SD,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b/>
          <w:i/>
          <w:sz w:val="18"/>
          <w:szCs w:val="18"/>
          <w:lang w:val="en-GB"/>
        </w:rPr>
        <w:t xml:space="preserve"> </w:t>
      </w:r>
      <w:r>
        <w:rPr>
          <w:rFonts w:cs="Arial" w:ascii="Arial" w:hAnsi="Arial"/>
          <w:i/>
          <w:sz w:val="18"/>
          <w:szCs w:val="18"/>
          <w:lang w:val="en-GB"/>
        </w:rPr>
        <w:t>imac</w:t>
      </w:r>
      <w:r>
        <w:rPr>
          <w:rFonts w:cs="Arial" w:ascii="Arial" w:hAnsi="Arial"/>
          <w:i/>
          <w:sz w:val="18"/>
          <w:szCs w:val="18"/>
          <w:vertAlign w:val="superscript"/>
          <w:lang w:val="en-GB"/>
        </w:rPr>
        <w:t>170/+</w:t>
      </w:r>
      <w:r>
        <w:rPr>
          <w:rFonts w:cs="Arial" w:ascii="Arial" w:hAnsi="Arial"/>
          <w:sz w:val="18"/>
          <w:szCs w:val="18"/>
          <w:lang w:val="en-GB"/>
        </w:rPr>
        <w:t xml:space="preserve">: </w:t>
      </w:r>
      <w:r>
        <w:rPr>
          <w:rFonts w:eastAsia="Times New Roman" w:cs="Arial" w:ascii="Arial" w:hAnsi="Arial"/>
          <w:sz w:val="18"/>
          <w:szCs w:val="18"/>
          <w:lang w:val="en-GB" w:eastAsia="pt-PT"/>
        </w:rPr>
        <w:t>125.5</w:t>
      </w:r>
      <w:r>
        <w:rPr>
          <w:rFonts w:cs="Arial" w:ascii="Arial" w:hAnsi="Arial"/>
          <w:sz w:val="18"/>
          <w:szCs w:val="18"/>
          <w:lang w:val="en-GB"/>
        </w:rPr>
        <w:t xml:space="preserve">s ± </w:t>
      </w:r>
      <w:r>
        <w:rPr>
          <w:rFonts w:eastAsia="Times New Roman" w:cs="Arial" w:ascii="Arial" w:hAnsi="Arial"/>
          <w:sz w:val="18"/>
          <w:szCs w:val="18"/>
          <w:lang w:val="en-GB" w:eastAsia="pt-PT"/>
        </w:rPr>
        <w:t>50.5</w:t>
      </w:r>
      <w:r>
        <w:rPr>
          <w:rFonts w:cs="Arial" w:ascii="Arial" w:hAnsi="Arial"/>
          <w:sz w:val="18"/>
          <w:szCs w:val="18"/>
          <w:lang w:val="en-GB"/>
        </w:rPr>
        <w:t>SD; P</w:t>
      </w:r>
      <w:r>
        <w:rPr>
          <w:rFonts w:cs="Arial" w:ascii="Arial" w:hAnsi="Arial"/>
          <w:sz w:val="18"/>
          <w:szCs w:val="18"/>
          <w:vertAlign w:val="subscript"/>
          <w:lang w:val="en-GB"/>
        </w:rPr>
        <w:t>MW</w:t>
      </w:r>
      <w:r>
        <w:rPr>
          <w:rFonts w:cs="Arial" w:ascii="Arial" w:hAnsi="Arial"/>
          <w:sz w:val="18"/>
          <w:szCs w:val="18"/>
          <w:lang w:val="en-GB"/>
        </w:rPr>
        <w:t xml:space="preserve"> &lt; </w:t>
      </w:r>
      <w:r>
        <w:rPr>
          <w:rFonts w:cs="Arial" w:ascii="Arial" w:hAnsi="Arial"/>
          <w:b/>
          <w:sz w:val="18"/>
          <w:szCs w:val="18"/>
          <w:lang w:val="en-GB"/>
        </w:rPr>
        <w:t>0.0001</w:t>
      </w:r>
      <w:r>
        <w:rPr>
          <w:rFonts w:cs="Arial" w:ascii="Arial" w:hAnsi="Arial"/>
          <w:sz w:val="18"/>
          <w:szCs w:val="18"/>
          <w:lang w:val="en-GB"/>
        </w:rPr>
        <w:t>). Each bars shows the mean T</w:t>
      </w:r>
      <w:r>
        <w:rPr>
          <w:rFonts w:cs="Arial" w:ascii="Arial" w:hAnsi="Arial"/>
          <w:sz w:val="18"/>
          <w:szCs w:val="18"/>
          <w:vertAlign w:val="subscript"/>
          <w:lang w:val="en-GB"/>
        </w:rPr>
        <w:t>Rec</w:t>
      </w:r>
      <w:r>
        <w:rPr>
          <w:rFonts w:cs="Arial" w:ascii="Arial" w:hAnsi="Arial"/>
          <w:sz w:val="18"/>
          <w:szCs w:val="18"/>
          <w:lang w:val="en-GB"/>
        </w:rPr>
        <w:t>, error bars indicate SD, **** p&lt;0.0001, * p&lt;0.05, ns = no significant.</w:t>
      </w:r>
    </w:p>
    <w:p>
      <w:pPr>
        <w:pStyle w:val="Normal"/>
        <w:spacing w:lineRule="auto" w:line="240" w:before="120" w:after="0"/>
        <w:jc w:val="both"/>
        <w:rPr>
          <w:rFonts w:ascii="Arial" w:hAnsi="Arial" w:cs="Arial"/>
          <w:sz w:val="18"/>
          <w:szCs w:val="18"/>
          <w:lang w:val="en-GB"/>
        </w:rPr>
      </w:pPr>
      <w:r>
        <w:rPr>
          <w:rFonts w:cs="Arial" w:ascii="Arial" w:hAnsi="Arial"/>
          <w:sz w:val="18"/>
          <w:szCs w:val="18"/>
          <w:lang w:val="en-GB"/>
        </w:rPr>
      </w:r>
    </w:p>
    <w:p>
      <w:pPr>
        <w:pStyle w:val="Normal"/>
        <w:jc w:val="both"/>
        <w:rPr>
          <w:rFonts w:ascii="Arial" w:hAnsi="Arial" w:cs="Arial"/>
          <w:b/>
          <w:b/>
          <w:sz w:val="18"/>
          <w:szCs w:val="18"/>
          <w:lang w:val="en-GB"/>
        </w:rPr>
      </w:pPr>
      <w:r>
        <w:rPr>
          <w:rFonts w:cs="Arial" w:ascii="Arial" w:hAnsi="Arial"/>
          <w:b/>
          <w:sz w:val="18"/>
          <w:szCs w:val="18"/>
          <w:lang w:val="en-GB"/>
        </w:rPr>
      </w:r>
    </w:p>
    <w:p>
      <w:pPr>
        <w:pStyle w:val="Normal"/>
        <w:jc w:val="both"/>
        <w:rPr>
          <w:rFonts w:ascii="Arial" w:hAnsi="Arial" w:cs="Arial"/>
          <w:b/>
          <w:b/>
          <w:sz w:val="18"/>
          <w:szCs w:val="18"/>
          <w:lang w:val="en-GB"/>
        </w:rPr>
      </w:pPr>
      <w:r>
        <w:rPr>
          <w:rFonts w:cs="Arial" w:ascii="Arial" w:hAnsi="Arial"/>
          <w:b/>
          <w:sz w:val="18"/>
          <w:szCs w:val="18"/>
          <w:lang w:val="en-GB"/>
        </w:rPr>
      </w:r>
    </w:p>
    <w:p>
      <w:pPr>
        <w:pStyle w:val="Normal"/>
        <w:jc w:val="both"/>
        <w:rPr>
          <w:rFonts w:ascii="Arial" w:hAnsi="Arial" w:cs="Arial"/>
          <w:b/>
          <w:b/>
          <w:sz w:val="18"/>
          <w:szCs w:val="18"/>
          <w:lang w:val="en-GB"/>
        </w:rPr>
      </w:pPr>
      <w:r>
        <w:rPr>
          <w:rFonts w:cs="Arial" w:ascii="Arial" w:hAnsi="Arial"/>
          <w:b/>
          <w:sz w:val="18"/>
          <w:szCs w:val="18"/>
          <w:lang w:val="en-GB"/>
        </w:rPr>
      </w:r>
    </w:p>
    <w:p>
      <w:pPr>
        <w:pStyle w:val="Normal"/>
        <w:jc w:val="both"/>
        <w:rPr>
          <w:rFonts w:ascii="Arial" w:hAnsi="Arial" w:cs="Arial"/>
          <w:b/>
          <w:b/>
          <w:sz w:val="18"/>
          <w:szCs w:val="18"/>
          <w:lang w:val="en-GB"/>
        </w:rPr>
      </w:pPr>
      <w:r>
        <w:rPr/>
        <w:drawing>
          <wp:inline distT="0" distB="5715" distL="0" distR="0">
            <wp:extent cx="5182235" cy="2566670"/>
            <wp:effectExtent l="0" t="0" r="0" b="0"/>
            <wp:docPr id="12" name="Imagem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32" descr=""/>
                    <pic:cNvPicPr>
                      <a:picLocks noChangeAspect="1" noChangeArrowheads="1"/>
                    </pic:cNvPicPr>
                  </pic:nvPicPr>
                  <pic:blipFill>
                    <a:blip r:embed="rId13"/>
                    <a:stretch>
                      <a:fillRect/>
                    </a:stretch>
                  </pic:blipFill>
                  <pic:spPr bwMode="auto">
                    <a:xfrm>
                      <a:off x="0" y="0"/>
                      <a:ext cx="5182235" cy="2566670"/>
                    </a:xfrm>
                    <a:prstGeom prst="rect">
                      <a:avLst/>
                    </a:prstGeom>
                  </pic:spPr>
                </pic:pic>
              </a:graphicData>
            </a:graphic>
          </wp:inline>
        </w:drawing>
      </w:r>
    </w:p>
    <w:p>
      <w:pPr>
        <w:pStyle w:val="Normal"/>
        <w:jc w:val="both"/>
        <w:rPr>
          <w:rFonts w:ascii="Arial" w:hAnsi="Arial" w:cs="Arial"/>
          <w:b/>
          <w:b/>
          <w:sz w:val="20"/>
          <w:szCs w:val="20"/>
          <w:lang w:val="en-GB"/>
        </w:rPr>
      </w:pPr>
      <w:r>
        <w:rPr>
          <w:rFonts w:cs="Arial" w:ascii="Arial" w:hAnsi="Arial"/>
          <w:b/>
          <w:sz w:val="18"/>
          <w:szCs w:val="18"/>
          <w:lang w:val="en-GB"/>
        </w:rPr>
        <w:t xml:space="preserve">Fig.10 Testing genetic interactions between genes encoding MT-regulators and genes encoding kinesins. </w:t>
      </w:r>
      <w:r>
        <w:rPr>
          <w:rFonts w:cs="Arial" w:ascii="Arial" w:hAnsi="Arial"/>
          <w:i/>
          <w:sz w:val="18"/>
          <w:szCs w:val="18"/>
          <w:lang w:val="en-GB"/>
        </w:rPr>
        <w:t>Khc</w:t>
      </w:r>
      <w:r>
        <w:rPr>
          <w:rFonts w:cs="Arial" w:ascii="Arial" w:hAnsi="Arial"/>
          <w:i/>
          <w:sz w:val="18"/>
          <w:szCs w:val="18"/>
          <w:vertAlign w:val="superscript"/>
          <w:lang w:val="en-GB"/>
        </w:rPr>
        <w:t>8</w:t>
      </w:r>
      <w:r>
        <w:rPr>
          <w:rFonts w:cs="Arial" w:ascii="Arial" w:hAnsi="Arial"/>
          <w:sz w:val="18"/>
          <w:szCs w:val="18"/>
          <w:lang w:val="en-GB"/>
        </w:rPr>
        <w:t xml:space="preserve">, </w:t>
      </w:r>
      <w:r>
        <w:rPr>
          <w:rFonts w:cs="Arial" w:ascii="Arial" w:hAnsi="Arial"/>
          <w:i/>
          <w:sz w:val="18"/>
          <w:szCs w:val="18"/>
          <w:lang w:val="en-GB"/>
        </w:rPr>
        <w:t>imac</w:t>
      </w:r>
      <w:r>
        <w:rPr>
          <w:rFonts w:cs="Arial" w:ascii="Arial" w:hAnsi="Arial"/>
          <w:i/>
          <w:sz w:val="18"/>
          <w:szCs w:val="18"/>
          <w:vertAlign w:val="superscript"/>
          <w:lang w:val="en-GB"/>
        </w:rPr>
        <w:t>170</w:t>
      </w:r>
      <w:r>
        <w:rPr>
          <w:rFonts w:cs="Arial" w:ascii="Arial" w:hAnsi="Arial"/>
          <w:sz w:val="18"/>
          <w:szCs w:val="18"/>
          <w:lang w:val="en-GB"/>
        </w:rPr>
        <w:t xml:space="preserve"> and </w:t>
      </w:r>
      <w:r>
        <w:rPr>
          <w:rFonts w:cs="Arial" w:ascii="Arial" w:hAnsi="Arial"/>
          <w:i/>
          <w:sz w:val="18"/>
          <w:szCs w:val="18"/>
          <w:lang w:val="en-GB"/>
        </w:rPr>
        <w:t>msps</w:t>
      </w:r>
      <w:r>
        <w:rPr>
          <w:rFonts w:cs="Arial" w:ascii="Arial" w:hAnsi="Arial"/>
          <w:i/>
          <w:sz w:val="18"/>
          <w:szCs w:val="18"/>
          <w:vertAlign w:val="superscript"/>
          <w:lang w:val="en-GB"/>
        </w:rPr>
        <w:t>1/+</w:t>
      </w:r>
      <w:r>
        <w:rPr>
          <w:rFonts w:cs="Arial" w:ascii="Arial" w:hAnsi="Arial"/>
          <w:sz w:val="18"/>
          <w:szCs w:val="18"/>
          <w:lang w:val="en-GB"/>
        </w:rPr>
        <w:t>, tau</w:t>
      </w:r>
      <w:r>
        <w:rPr>
          <w:rFonts w:cs="Arial" w:ascii="Arial" w:hAnsi="Arial"/>
          <w:sz w:val="18"/>
          <w:szCs w:val="18"/>
          <w:vertAlign w:val="superscript"/>
          <w:lang w:val="en-GB"/>
        </w:rPr>
        <w:t>ko/+</w:t>
      </w:r>
      <w:r>
        <w:rPr>
          <w:rFonts w:cs="Arial" w:ascii="Arial" w:hAnsi="Arial"/>
          <w:sz w:val="18"/>
          <w:szCs w:val="18"/>
          <w:lang w:val="en-GB"/>
        </w:rPr>
        <w:t xml:space="preserve"> are the control genotypes showing seizure-like phenotypes (Fig.9).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 xml:space="preserve"> Khc</w:t>
      </w:r>
      <w:r>
        <w:rPr>
          <w:rFonts w:cs="Arial" w:ascii="Arial" w:hAnsi="Arial"/>
          <w:i/>
          <w:sz w:val="18"/>
          <w:szCs w:val="18"/>
          <w:vertAlign w:val="superscript"/>
          <w:lang w:val="en-GB"/>
        </w:rPr>
        <w:t>8/+</w:t>
      </w:r>
      <w:r>
        <w:rPr>
          <w:rFonts w:cs="Arial" w:ascii="Arial" w:hAnsi="Arial"/>
          <w:sz w:val="18"/>
          <w:szCs w:val="18"/>
          <w:lang w:val="en-GB"/>
        </w:rPr>
        <w:t xml:space="preserve">: </w:t>
      </w:r>
      <w:r>
        <w:rPr>
          <w:rFonts w:eastAsia="Times New Roman" w:cs="Arial" w:ascii="Arial" w:hAnsi="Arial"/>
          <w:sz w:val="18"/>
          <w:szCs w:val="18"/>
          <w:lang w:val="en-GB" w:eastAsia="pt-PT"/>
        </w:rPr>
        <w:t>94.8</w:t>
      </w:r>
      <w:r>
        <w:rPr>
          <w:rFonts w:cs="Arial" w:ascii="Arial" w:hAnsi="Arial"/>
          <w:sz w:val="18"/>
          <w:szCs w:val="18"/>
          <w:lang w:val="en-GB"/>
        </w:rPr>
        <w:t xml:space="preserve">s ± </w:t>
      </w:r>
      <w:r>
        <w:rPr>
          <w:rFonts w:eastAsia="Times New Roman" w:cs="Arial" w:ascii="Arial" w:hAnsi="Arial"/>
          <w:sz w:val="18"/>
          <w:szCs w:val="18"/>
          <w:lang w:val="en-GB" w:eastAsia="pt-PT"/>
        </w:rPr>
        <w:t>39.41</w:t>
      </w:r>
      <w:r>
        <w:rPr>
          <w:rFonts w:cs="Arial" w:ascii="Arial" w:hAnsi="Arial"/>
          <w:sz w:val="18"/>
          <w:szCs w:val="18"/>
          <w:lang w:val="en-GB"/>
        </w:rPr>
        <w:t>SD,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b/>
          <w:sz w:val="18"/>
          <w:szCs w:val="18"/>
          <w:lang w:val="en-GB"/>
        </w:rPr>
        <w:t xml:space="preserve"> </w:t>
      </w:r>
      <w:r>
        <w:rPr>
          <w:rFonts w:cs="Arial" w:ascii="Arial" w:hAnsi="Arial"/>
          <w:i/>
          <w:sz w:val="18"/>
          <w:szCs w:val="18"/>
          <w:lang w:val="en-GB"/>
        </w:rPr>
        <w:t>msps1/+, tauko/+</w:t>
      </w:r>
      <w:r>
        <w:rPr>
          <w:rFonts w:cs="Arial" w:ascii="Arial" w:hAnsi="Arial"/>
          <w:sz w:val="18"/>
          <w:szCs w:val="18"/>
          <w:lang w:val="en-GB"/>
        </w:rPr>
        <w:t xml:space="preserve"> : </w:t>
      </w:r>
      <w:r>
        <w:rPr>
          <w:rFonts w:eastAsia="Times New Roman" w:cs="Arial" w:ascii="Arial" w:hAnsi="Arial"/>
          <w:sz w:val="18"/>
          <w:szCs w:val="18"/>
          <w:lang w:val="en-GB" w:eastAsia="pt-PT"/>
        </w:rPr>
        <w:t>88.93</w:t>
      </w:r>
      <w:r>
        <w:rPr>
          <w:rFonts w:cs="Arial" w:ascii="Arial" w:hAnsi="Arial"/>
          <w:sz w:val="18"/>
          <w:szCs w:val="18"/>
          <w:lang w:val="en-GB"/>
        </w:rPr>
        <w:t xml:space="preserve">s ± </w:t>
      </w:r>
      <w:r>
        <w:rPr>
          <w:rFonts w:eastAsia="Times New Roman" w:cs="Arial" w:ascii="Arial" w:hAnsi="Arial"/>
          <w:sz w:val="18"/>
          <w:szCs w:val="18"/>
          <w:lang w:val="en-GB" w:eastAsia="pt-PT"/>
        </w:rPr>
        <w:t>37.78</w:t>
      </w:r>
      <w:r>
        <w:rPr>
          <w:rFonts w:cs="Arial" w:ascii="Arial" w:hAnsi="Arial"/>
          <w:sz w:val="18"/>
          <w:szCs w:val="18"/>
          <w:lang w:val="en-GB"/>
        </w:rPr>
        <w:t>SD; P</w:t>
      </w:r>
      <w:r>
        <w:rPr>
          <w:rFonts w:cs="Arial" w:ascii="Arial" w:hAnsi="Arial"/>
          <w:sz w:val="18"/>
          <w:szCs w:val="18"/>
          <w:vertAlign w:val="subscript"/>
          <w:lang w:val="en-GB"/>
        </w:rPr>
        <w:t xml:space="preserve"> MW </w:t>
      </w:r>
      <w:r>
        <w:rPr>
          <w:rFonts w:cs="Arial" w:ascii="Arial" w:hAnsi="Arial"/>
          <w:sz w:val="18"/>
          <w:szCs w:val="18"/>
          <w:lang w:val="en-GB"/>
        </w:rPr>
        <w:t xml:space="preserve">= </w:t>
      </w:r>
      <w:r>
        <w:rPr>
          <w:rFonts w:cs="Arial" w:ascii="Arial" w:hAnsi="Arial"/>
          <w:b/>
          <w:sz w:val="18"/>
          <w:szCs w:val="18"/>
          <w:lang w:val="en-GB"/>
        </w:rPr>
        <w:t>0.52</w:t>
      </w:r>
      <w:r>
        <w:rPr>
          <w:rFonts w:cs="Arial" w:ascii="Arial" w:hAnsi="Arial"/>
          <w:sz w:val="18"/>
          <w:szCs w:val="18"/>
          <w:lang w:val="en-GB"/>
        </w:rPr>
        <w:t>),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imac</w:t>
      </w:r>
      <w:r>
        <w:rPr>
          <w:rFonts w:cs="Arial" w:ascii="Arial" w:hAnsi="Arial"/>
          <w:i/>
          <w:sz w:val="18"/>
          <w:szCs w:val="18"/>
          <w:vertAlign w:val="superscript"/>
          <w:lang w:val="en-GB"/>
        </w:rPr>
        <w:t>170/+</w:t>
      </w:r>
      <w:r>
        <w:rPr>
          <w:rFonts w:cs="Arial" w:ascii="Arial" w:hAnsi="Arial"/>
          <w:sz w:val="18"/>
          <w:szCs w:val="18"/>
          <w:lang w:val="en-GB"/>
        </w:rPr>
        <w:t>:</w:t>
      </w:r>
      <w:r>
        <w:rPr>
          <w:rFonts w:eastAsia="Times New Roman" w:cs="Arial" w:ascii="Arial" w:hAnsi="Arial"/>
          <w:sz w:val="18"/>
          <w:szCs w:val="18"/>
          <w:lang w:val="en-GB" w:eastAsia="pt-PT"/>
        </w:rPr>
        <w:t>125.5</w:t>
      </w:r>
      <w:r>
        <w:rPr>
          <w:rFonts w:cs="Arial" w:ascii="Arial" w:hAnsi="Arial"/>
          <w:sz w:val="18"/>
          <w:szCs w:val="18"/>
          <w:lang w:val="en-GB"/>
        </w:rPr>
        <w:t xml:space="preserve">s ± </w:t>
      </w:r>
      <w:r>
        <w:rPr>
          <w:rFonts w:eastAsia="Times New Roman" w:cs="Arial" w:ascii="Arial" w:hAnsi="Arial"/>
          <w:sz w:val="18"/>
          <w:szCs w:val="18"/>
          <w:lang w:val="en-GB" w:eastAsia="pt-PT"/>
        </w:rPr>
        <w:t>50.5</w:t>
      </w:r>
      <w:r>
        <w:rPr>
          <w:rFonts w:cs="Arial" w:ascii="Arial" w:hAnsi="Arial"/>
          <w:sz w:val="18"/>
          <w:szCs w:val="18"/>
          <w:lang w:val="en-GB"/>
        </w:rPr>
        <w:t>SD,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b/>
          <w:sz w:val="18"/>
          <w:szCs w:val="18"/>
          <w:lang w:val="en-GB"/>
        </w:rPr>
        <w:t xml:space="preserve"> </w:t>
      </w:r>
      <w:r>
        <w:rPr>
          <w:rFonts w:cs="Arial" w:ascii="Arial" w:hAnsi="Arial"/>
          <w:i/>
          <w:sz w:val="18"/>
          <w:szCs w:val="18"/>
          <w:lang w:val="en-GB"/>
        </w:rPr>
        <w:t>msps1/+, tauko/+</w:t>
      </w:r>
      <w:r>
        <w:rPr>
          <w:rFonts w:cs="Arial" w:ascii="Arial" w:hAnsi="Arial"/>
          <w:sz w:val="18"/>
          <w:szCs w:val="18"/>
          <w:lang w:val="en-GB"/>
        </w:rPr>
        <w:t xml:space="preserve"> : </w:t>
      </w:r>
      <w:r>
        <w:rPr>
          <w:rFonts w:eastAsia="Times New Roman" w:cs="Arial" w:ascii="Arial" w:hAnsi="Arial"/>
          <w:sz w:val="18"/>
          <w:szCs w:val="18"/>
          <w:lang w:val="en-GB" w:eastAsia="pt-PT"/>
        </w:rPr>
        <w:t>88.93</w:t>
      </w:r>
      <w:r>
        <w:rPr>
          <w:rFonts w:cs="Arial" w:ascii="Arial" w:hAnsi="Arial"/>
          <w:sz w:val="18"/>
          <w:szCs w:val="18"/>
          <w:lang w:val="en-GB"/>
        </w:rPr>
        <w:t xml:space="preserve">s ± </w:t>
      </w:r>
      <w:r>
        <w:rPr>
          <w:rFonts w:eastAsia="Times New Roman" w:cs="Arial" w:ascii="Arial" w:hAnsi="Arial"/>
          <w:sz w:val="18"/>
          <w:szCs w:val="18"/>
          <w:lang w:val="en-GB" w:eastAsia="pt-PT"/>
        </w:rPr>
        <w:t>37.78</w:t>
      </w:r>
      <w:r>
        <w:rPr>
          <w:rFonts w:cs="Arial" w:ascii="Arial" w:hAnsi="Arial"/>
          <w:sz w:val="18"/>
          <w:szCs w:val="18"/>
          <w:lang w:val="en-GB"/>
        </w:rPr>
        <w:t>SD; P</w:t>
      </w:r>
      <w:r>
        <w:rPr>
          <w:rFonts w:cs="Arial" w:ascii="Arial" w:hAnsi="Arial"/>
          <w:sz w:val="18"/>
          <w:szCs w:val="18"/>
          <w:vertAlign w:val="subscript"/>
          <w:lang w:val="en-GB"/>
        </w:rPr>
        <w:t xml:space="preserve"> MW </w:t>
      </w:r>
      <w:r>
        <w:rPr>
          <w:rFonts w:cs="Arial" w:ascii="Arial" w:hAnsi="Arial"/>
          <w:sz w:val="18"/>
          <w:szCs w:val="18"/>
          <w:lang w:val="en-GB"/>
        </w:rPr>
        <w:t xml:space="preserve">= </w:t>
      </w:r>
      <w:r>
        <w:rPr>
          <w:rFonts w:cs="Arial" w:ascii="Arial" w:hAnsi="Arial"/>
          <w:b/>
          <w:sz w:val="18"/>
          <w:szCs w:val="18"/>
          <w:lang w:val="en-GB"/>
        </w:rPr>
        <w:t>0.0029</w:t>
      </w:r>
      <w:r>
        <w:rPr>
          <w:rFonts w:cs="Arial" w:ascii="Arial" w:hAnsi="Arial"/>
          <w:sz w:val="18"/>
          <w:szCs w:val="18"/>
          <w:lang w:val="en-GB"/>
        </w:rPr>
        <w:t>),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imac</w:t>
      </w:r>
      <w:r>
        <w:rPr>
          <w:rFonts w:cs="Arial" w:ascii="Arial" w:hAnsi="Arial"/>
          <w:i/>
          <w:sz w:val="18"/>
          <w:szCs w:val="18"/>
          <w:vertAlign w:val="superscript"/>
          <w:lang w:val="en-GB"/>
        </w:rPr>
        <w:t>170/+</w:t>
      </w:r>
      <w:r>
        <w:rPr>
          <w:rFonts w:cs="Arial" w:ascii="Arial" w:hAnsi="Arial"/>
          <w:sz w:val="18"/>
          <w:szCs w:val="18"/>
          <w:lang w:val="en-GB"/>
        </w:rPr>
        <w:t>:</w:t>
      </w:r>
      <w:r>
        <w:rPr>
          <w:rFonts w:eastAsia="Times New Roman" w:cs="Arial" w:ascii="Arial" w:hAnsi="Arial"/>
          <w:sz w:val="18"/>
          <w:szCs w:val="18"/>
          <w:lang w:val="en-GB" w:eastAsia="pt-PT"/>
        </w:rPr>
        <w:t>125.5</w:t>
      </w:r>
      <w:r>
        <w:rPr>
          <w:rFonts w:cs="Arial" w:ascii="Arial" w:hAnsi="Arial"/>
          <w:sz w:val="18"/>
          <w:szCs w:val="18"/>
          <w:lang w:val="en-GB"/>
        </w:rPr>
        <w:t xml:space="preserve">s ± </w:t>
      </w:r>
      <w:r>
        <w:rPr>
          <w:rFonts w:eastAsia="Times New Roman" w:cs="Arial" w:ascii="Arial" w:hAnsi="Arial"/>
          <w:sz w:val="18"/>
          <w:szCs w:val="18"/>
          <w:lang w:val="en-GB" w:eastAsia="pt-PT"/>
        </w:rPr>
        <w:t>50.5</w:t>
      </w:r>
      <w:r>
        <w:rPr>
          <w:rFonts w:cs="Arial" w:ascii="Arial" w:hAnsi="Arial"/>
          <w:sz w:val="18"/>
          <w:szCs w:val="18"/>
          <w:lang w:val="en-GB"/>
        </w:rPr>
        <w:t>SD, T</w:t>
      </w:r>
      <w:r>
        <w:rPr>
          <w:rFonts w:cs="Arial" w:ascii="Arial" w:hAnsi="Arial"/>
          <w:sz w:val="18"/>
          <w:szCs w:val="18"/>
          <w:vertAlign w:val="subscript"/>
          <w:lang w:val="en-GB"/>
        </w:rPr>
        <w:t>Rec</w:t>
      </w:r>
      <w:r>
        <w:rPr>
          <w:rFonts w:cs="Arial" w:ascii="Arial" w:hAnsi="Arial"/>
          <w:sz w:val="18"/>
          <w:szCs w:val="18"/>
          <w:lang w:val="en-GB"/>
        </w:rPr>
        <w:t>-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triples</w:t>
      </w:r>
      <w:r>
        <w:rPr>
          <w:rFonts w:cs="Arial" w:ascii="Arial" w:hAnsi="Arial"/>
          <w:sz w:val="18"/>
          <w:szCs w:val="18"/>
          <w:vertAlign w:val="superscript"/>
          <w:lang w:val="en-GB"/>
        </w:rPr>
        <w:t>-</w:t>
      </w:r>
      <w:r>
        <w:rPr>
          <w:rFonts w:cs="Arial" w:ascii="Arial" w:hAnsi="Arial"/>
          <w:sz w:val="18"/>
          <w:szCs w:val="18"/>
          <w:lang w:val="en-GB"/>
        </w:rPr>
        <w:t>:127.3s ± 53.25SD; P</w:t>
      </w:r>
      <w:r>
        <w:rPr>
          <w:rFonts w:cs="Arial" w:ascii="Arial" w:hAnsi="Arial"/>
          <w:sz w:val="18"/>
          <w:szCs w:val="18"/>
          <w:vertAlign w:val="subscript"/>
          <w:lang w:val="en-GB"/>
        </w:rPr>
        <w:t xml:space="preserve"> MW </w:t>
      </w:r>
      <w:r>
        <w:rPr>
          <w:rFonts w:cs="Arial" w:ascii="Arial" w:hAnsi="Arial"/>
          <w:sz w:val="18"/>
          <w:szCs w:val="18"/>
          <w:lang w:val="en-GB"/>
        </w:rPr>
        <w:t xml:space="preserve">= </w:t>
      </w:r>
      <w:r>
        <w:rPr>
          <w:rFonts w:cs="Arial" w:ascii="Arial" w:hAnsi="Arial"/>
          <w:b/>
          <w:sz w:val="18"/>
          <w:szCs w:val="18"/>
          <w:lang w:val="en-GB"/>
        </w:rPr>
        <w:t>0.9390</w:t>
      </w:r>
      <w:r>
        <w:rPr>
          <w:rFonts w:cs="Arial" w:ascii="Arial" w:hAnsi="Arial"/>
          <w:sz w:val="18"/>
          <w:szCs w:val="18"/>
          <w:lang w:val="en-GB"/>
        </w:rPr>
        <w:t xml:space="preserve">). </w:t>
      </w:r>
      <w:r>
        <w:rPr>
          <w:rFonts w:cs="Arial" w:ascii="Arial" w:hAnsi="Arial"/>
          <w:b/>
          <w:sz w:val="18"/>
          <w:szCs w:val="18"/>
          <w:lang w:val="en-GB"/>
        </w:rPr>
        <w:t>No Genetic interactions</w:t>
      </w:r>
      <w:r>
        <w:rPr>
          <w:rFonts w:cs="Arial" w:ascii="Arial" w:hAnsi="Arial"/>
          <w:sz w:val="18"/>
          <w:szCs w:val="18"/>
          <w:lang w:val="en-GB"/>
        </w:rPr>
        <w:t xml:space="preserve"> </w:t>
      </w:r>
      <w:r>
        <w:rPr>
          <w:rFonts w:cs="Arial" w:ascii="Arial" w:hAnsi="Arial"/>
          <w:b/>
          <w:bCs/>
          <w:sz w:val="18"/>
          <w:szCs w:val="18"/>
          <w:lang w:val="en-GB"/>
        </w:rPr>
        <w:t xml:space="preserve">between </w:t>
      </w:r>
      <w:r>
        <w:rPr>
          <w:rFonts w:cs="Arial" w:ascii="Arial" w:hAnsi="Arial"/>
          <w:b/>
          <w:bCs/>
          <w:i/>
          <w:iCs/>
          <w:sz w:val="18"/>
          <w:szCs w:val="18"/>
          <w:lang w:val="en-GB"/>
        </w:rPr>
        <w:t>khc</w:t>
      </w:r>
      <w:r>
        <w:rPr>
          <w:rFonts w:cs="Arial" w:ascii="Arial" w:hAnsi="Arial"/>
          <w:b/>
          <w:bCs/>
          <w:i/>
          <w:iCs/>
          <w:sz w:val="18"/>
          <w:szCs w:val="18"/>
          <w:vertAlign w:val="superscript"/>
          <w:lang w:val="en-GB"/>
        </w:rPr>
        <w:t>8/+</w:t>
      </w:r>
      <w:r>
        <w:rPr>
          <w:rFonts w:cs="Arial" w:ascii="Arial" w:hAnsi="Arial"/>
          <w:b/>
          <w:bCs/>
          <w:i/>
          <w:iCs/>
          <w:sz w:val="18"/>
          <w:szCs w:val="18"/>
          <w:lang w:val="en-GB"/>
        </w:rPr>
        <w:t>/CTG</w:t>
      </w:r>
      <w:r>
        <w:rPr>
          <w:rFonts w:cs="Arial" w:ascii="Arial" w:hAnsi="Arial"/>
          <w:b/>
          <w:bCs/>
          <w:sz w:val="18"/>
          <w:szCs w:val="18"/>
          <w:vertAlign w:val="superscript"/>
          <w:lang w:val="en-GB"/>
        </w:rPr>
        <w:t xml:space="preserve"> </w:t>
      </w:r>
      <w:r>
        <w:rPr>
          <w:rFonts w:cs="Arial" w:ascii="Arial" w:hAnsi="Arial"/>
          <w:b/>
          <w:bCs/>
          <w:sz w:val="18"/>
          <w:szCs w:val="18"/>
          <w:lang w:val="en-GB"/>
        </w:rPr>
        <w:t xml:space="preserve">and </w:t>
      </w:r>
      <w:r>
        <w:rPr>
          <w:rFonts w:cs="Arial" w:ascii="Arial" w:hAnsi="Arial"/>
          <w:b/>
          <w:bCs/>
          <w:i/>
          <w:iCs/>
          <w:sz w:val="18"/>
          <w:szCs w:val="18"/>
          <w:lang w:val="en-GB"/>
        </w:rPr>
        <w:t>msps</w:t>
      </w:r>
      <w:r>
        <w:rPr>
          <w:rFonts w:cs="Arial" w:ascii="Arial" w:hAnsi="Arial"/>
          <w:b/>
          <w:bCs/>
          <w:i/>
          <w:iCs/>
          <w:sz w:val="18"/>
          <w:szCs w:val="18"/>
          <w:vertAlign w:val="superscript"/>
          <w:lang w:val="en-GB"/>
        </w:rPr>
        <w:t>-</w:t>
      </w:r>
      <w:r>
        <w:rPr>
          <w:rFonts w:cs="Arial" w:ascii="Arial" w:hAnsi="Arial"/>
          <w:b/>
          <w:bCs/>
          <w:i/>
          <w:iCs/>
          <w:sz w:val="18"/>
          <w:szCs w:val="18"/>
          <w:lang w:val="en-GB"/>
        </w:rPr>
        <w:t>, tau</w:t>
      </w:r>
      <w:r>
        <w:rPr>
          <w:rFonts w:cs="Arial" w:ascii="Arial" w:hAnsi="Arial"/>
          <w:b/>
          <w:bCs/>
          <w:i/>
          <w:iCs/>
          <w:sz w:val="18"/>
          <w:szCs w:val="18"/>
          <w:vertAlign w:val="superscript"/>
          <w:lang w:val="en-GB"/>
        </w:rPr>
        <w:t>ko</w:t>
      </w:r>
      <w:r>
        <w:rPr>
          <w:rFonts w:cs="Arial" w:ascii="Arial" w:hAnsi="Arial"/>
          <w:b/>
          <w:bCs/>
          <w:i/>
          <w:iCs/>
          <w:sz w:val="18"/>
          <w:szCs w:val="18"/>
          <w:lang w:val="en-GB"/>
        </w:rPr>
        <w:t>/TTG (a)</w:t>
      </w:r>
      <w:r>
        <w:rPr>
          <w:rFonts w:cs="Arial" w:ascii="Arial" w:hAnsi="Arial"/>
          <w:sz w:val="18"/>
          <w:szCs w:val="18"/>
          <w:lang w:val="en-GB"/>
        </w:rPr>
        <w:t>: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 xml:space="preserve"> msps1/+, tauko/+</w:t>
      </w:r>
      <w:r>
        <w:rPr>
          <w:rFonts w:cs="Arial" w:ascii="Arial" w:hAnsi="Arial"/>
          <w:sz w:val="18"/>
          <w:szCs w:val="18"/>
          <w:lang w:val="en-GB"/>
        </w:rPr>
        <w:t xml:space="preserve"> </w:t>
      </w:r>
      <w:r>
        <w:rPr>
          <w:rFonts w:cs="Arial" w:ascii="Arial" w:hAnsi="Arial"/>
          <w:i/>
          <w:sz w:val="18"/>
          <w:szCs w:val="18"/>
          <w:lang w:val="en-GB"/>
        </w:rPr>
        <w:t>Khc</w:t>
      </w:r>
      <w:r>
        <w:rPr>
          <w:rFonts w:cs="Arial" w:ascii="Arial" w:hAnsi="Arial"/>
          <w:i/>
          <w:sz w:val="18"/>
          <w:szCs w:val="18"/>
          <w:vertAlign w:val="superscript"/>
          <w:lang w:val="en-GB"/>
        </w:rPr>
        <w:t>8/+</w:t>
      </w:r>
      <w:r>
        <w:rPr>
          <w:rFonts w:cs="Arial" w:ascii="Arial" w:hAnsi="Arial"/>
          <w:sz w:val="18"/>
          <w:szCs w:val="18"/>
          <w:lang w:val="en-GB"/>
        </w:rPr>
        <w:t>: 94.27s ± 28.99SD,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wt</w:t>
      </w:r>
      <w:r>
        <w:rPr>
          <w:rFonts w:cs="Arial" w:ascii="Arial" w:hAnsi="Arial"/>
          <w:sz w:val="18"/>
          <w:szCs w:val="18"/>
          <w:lang w:val="en-GB"/>
        </w:rPr>
        <w:t>: 36.86 ± 16.84SD; P</w:t>
      </w:r>
      <w:r>
        <w:rPr>
          <w:rFonts w:cs="Arial" w:ascii="Arial" w:hAnsi="Arial"/>
          <w:sz w:val="18"/>
          <w:szCs w:val="18"/>
          <w:vertAlign w:val="subscript"/>
          <w:lang w:val="en-GB"/>
        </w:rPr>
        <w:t xml:space="preserve"> MW </w:t>
      </w:r>
      <w:r>
        <w:rPr>
          <w:rFonts w:cs="Arial" w:ascii="Arial" w:hAnsi="Arial"/>
          <w:sz w:val="18"/>
          <w:szCs w:val="18"/>
          <w:lang w:val="en-GB"/>
        </w:rPr>
        <w:t>&lt;0.0001),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 xml:space="preserve"> msps1/+, tauko/+</w:t>
      </w:r>
      <w:r>
        <w:rPr>
          <w:rFonts w:cs="Arial" w:ascii="Arial" w:hAnsi="Arial"/>
          <w:sz w:val="18"/>
          <w:szCs w:val="18"/>
          <w:lang w:val="en-GB"/>
        </w:rPr>
        <w:t xml:space="preserve"> </w:t>
      </w:r>
      <w:r>
        <w:rPr>
          <w:rFonts w:cs="Arial" w:ascii="Arial" w:hAnsi="Arial"/>
          <w:i/>
          <w:sz w:val="18"/>
          <w:szCs w:val="18"/>
          <w:lang w:val="en-GB"/>
        </w:rPr>
        <w:t>Khc</w:t>
      </w:r>
      <w:r>
        <w:rPr>
          <w:rFonts w:cs="Arial" w:ascii="Arial" w:hAnsi="Arial"/>
          <w:i/>
          <w:sz w:val="18"/>
          <w:szCs w:val="18"/>
          <w:vertAlign w:val="superscript"/>
          <w:lang w:val="en-GB"/>
        </w:rPr>
        <w:t>8/+</w:t>
      </w:r>
      <w:r>
        <w:rPr>
          <w:rFonts w:cs="Arial" w:ascii="Arial" w:hAnsi="Arial"/>
          <w:sz w:val="18"/>
          <w:szCs w:val="18"/>
          <w:lang w:val="en-GB"/>
        </w:rPr>
        <w:t>: 94.27s ± 28.99SD,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 xml:space="preserve"> Khc</w:t>
      </w:r>
      <w:r>
        <w:rPr>
          <w:rFonts w:cs="Arial" w:ascii="Arial" w:hAnsi="Arial"/>
          <w:i/>
          <w:sz w:val="18"/>
          <w:szCs w:val="18"/>
          <w:vertAlign w:val="superscript"/>
          <w:lang w:val="en-GB"/>
        </w:rPr>
        <w:t>8/+</w:t>
      </w:r>
      <w:r>
        <w:rPr>
          <w:rFonts w:cs="Arial" w:ascii="Arial" w:hAnsi="Arial"/>
          <w:sz w:val="18"/>
          <w:szCs w:val="18"/>
          <w:lang w:val="en-GB"/>
        </w:rPr>
        <w:t xml:space="preserve">: </w:t>
      </w:r>
      <w:r>
        <w:rPr>
          <w:rFonts w:eastAsia="Times New Roman" w:cs="Arial" w:ascii="Arial" w:hAnsi="Arial"/>
          <w:sz w:val="18"/>
          <w:szCs w:val="18"/>
          <w:lang w:val="en-GB" w:eastAsia="pt-PT"/>
        </w:rPr>
        <w:t>94.8</w:t>
      </w:r>
      <w:r>
        <w:rPr>
          <w:rFonts w:cs="Arial" w:ascii="Arial" w:hAnsi="Arial"/>
          <w:sz w:val="18"/>
          <w:szCs w:val="18"/>
          <w:lang w:val="en-GB"/>
        </w:rPr>
        <w:t xml:space="preserve">s ± </w:t>
      </w:r>
      <w:r>
        <w:rPr>
          <w:rFonts w:eastAsia="Times New Roman" w:cs="Arial" w:ascii="Arial" w:hAnsi="Arial"/>
          <w:sz w:val="18"/>
          <w:szCs w:val="18"/>
          <w:lang w:val="en-GB" w:eastAsia="pt-PT"/>
        </w:rPr>
        <w:t>39.41</w:t>
      </w:r>
      <w:r>
        <w:rPr>
          <w:rFonts w:cs="Arial" w:ascii="Arial" w:hAnsi="Arial"/>
          <w:sz w:val="18"/>
          <w:szCs w:val="18"/>
          <w:lang w:val="en-GB"/>
        </w:rPr>
        <w:t>SD; P</w:t>
      </w:r>
      <w:r>
        <w:rPr>
          <w:rFonts w:cs="Arial" w:ascii="Arial" w:hAnsi="Arial"/>
          <w:sz w:val="18"/>
          <w:szCs w:val="18"/>
          <w:vertAlign w:val="subscript"/>
          <w:lang w:val="en-GB"/>
        </w:rPr>
        <w:t>MW</w:t>
      </w:r>
      <w:r>
        <w:rPr>
          <w:rFonts w:cs="Arial" w:ascii="Arial" w:hAnsi="Arial"/>
          <w:b/>
          <w:sz w:val="18"/>
          <w:szCs w:val="18"/>
          <w:lang w:val="en-GB"/>
        </w:rPr>
        <w:t xml:space="preserve"> =0.8001</w:t>
      </w:r>
      <w:r>
        <w:rPr>
          <w:rFonts w:cs="Arial" w:ascii="Arial" w:hAnsi="Arial"/>
          <w:sz w:val="18"/>
          <w:szCs w:val="18"/>
          <w:lang w:val="en-GB"/>
        </w:rPr>
        <w:t>),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 xml:space="preserve"> msps1/+, tauko/+</w:t>
      </w:r>
      <w:r>
        <w:rPr>
          <w:rFonts w:cs="Arial" w:ascii="Arial" w:hAnsi="Arial"/>
          <w:sz w:val="18"/>
          <w:szCs w:val="18"/>
          <w:lang w:val="en-GB"/>
        </w:rPr>
        <w:t xml:space="preserve"> </w:t>
      </w:r>
      <w:r>
        <w:rPr>
          <w:rFonts w:cs="Arial" w:ascii="Arial" w:hAnsi="Arial"/>
          <w:i/>
          <w:sz w:val="18"/>
          <w:szCs w:val="18"/>
          <w:lang w:val="en-GB"/>
        </w:rPr>
        <w:t>Khc</w:t>
      </w:r>
      <w:r>
        <w:rPr>
          <w:rFonts w:cs="Arial" w:ascii="Arial" w:hAnsi="Arial"/>
          <w:i/>
          <w:sz w:val="18"/>
          <w:szCs w:val="18"/>
          <w:vertAlign w:val="superscript"/>
          <w:lang w:val="en-GB"/>
        </w:rPr>
        <w:t>8/+</w:t>
      </w:r>
      <w:r>
        <w:rPr>
          <w:rFonts w:cs="Arial" w:ascii="Arial" w:hAnsi="Arial"/>
          <w:sz w:val="18"/>
          <w:szCs w:val="18"/>
          <w:lang w:val="en-GB"/>
        </w:rPr>
        <w:t>: 94.27s ± 28.99SD,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 xml:space="preserve"> imac</w:t>
      </w:r>
      <w:r>
        <w:rPr>
          <w:rFonts w:cs="Arial" w:ascii="Arial" w:hAnsi="Arial"/>
          <w:i/>
          <w:sz w:val="18"/>
          <w:szCs w:val="18"/>
          <w:vertAlign w:val="superscript"/>
          <w:lang w:val="en-GB"/>
        </w:rPr>
        <w:t>170/+</w:t>
      </w:r>
      <w:r>
        <w:rPr>
          <w:rFonts w:cs="Arial" w:ascii="Arial" w:hAnsi="Arial"/>
          <w:sz w:val="18"/>
          <w:szCs w:val="18"/>
          <w:lang w:val="en-GB"/>
        </w:rPr>
        <w:t>:</w:t>
      </w:r>
      <w:r>
        <w:rPr>
          <w:rFonts w:eastAsia="Times New Roman" w:cs="Arial" w:ascii="Arial" w:hAnsi="Arial"/>
          <w:sz w:val="18"/>
          <w:szCs w:val="18"/>
          <w:lang w:val="en-GB" w:eastAsia="pt-PT"/>
        </w:rPr>
        <w:t>125.5</w:t>
      </w:r>
      <w:r>
        <w:rPr>
          <w:rFonts w:cs="Arial" w:ascii="Arial" w:hAnsi="Arial"/>
          <w:sz w:val="18"/>
          <w:szCs w:val="18"/>
          <w:lang w:val="en-GB"/>
        </w:rPr>
        <w:t xml:space="preserve">s ± </w:t>
      </w:r>
      <w:r>
        <w:rPr>
          <w:rFonts w:eastAsia="Times New Roman" w:cs="Arial" w:ascii="Arial" w:hAnsi="Arial"/>
          <w:sz w:val="18"/>
          <w:szCs w:val="18"/>
          <w:lang w:val="en-GB" w:eastAsia="pt-PT"/>
        </w:rPr>
        <w:t>50.5</w:t>
      </w:r>
      <w:r>
        <w:rPr>
          <w:rFonts w:cs="Arial" w:ascii="Arial" w:hAnsi="Arial"/>
          <w:sz w:val="18"/>
          <w:szCs w:val="18"/>
          <w:lang w:val="en-GB"/>
        </w:rPr>
        <w:t>SD; P</w:t>
      </w:r>
      <w:r>
        <w:rPr>
          <w:rFonts w:cs="Arial" w:ascii="Arial" w:hAnsi="Arial"/>
          <w:sz w:val="18"/>
          <w:szCs w:val="18"/>
          <w:vertAlign w:val="subscript"/>
          <w:lang w:val="en-GB"/>
        </w:rPr>
        <w:t>MW</w:t>
      </w:r>
      <w:r>
        <w:rPr>
          <w:rFonts w:cs="Arial" w:ascii="Arial" w:hAnsi="Arial"/>
          <w:b/>
          <w:sz w:val="18"/>
          <w:szCs w:val="18"/>
          <w:lang w:val="en-GB"/>
        </w:rPr>
        <w:t xml:space="preserve"> = 0.4041</w:t>
      </w:r>
      <w:r>
        <w:rPr>
          <w:rFonts w:cs="Arial" w:ascii="Arial" w:hAnsi="Arial"/>
          <w:sz w:val="18"/>
          <w:szCs w:val="18"/>
          <w:lang w:val="en-GB"/>
        </w:rPr>
        <w:t xml:space="preserve">). </w:t>
      </w:r>
      <w:r>
        <w:rPr>
          <w:rFonts w:cs="Arial" w:ascii="Arial" w:hAnsi="Arial"/>
          <w:b/>
          <w:sz w:val="18"/>
          <w:szCs w:val="18"/>
          <w:lang w:val="en-GB"/>
        </w:rPr>
        <w:t>No genetic interaction between</w:t>
      </w:r>
      <w:r>
        <w:rPr>
          <w:rFonts w:cs="Arial" w:ascii="Arial" w:hAnsi="Arial"/>
          <w:sz w:val="18"/>
          <w:szCs w:val="18"/>
          <w:lang w:val="en-GB"/>
        </w:rPr>
        <w:t xml:space="preserve"> </w:t>
      </w:r>
      <w:r>
        <w:rPr>
          <w:rFonts w:cs="Arial" w:ascii="Arial" w:hAnsi="Arial"/>
          <w:b/>
          <w:bCs/>
          <w:i/>
          <w:iCs/>
          <w:sz w:val="18"/>
          <w:szCs w:val="18"/>
          <w:lang w:val="en-GB"/>
        </w:rPr>
        <w:t>imac</w:t>
      </w:r>
      <w:r>
        <w:rPr>
          <w:rFonts w:cs="Arial" w:ascii="Arial" w:hAnsi="Arial"/>
          <w:b/>
          <w:bCs/>
          <w:i/>
          <w:iCs/>
          <w:sz w:val="18"/>
          <w:szCs w:val="18"/>
          <w:vertAlign w:val="superscript"/>
          <w:lang w:val="en-GB"/>
        </w:rPr>
        <w:t>170</w:t>
      </w:r>
      <w:r>
        <w:rPr>
          <w:rFonts w:cs="Arial" w:ascii="Arial" w:hAnsi="Arial"/>
          <w:b/>
          <w:bCs/>
          <w:i/>
          <w:iCs/>
          <w:sz w:val="18"/>
          <w:szCs w:val="18"/>
          <w:lang w:val="en-GB"/>
        </w:rPr>
        <w:t xml:space="preserve"> /CTG </w:t>
      </w:r>
      <w:r>
        <w:rPr>
          <w:rFonts w:cs="Arial" w:ascii="Arial" w:hAnsi="Arial"/>
          <w:b/>
          <w:bCs/>
          <w:sz w:val="18"/>
          <w:szCs w:val="18"/>
          <w:lang w:val="en-GB"/>
        </w:rPr>
        <w:t xml:space="preserve">and </w:t>
      </w:r>
      <w:r>
        <w:rPr>
          <w:rFonts w:cs="Arial" w:ascii="Arial" w:hAnsi="Arial"/>
          <w:b/>
          <w:bCs/>
          <w:i/>
          <w:iCs/>
          <w:sz w:val="18"/>
          <w:szCs w:val="18"/>
          <w:lang w:val="en-GB"/>
        </w:rPr>
        <w:t>msps</w:t>
      </w:r>
      <w:r>
        <w:rPr>
          <w:rFonts w:cs="Arial" w:ascii="Arial" w:hAnsi="Arial"/>
          <w:b/>
          <w:bCs/>
          <w:i/>
          <w:iCs/>
          <w:sz w:val="18"/>
          <w:szCs w:val="18"/>
          <w:vertAlign w:val="superscript"/>
          <w:lang w:val="en-GB"/>
        </w:rPr>
        <w:t>-</w:t>
      </w:r>
      <w:r>
        <w:rPr>
          <w:rFonts w:cs="Arial" w:ascii="Arial" w:hAnsi="Arial"/>
          <w:b/>
          <w:bCs/>
          <w:i/>
          <w:iCs/>
          <w:sz w:val="18"/>
          <w:szCs w:val="18"/>
          <w:lang w:val="en-GB"/>
        </w:rPr>
        <w:t>, tau</w:t>
      </w:r>
      <w:r>
        <w:rPr>
          <w:rFonts w:cs="Arial" w:ascii="Arial" w:hAnsi="Arial"/>
          <w:b/>
          <w:bCs/>
          <w:i/>
          <w:iCs/>
          <w:sz w:val="18"/>
          <w:szCs w:val="18"/>
          <w:vertAlign w:val="superscript"/>
          <w:lang w:val="en-GB"/>
        </w:rPr>
        <w:t>ko</w:t>
      </w:r>
      <w:r>
        <w:rPr>
          <w:rFonts w:cs="Arial" w:ascii="Arial" w:hAnsi="Arial"/>
          <w:b/>
          <w:bCs/>
          <w:i/>
          <w:iCs/>
          <w:sz w:val="18"/>
          <w:szCs w:val="18"/>
          <w:lang w:val="en-GB"/>
        </w:rPr>
        <w:t xml:space="preserve">/TTG (b): </w:t>
      </w:r>
      <w:r>
        <w:rPr>
          <w:rFonts w:cs="Arial" w:ascii="Arial" w:hAnsi="Arial"/>
          <w:sz w:val="18"/>
          <w:szCs w:val="18"/>
          <w:lang w:val="en-GB"/>
        </w:rPr>
        <w:t>(T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 xml:space="preserve"> msps1/+, tauko/+ imac</w:t>
      </w:r>
      <w:r>
        <w:rPr>
          <w:rFonts w:cs="Arial" w:ascii="Arial" w:hAnsi="Arial"/>
          <w:i/>
          <w:sz w:val="18"/>
          <w:szCs w:val="18"/>
          <w:vertAlign w:val="superscript"/>
          <w:lang w:val="en-GB"/>
        </w:rPr>
        <w:t>170</w:t>
      </w:r>
      <w:r>
        <w:rPr>
          <w:rFonts w:cs="Arial" w:ascii="Arial" w:hAnsi="Arial"/>
          <w:sz w:val="18"/>
          <w:szCs w:val="18"/>
          <w:lang w:val="en-GB"/>
        </w:rPr>
        <w:t>: 131.4s ± 61.49SD,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wt</w:t>
      </w:r>
      <w:r>
        <w:rPr>
          <w:rFonts w:cs="Arial" w:ascii="Arial" w:hAnsi="Arial"/>
          <w:sz w:val="18"/>
          <w:szCs w:val="18"/>
          <w:lang w:val="en-GB"/>
        </w:rPr>
        <w:t>: 36.86 ± 16.84SD; P</w:t>
      </w:r>
      <w:r>
        <w:rPr>
          <w:rFonts w:cs="Arial" w:ascii="Arial" w:hAnsi="Arial"/>
          <w:sz w:val="18"/>
          <w:szCs w:val="18"/>
          <w:vertAlign w:val="subscript"/>
          <w:lang w:val="en-GB"/>
        </w:rPr>
        <w:t xml:space="preserve"> MW </w:t>
      </w:r>
      <w:r>
        <w:rPr>
          <w:rFonts w:cs="Arial" w:ascii="Arial" w:hAnsi="Arial"/>
          <w:sz w:val="18"/>
          <w:szCs w:val="18"/>
          <w:lang w:val="en-GB"/>
        </w:rPr>
        <w:t>&lt;0.0001),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 xml:space="preserve"> msps1/+, tauko/+ imac</w:t>
      </w:r>
      <w:r>
        <w:rPr>
          <w:rFonts w:cs="Arial" w:ascii="Arial" w:hAnsi="Arial"/>
          <w:i/>
          <w:sz w:val="18"/>
          <w:szCs w:val="18"/>
          <w:vertAlign w:val="superscript"/>
          <w:lang w:val="en-GB"/>
        </w:rPr>
        <w:t>170</w:t>
      </w:r>
      <w:r>
        <w:rPr>
          <w:rFonts w:cs="Arial" w:ascii="Arial" w:hAnsi="Arial"/>
          <w:sz w:val="18"/>
          <w:szCs w:val="18"/>
          <w:lang w:val="en-GB"/>
        </w:rPr>
        <w:t>: 131.4s ± 61.49SD,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imac</w:t>
      </w:r>
      <w:r>
        <w:rPr>
          <w:rFonts w:cs="Arial" w:ascii="Arial" w:hAnsi="Arial"/>
          <w:i/>
          <w:sz w:val="18"/>
          <w:szCs w:val="18"/>
          <w:vertAlign w:val="superscript"/>
          <w:lang w:val="en-GB"/>
        </w:rPr>
        <w:t>170/+</w:t>
      </w:r>
      <w:r>
        <w:rPr>
          <w:rFonts w:cs="Arial" w:ascii="Arial" w:hAnsi="Arial"/>
          <w:sz w:val="18"/>
          <w:szCs w:val="18"/>
          <w:lang w:val="en-GB"/>
        </w:rPr>
        <w:t>:</w:t>
      </w:r>
      <w:r>
        <w:rPr>
          <w:rFonts w:eastAsia="Times New Roman" w:cs="Arial" w:ascii="Arial" w:hAnsi="Arial"/>
          <w:sz w:val="18"/>
          <w:szCs w:val="18"/>
          <w:lang w:val="en-GB" w:eastAsia="pt-PT"/>
        </w:rPr>
        <w:t>125.5</w:t>
      </w:r>
      <w:r>
        <w:rPr>
          <w:rFonts w:cs="Arial" w:ascii="Arial" w:hAnsi="Arial"/>
          <w:sz w:val="18"/>
          <w:szCs w:val="18"/>
          <w:lang w:val="en-GB"/>
        </w:rPr>
        <w:t xml:space="preserve">s ± </w:t>
      </w:r>
      <w:r>
        <w:rPr>
          <w:rFonts w:eastAsia="Times New Roman" w:cs="Arial" w:ascii="Arial" w:hAnsi="Arial"/>
          <w:sz w:val="18"/>
          <w:szCs w:val="18"/>
          <w:lang w:val="en-GB" w:eastAsia="pt-PT"/>
        </w:rPr>
        <w:t>50.5</w:t>
      </w:r>
      <w:r>
        <w:rPr>
          <w:rFonts w:cs="Arial" w:ascii="Arial" w:hAnsi="Arial"/>
          <w:sz w:val="18"/>
          <w:szCs w:val="18"/>
          <w:lang w:val="en-GB"/>
        </w:rPr>
        <w:t>SD;P</w:t>
      </w:r>
      <w:r>
        <w:rPr>
          <w:rFonts w:cs="Arial" w:ascii="Arial" w:hAnsi="Arial"/>
          <w:sz w:val="18"/>
          <w:szCs w:val="18"/>
          <w:vertAlign w:val="subscript"/>
          <w:lang w:val="en-GB"/>
        </w:rPr>
        <w:t>MW</w:t>
      </w:r>
      <w:r>
        <w:rPr>
          <w:rFonts w:cs="Arial" w:ascii="Arial" w:hAnsi="Arial"/>
          <w:sz w:val="18"/>
          <w:szCs w:val="18"/>
          <w:lang w:val="en-GB"/>
        </w:rPr>
        <w:t xml:space="preserve">= </w:t>
      </w:r>
      <w:r>
        <w:rPr>
          <w:rFonts w:cs="Arial" w:ascii="Arial" w:hAnsi="Arial"/>
          <w:b/>
          <w:sz w:val="18"/>
          <w:szCs w:val="18"/>
          <w:lang w:val="en-GB"/>
        </w:rPr>
        <w:t>0.8573</w:t>
      </w:r>
      <w:r>
        <w:rPr>
          <w:rFonts w:cs="Arial" w:ascii="Arial" w:hAnsi="Arial"/>
          <w:sz w:val="18"/>
          <w:szCs w:val="18"/>
          <w:lang w:val="en-GB"/>
        </w:rPr>
        <w:t>),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 xml:space="preserve"> msps1/+, tauko/+ imac</w:t>
      </w:r>
      <w:r>
        <w:rPr>
          <w:rFonts w:cs="Arial" w:ascii="Arial" w:hAnsi="Arial"/>
          <w:i/>
          <w:sz w:val="18"/>
          <w:szCs w:val="18"/>
          <w:vertAlign w:val="superscript"/>
          <w:lang w:val="en-GB"/>
        </w:rPr>
        <w:t>170</w:t>
      </w:r>
      <w:r>
        <w:rPr>
          <w:rFonts w:cs="Arial" w:ascii="Arial" w:hAnsi="Arial"/>
          <w:sz w:val="18"/>
          <w:szCs w:val="18"/>
          <w:lang w:val="en-GB"/>
        </w:rPr>
        <w:t>: 131.4s ± 61.49SD,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b/>
          <w:sz w:val="18"/>
          <w:szCs w:val="18"/>
          <w:lang w:val="en-GB"/>
        </w:rPr>
        <w:t xml:space="preserve"> </w:t>
      </w:r>
      <w:r>
        <w:rPr>
          <w:rFonts w:cs="Arial" w:ascii="Arial" w:hAnsi="Arial"/>
          <w:i/>
          <w:sz w:val="18"/>
          <w:szCs w:val="18"/>
          <w:lang w:val="en-GB"/>
        </w:rPr>
        <w:t>msps1/+, tauko/+</w:t>
      </w:r>
      <w:r>
        <w:rPr>
          <w:rFonts w:cs="Arial" w:ascii="Arial" w:hAnsi="Arial"/>
          <w:sz w:val="18"/>
          <w:szCs w:val="18"/>
          <w:lang w:val="en-GB"/>
        </w:rPr>
        <w:t xml:space="preserve"> : </w:t>
      </w:r>
      <w:r>
        <w:rPr>
          <w:rFonts w:eastAsia="Times New Roman" w:cs="Arial" w:ascii="Arial" w:hAnsi="Arial"/>
          <w:sz w:val="18"/>
          <w:szCs w:val="18"/>
          <w:lang w:val="en-GB" w:eastAsia="pt-PT"/>
        </w:rPr>
        <w:t>88.93</w:t>
      </w:r>
      <w:r>
        <w:rPr>
          <w:rFonts w:cs="Arial" w:ascii="Arial" w:hAnsi="Arial"/>
          <w:sz w:val="18"/>
          <w:szCs w:val="18"/>
          <w:lang w:val="en-GB"/>
        </w:rPr>
        <w:t xml:space="preserve">s ± </w:t>
      </w:r>
      <w:r>
        <w:rPr>
          <w:rFonts w:eastAsia="Times New Roman" w:cs="Arial" w:ascii="Arial" w:hAnsi="Arial"/>
          <w:sz w:val="18"/>
          <w:szCs w:val="18"/>
          <w:lang w:val="en-GB" w:eastAsia="pt-PT"/>
        </w:rPr>
        <w:t>37.78</w:t>
      </w:r>
      <w:r>
        <w:rPr>
          <w:rFonts w:cs="Arial" w:ascii="Arial" w:hAnsi="Arial"/>
          <w:sz w:val="18"/>
          <w:szCs w:val="18"/>
          <w:lang w:val="en-GB"/>
        </w:rPr>
        <w:t>SD; P</w:t>
      </w:r>
      <w:r>
        <w:rPr>
          <w:rFonts w:cs="Arial" w:ascii="Arial" w:hAnsi="Arial"/>
          <w:sz w:val="18"/>
          <w:szCs w:val="18"/>
          <w:vertAlign w:val="subscript"/>
          <w:lang w:val="en-GB"/>
        </w:rPr>
        <w:t xml:space="preserve"> MW </w:t>
      </w:r>
      <w:r>
        <w:rPr>
          <w:rFonts w:cs="Arial" w:ascii="Arial" w:hAnsi="Arial"/>
          <w:sz w:val="18"/>
          <w:szCs w:val="18"/>
          <w:lang w:val="en-GB"/>
        </w:rPr>
        <w:t xml:space="preserve">= </w:t>
      </w:r>
      <w:r>
        <w:rPr>
          <w:rFonts w:cs="Arial" w:ascii="Arial" w:hAnsi="Arial"/>
          <w:b/>
          <w:sz w:val="18"/>
          <w:szCs w:val="18"/>
          <w:lang w:val="en-GB"/>
        </w:rPr>
        <w:t>0.0031</w:t>
      </w:r>
      <w:r>
        <w:rPr>
          <w:rFonts w:cs="Arial" w:ascii="Arial" w:hAnsi="Arial"/>
          <w:sz w:val="18"/>
          <w:szCs w:val="18"/>
          <w:lang w:val="en-GB"/>
        </w:rPr>
        <w:t>). Each bars shows the mean T</w:t>
      </w:r>
      <w:r>
        <w:rPr>
          <w:rFonts w:cs="Arial" w:ascii="Arial" w:hAnsi="Arial"/>
          <w:sz w:val="18"/>
          <w:szCs w:val="18"/>
          <w:vertAlign w:val="subscript"/>
          <w:lang w:val="en-GB"/>
        </w:rPr>
        <w:t>Rec</w:t>
      </w:r>
      <w:r>
        <w:rPr>
          <w:rFonts w:cs="Arial" w:ascii="Arial" w:hAnsi="Arial"/>
          <w:sz w:val="18"/>
          <w:szCs w:val="18"/>
          <w:lang w:val="en-GB"/>
        </w:rPr>
        <w:t>, error bars indicate SD, **** p&lt;0.0001, ** p&lt;0.01, ns = no significant.</w:t>
      </w:r>
    </w:p>
    <w:p>
      <w:pPr>
        <w:pStyle w:val="Normal"/>
        <w:spacing w:lineRule="auto" w:line="360" w:before="120" w:after="0"/>
        <w:jc w:val="both"/>
        <w:rPr>
          <w:rFonts w:ascii="Arial" w:hAnsi="Arial" w:cs="Arial"/>
          <w:sz w:val="20"/>
          <w:szCs w:val="20"/>
          <w:lang w:val="en-GB"/>
        </w:rPr>
      </w:pPr>
      <w:r>
        <w:rPr>
          <w:rFonts w:cs="Arial" w:ascii="Arial" w:hAnsi="Arial"/>
          <w:sz w:val="20"/>
          <w:szCs w:val="20"/>
          <w:lang w:val="en-GB"/>
        </w:rPr>
      </w:r>
    </w:p>
    <w:p>
      <w:pPr>
        <w:pStyle w:val="Normal"/>
        <w:spacing w:lineRule="auto" w:line="360" w:before="120" w:after="0"/>
        <w:jc w:val="both"/>
        <w:rPr>
          <w:rFonts w:ascii="Arial" w:hAnsi="Arial" w:cs="Arial"/>
          <w:bCs/>
          <w:iCs/>
          <w:sz w:val="20"/>
          <w:szCs w:val="20"/>
          <w:lang w:val="en-GB"/>
        </w:rPr>
      </w:pPr>
      <w:r>
        <w:rPr>
          <w:rFonts w:eastAsia="" w:cs="Arial" w:ascii="Arial" w:hAnsi="Arial" w:eastAsiaTheme="minorEastAsia"/>
          <w:sz w:val="20"/>
          <w:szCs w:val="20"/>
          <w:lang w:val="en-GB"/>
        </w:rPr>
        <w:t>Even though I found a significant increase in T</w:t>
      </w:r>
      <w:r>
        <w:rPr>
          <w:rFonts w:eastAsia="" w:cs="Arial" w:ascii="Arial" w:hAnsi="Arial" w:eastAsiaTheme="minorEastAsia"/>
          <w:sz w:val="20"/>
          <w:szCs w:val="20"/>
          <w:vertAlign w:val="subscript"/>
          <w:lang w:val="en-GB"/>
        </w:rPr>
        <w:t>Rec</w:t>
      </w:r>
      <w:r>
        <w:rPr>
          <w:rFonts w:eastAsia="" w:cs="Arial" w:ascii="Arial" w:hAnsi="Arial" w:eastAsiaTheme="minorEastAsia"/>
          <w:sz w:val="20"/>
          <w:szCs w:val="20"/>
          <w:lang w:val="en-GB"/>
        </w:rPr>
        <w:t xml:space="preserve">  of </w:t>
      </w:r>
      <w:r>
        <w:rPr>
          <w:rFonts w:cs="Arial" w:ascii="Arial" w:hAnsi="Arial"/>
          <w:b/>
          <w:i/>
          <w:sz w:val="20"/>
          <w:szCs w:val="20"/>
          <w:lang w:val="en-GB"/>
        </w:rPr>
        <w:t>msps</w:t>
      </w:r>
      <w:r>
        <w:rPr>
          <w:rFonts w:cs="Arial" w:ascii="Arial" w:hAnsi="Arial"/>
          <w:b/>
          <w:i/>
          <w:sz w:val="20"/>
          <w:szCs w:val="20"/>
          <w:vertAlign w:val="superscript"/>
          <w:lang w:val="en-GB"/>
        </w:rPr>
        <w:t>1</w:t>
      </w:r>
      <w:r>
        <w:rPr>
          <w:rFonts w:cs="Arial" w:ascii="Arial" w:hAnsi="Arial"/>
          <w:b/>
          <w:i/>
          <w:sz w:val="20"/>
          <w:szCs w:val="20"/>
          <w:lang w:val="en-GB"/>
        </w:rPr>
        <w:t>,tau</w:t>
      </w:r>
      <w:r>
        <w:rPr>
          <w:rFonts w:cs="Arial" w:ascii="Arial" w:hAnsi="Arial"/>
          <w:b/>
          <w:i/>
          <w:sz w:val="20"/>
          <w:szCs w:val="20"/>
          <w:vertAlign w:val="superscript"/>
          <w:lang w:val="en-GB"/>
        </w:rPr>
        <w:t>ko</w:t>
      </w:r>
      <w:r>
        <w:rPr>
          <w:rFonts w:cs="Arial" w:ascii="Arial" w:hAnsi="Arial"/>
          <w:b/>
          <w:sz w:val="20"/>
          <w:szCs w:val="20"/>
          <w:lang w:val="en-GB"/>
        </w:rPr>
        <w:t xml:space="preserve"> and </w:t>
      </w:r>
      <w:r>
        <w:rPr>
          <w:rFonts w:cs="Arial" w:ascii="Arial" w:hAnsi="Arial"/>
          <w:b/>
          <w:i/>
          <w:sz w:val="20"/>
          <w:szCs w:val="20"/>
          <w:lang w:val="en-GB"/>
        </w:rPr>
        <w:t>Khc</w:t>
      </w:r>
      <w:r>
        <w:rPr>
          <w:rFonts w:cs="Arial" w:ascii="Arial" w:hAnsi="Arial"/>
          <w:b/>
          <w:i/>
          <w:sz w:val="20"/>
          <w:szCs w:val="20"/>
          <w:vertAlign w:val="superscript"/>
          <w:lang w:val="en-GB"/>
        </w:rPr>
        <w:t>8/+</w:t>
      </w:r>
      <w:r>
        <w:rPr>
          <w:rFonts w:cs="Arial" w:ascii="Arial" w:hAnsi="Arial"/>
          <w:sz w:val="20"/>
          <w:szCs w:val="20"/>
          <w:lang w:val="en-GB"/>
        </w:rPr>
        <w:t xml:space="preserve"> larvae</w:t>
      </w:r>
      <w:r>
        <w:rPr>
          <w:rFonts w:eastAsia="" w:cs="Arial" w:ascii="Arial" w:hAnsi="Arial" w:eastAsiaTheme="minorEastAsia"/>
          <w:sz w:val="20"/>
          <w:szCs w:val="20"/>
          <w:lang w:val="en-GB"/>
        </w:rPr>
        <w:t xml:space="preserve"> compared to Oregon-R</w:t>
      </w:r>
      <w:r>
        <w:rPr>
          <w:rFonts w:cs="Arial" w:ascii="Arial" w:hAnsi="Arial"/>
          <w:sz w:val="20"/>
          <w:szCs w:val="20"/>
          <w:lang w:val="en-GB"/>
        </w:rPr>
        <w:t xml:space="preserve">, </w:t>
      </w:r>
      <w:r>
        <w:rPr>
          <w:rFonts w:eastAsia="" w:cs="Arial" w:ascii="Arial" w:hAnsi="Arial" w:eastAsiaTheme="minorEastAsia"/>
          <w:sz w:val="20"/>
          <w:szCs w:val="20"/>
          <w:lang w:val="en-GB"/>
        </w:rPr>
        <w:t>there is no significant increase in T</w:t>
      </w:r>
      <w:r>
        <w:rPr>
          <w:rFonts w:eastAsia="" w:cs="Arial" w:ascii="Arial" w:hAnsi="Arial" w:eastAsiaTheme="minorEastAsia"/>
          <w:sz w:val="20"/>
          <w:szCs w:val="20"/>
          <w:vertAlign w:val="subscript"/>
          <w:lang w:val="en-GB"/>
        </w:rPr>
        <w:t>Rec</w:t>
      </w:r>
      <w:r>
        <w:rPr>
          <w:rFonts w:eastAsia="" w:cs="Arial" w:ascii="Arial" w:hAnsi="Arial" w:eastAsiaTheme="minorEastAsia"/>
          <w:sz w:val="20"/>
          <w:szCs w:val="20"/>
          <w:lang w:val="en-GB"/>
        </w:rPr>
        <w:t xml:space="preserve"> of </w:t>
      </w:r>
      <w:r>
        <w:rPr>
          <w:rFonts w:cs="Arial" w:ascii="Arial" w:hAnsi="Arial"/>
          <w:b/>
          <w:i/>
          <w:sz w:val="20"/>
          <w:szCs w:val="20"/>
          <w:lang w:val="en-GB"/>
        </w:rPr>
        <w:t>msps</w:t>
      </w:r>
      <w:r>
        <w:rPr>
          <w:rFonts w:cs="Arial" w:ascii="Arial" w:hAnsi="Arial"/>
          <w:b/>
          <w:i/>
          <w:sz w:val="20"/>
          <w:szCs w:val="20"/>
          <w:vertAlign w:val="superscript"/>
          <w:lang w:val="en-GB"/>
        </w:rPr>
        <w:t>1</w:t>
      </w:r>
      <w:r>
        <w:rPr>
          <w:rFonts w:cs="Arial" w:ascii="Arial" w:hAnsi="Arial"/>
          <w:b/>
          <w:i/>
          <w:sz w:val="20"/>
          <w:szCs w:val="20"/>
          <w:lang w:val="en-GB"/>
        </w:rPr>
        <w:t>,tau</w:t>
      </w:r>
      <w:r>
        <w:rPr>
          <w:rFonts w:cs="Arial" w:ascii="Arial" w:hAnsi="Arial"/>
          <w:b/>
          <w:i/>
          <w:sz w:val="20"/>
          <w:szCs w:val="20"/>
          <w:vertAlign w:val="superscript"/>
          <w:lang w:val="en-GB"/>
        </w:rPr>
        <w:t>ko</w:t>
      </w:r>
      <w:r>
        <w:rPr>
          <w:rFonts w:cs="Arial" w:ascii="Arial" w:hAnsi="Arial"/>
          <w:b/>
          <w:sz w:val="20"/>
          <w:szCs w:val="20"/>
          <w:lang w:val="en-GB"/>
        </w:rPr>
        <w:t xml:space="preserve">, </w:t>
      </w:r>
      <w:r>
        <w:rPr>
          <w:rFonts w:cs="Arial" w:ascii="Arial" w:hAnsi="Arial"/>
          <w:b/>
          <w:i/>
          <w:sz w:val="20"/>
          <w:szCs w:val="20"/>
          <w:lang w:val="en-GB"/>
        </w:rPr>
        <w:t>Khc</w:t>
      </w:r>
      <w:r>
        <w:rPr>
          <w:rFonts w:cs="Arial" w:ascii="Arial" w:hAnsi="Arial"/>
          <w:b/>
          <w:i/>
          <w:sz w:val="20"/>
          <w:szCs w:val="20"/>
          <w:vertAlign w:val="superscript"/>
          <w:lang w:val="en-GB"/>
        </w:rPr>
        <w:t>8/+</w:t>
      </w:r>
      <w:r>
        <w:rPr>
          <w:rFonts w:cs="Arial" w:ascii="Arial" w:hAnsi="Arial"/>
          <w:sz w:val="20"/>
          <w:szCs w:val="20"/>
          <w:lang w:val="en-GB"/>
        </w:rPr>
        <w:t xml:space="preserve"> triple heterozygous mutants and the two controls genotypes </w:t>
      </w:r>
      <w:r>
        <w:rPr>
          <w:rFonts w:cs="Arial" w:ascii="Arial" w:hAnsi="Arial"/>
          <w:b/>
          <w:i/>
          <w:sz w:val="20"/>
          <w:szCs w:val="20"/>
          <w:lang w:val="en-GB"/>
        </w:rPr>
        <w:t>msps</w:t>
      </w:r>
      <w:r>
        <w:rPr>
          <w:rFonts w:cs="Arial" w:ascii="Arial" w:hAnsi="Arial"/>
          <w:b/>
          <w:i/>
          <w:sz w:val="20"/>
          <w:szCs w:val="20"/>
          <w:vertAlign w:val="superscript"/>
          <w:lang w:val="en-GB"/>
        </w:rPr>
        <w:t>1</w:t>
      </w:r>
      <w:r>
        <w:rPr>
          <w:rFonts w:cs="Arial" w:ascii="Arial" w:hAnsi="Arial"/>
          <w:b/>
          <w:i/>
          <w:sz w:val="20"/>
          <w:szCs w:val="20"/>
          <w:lang w:val="en-GB"/>
        </w:rPr>
        <w:t>,tau</w:t>
      </w:r>
      <w:r>
        <w:rPr>
          <w:rFonts w:cs="Arial" w:ascii="Arial" w:hAnsi="Arial"/>
          <w:b/>
          <w:i/>
          <w:sz w:val="20"/>
          <w:szCs w:val="20"/>
          <w:vertAlign w:val="superscript"/>
          <w:lang w:val="en-GB"/>
        </w:rPr>
        <w:t>ko</w:t>
      </w:r>
      <w:r>
        <w:rPr>
          <w:rFonts w:cs="Arial" w:ascii="Arial" w:hAnsi="Arial"/>
          <w:sz w:val="20"/>
          <w:szCs w:val="20"/>
          <w:lang w:val="en-GB"/>
        </w:rPr>
        <w:t xml:space="preserve"> and </w:t>
      </w:r>
      <w:r>
        <w:rPr>
          <w:rFonts w:cs="Arial" w:ascii="Arial" w:hAnsi="Arial"/>
          <w:b/>
          <w:i/>
          <w:sz w:val="20"/>
          <w:szCs w:val="20"/>
          <w:lang w:val="en-GB"/>
        </w:rPr>
        <w:t>Khc</w:t>
      </w:r>
      <w:r>
        <w:rPr>
          <w:rFonts w:cs="Arial" w:ascii="Arial" w:hAnsi="Arial"/>
          <w:b/>
          <w:i/>
          <w:sz w:val="20"/>
          <w:szCs w:val="20"/>
          <w:vertAlign w:val="superscript"/>
          <w:lang w:val="en-GB"/>
        </w:rPr>
        <w:t>8/+</w:t>
      </w:r>
      <w:r>
        <w:rPr>
          <w:rFonts w:cs="Arial" w:ascii="Arial" w:hAnsi="Arial"/>
          <w:sz w:val="20"/>
          <w:szCs w:val="20"/>
          <w:lang w:val="en-GB"/>
        </w:rPr>
        <w:t xml:space="preserve"> (Fig.10a). These results suggest that larvae resulting from the cross have a seizure-like phenotype, but there is no genetic interaction between </w:t>
      </w:r>
      <w:bookmarkStart w:id="103" w:name="OLE_LINK6"/>
      <w:r>
        <w:rPr>
          <w:rFonts w:cs="Arial" w:ascii="Arial" w:hAnsi="Arial"/>
          <w:b/>
          <w:i/>
          <w:sz w:val="20"/>
          <w:szCs w:val="20"/>
          <w:lang w:val="en-GB"/>
        </w:rPr>
        <w:t>msps</w:t>
      </w:r>
      <w:r>
        <w:rPr>
          <w:rFonts w:cs="Arial" w:ascii="Arial" w:hAnsi="Arial"/>
          <w:b/>
          <w:i/>
          <w:sz w:val="20"/>
          <w:szCs w:val="20"/>
          <w:vertAlign w:val="superscript"/>
          <w:lang w:val="en-GB"/>
        </w:rPr>
        <w:t>1</w:t>
      </w:r>
      <w:r>
        <w:rPr>
          <w:rFonts w:cs="Arial" w:ascii="Arial" w:hAnsi="Arial"/>
          <w:b/>
          <w:i/>
          <w:sz w:val="20"/>
          <w:szCs w:val="20"/>
          <w:lang w:val="en-GB"/>
        </w:rPr>
        <w:t>,tau</w:t>
      </w:r>
      <w:r>
        <w:rPr>
          <w:rFonts w:cs="Arial" w:ascii="Arial" w:hAnsi="Arial"/>
          <w:b/>
          <w:i/>
          <w:sz w:val="20"/>
          <w:szCs w:val="20"/>
          <w:vertAlign w:val="superscript"/>
          <w:lang w:val="en-GB"/>
        </w:rPr>
        <w:t>ko</w:t>
      </w:r>
      <w:r>
        <w:rPr>
          <w:rFonts w:cs="Arial" w:ascii="Arial" w:hAnsi="Arial"/>
          <w:sz w:val="20"/>
          <w:szCs w:val="20"/>
          <w:lang w:val="en-GB"/>
        </w:rPr>
        <w:t xml:space="preserve"> </w:t>
      </w:r>
      <w:bookmarkEnd w:id="103"/>
      <w:r>
        <w:rPr>
          <w:rFonts w:cs="Arial" w:ascii="Arial" w:hAnsi="Arial"/>
          <w:sz w:val="20"/>
          <w:szCs w:val="20"/>
          <w:lang w:val="en-GB"/>
        </w:rPr>
        <w:t xml:space="preserve">and </w:t>
      </w:r>
      <w:r>
        <w:rPr>
          <w:rFonts w:cs="Arial" w:ascii="Arial" w:hAnsi="Arial"/>
          <w:b/>
          <w:i/>
          <w:sz w:val="20"/>
          <w:szCs w:val="20"/>
          <w:lang w:val="en-GB"/>
        </w:rPr>
        <w:t>Khc</w:t>
      </w:r>
      <w:r>
        <w:rPr>
          <w:rFonts w:cs="Arial" w:ascii="Arial" w:hAnsi="Arial"/>
          <w:b/>
          <w:i/>
          <w:sz w:val="20"/>
          <w:szCs w:val="20"/>
          <w:vertAlign w:val="superscript"/>
          <w:lang w:val="en-GB"/>
        </w:rPr>
        <w:t>8/+</w:t>
      </w:r>
      <w:r>
        <w:rPr>
          <w:rFonts w:cs="Arial" w:ascii="Arial" w:hAnsi="Arial"/>
          <w:sz w:val="20"/>
          <w:szCs w:val="20"/>
          <w:lang w:val="en-GB"/>
        </w:rPr>
        <w:t xml:space="preserve">. </w:t>
      </w:r>
    </w:p>
    <w:p>
      <w:pPr>
        <w:pStyle w:val="Normal"/>
        <w:spacing w:lineRule="auto" w:line="360" w:before="120" w:after="0"/>
        <w:jc w:val="both"/>
        <w:rPr>
          <w:rFonts w:ascii="Arial" w:hAnsi="Arial" w:cs="Arial"/>
          <w:sz w:val="20"/>
          <w:szCs w:val="20"/>
          <w:lang w:val="en-GB"/>
        </w:rPr>
      </w:pPr>
      <w:r>
        <w:rPr>
          <w:rFonts w:cs="Arial" w:ascii="Arial" w:hAnsi="Arial"/>
          <w:bCs/>
          <w:sz w:val="20"/>
          <w:szCs w:val="20"/>
          <w:lang w:val="en-GB"/>
        </w:rPr>
        <w:t>Similary, even though</w:t>
      </w:r>
      <w:r>
        <w:rPr>
          <w:rFonts w:cs="Arial" w:ascii="Arial" w:hAnsi="Arial"/>
          <w:b/>
          <w:bCs/>
          <w:i/>
          <w:iCs/>
          <w:sz w:val="20"/>
          <w:szCs w:val="20"/>
          <w:lang w:val="en-GB"/>
        </w:rPr>
        <w:t xml:space="preserve"> </w:t>
      </w:r>
      <w:r>
        <w:rPr>
          <w:rFonts w:cs="Arial" w:ascii="Arial" w:hAnsi="Arial"/>
          <w:i/>
          <w:sz w:val="20"/>
          <w:szCs w:val="20"/>
          <w:lang w:val="en-GB"/>
        </w:rPr>
        <w:t>imac</w:t>
      </w:r>
      <w:r>
        <w:rPr>
          <w:rFonts w:cs="Arial" w:ascii="Arial" w:hAnsi="Arial"/>
          <w:i/>
          <w:sz w:val="20"/>
          <w:szCs w:val="20"/>
          <w:vertAlign w:val="superscript"/>
          <w:lang w:val="en-GB"/>
        </w:rPr>
        <w:t>170</w:t>
      </w:r>
      <w:r>
        <w:rPr>
          <w:rFonts w:cs="Arial" w:ascii="Arial" w:hAnsi="Arial"/>
          <w:i/>
          <w:sz w:val="20"/>
          <w:szCs w:val="20"/>
          <w:lang w:val="en-GB"/>
        </w:rPr>
        <w:t>; msps</w:t>
      </w:r>
      <w:r>
        <w:rPr>
          <w:rFonts w:cs="Arial" w:ascii="Arial" w:hAnsi="Arial"/>
          <w:i/>
          <w:sz w:val="20"/>
          <w:szCs w:val="20"/>
          <w:vertAlign w:val="superscript"/>
          <w:lang w:val="en-GB"/>
        </w:rPr>
        <w:t>1</w:t>
      </w:r>
      <w:r>
        <w:rPr>
          <w:rFonts w:cs="Arial" w:ascii="Arial" w:hAnsi="Arial"/>
          <w:i/>
          <w:sz w:val="20"/>
          <w:szCs w:val="20"/>
          <w:lang w:val="en-GB"/>
        </w:rPr>
        <w:t>,tau</w:t>
      </w:r>
      <w:r>
        <w:rPr>
          <w:rFonts w:cs="Arial" w:ascii="Arial" w:hAnsi="Arial"/>
          <w:i/>
          <w:sz w:val="20"/>
          <w:szCs w:val="20"/>
          <w:vertAlign w:val="superscript"/>
          <w:lang w:val="en-GB"/>
        </w:rPr>
        <w:t>ko</w:t>
      </w:r>
      <w:r>
        <w:rPr>
          <w:rFonts w:cs="Arial" w:ascii="Arial" w:hAnsi="Arial"/>
          <w:sz w:val="20"/>
          <w:szCs w:val="20"/>
          <w:lang w:val="en-GB"/>
        </w:rPr>
        <w:t xml:space="preserve"> show a seizure-like phenotype (Fig10b) there was no significant difference was found between T</w:t>
      </w:r>
      <w:r>
        <w:rPr>
          <w:rFonts w:cs="Arial" w:ascii="Arial" w:hAnsi="Arial"/>
          <w:sz w:val="20"/>
          <w:szCs w:val="20"/>
          <w:vertAlign w:val="subscript"/>
          <w:lang w:val="en-GB"/>
        </w:rPr>
        <w:t>Rec</w:t>
      </w:r>
      <w:r>
        <w:rPr>
          <w:rFonts w:cs="Arial" w:ascii="Arial" w:hAnsi="Arial"/>
          <w:sz w:val="20"/>
          <w:szCs w:val="20"/>
          <w:lang w:val="en-GB"/>
        </w:rPr>
        <w:t xml:space="preserve"> of </w:t>
      </w:r>
      <w:r>
        <w:rPr>
          <w:rFonts w:cs="Arial" w:ascii="Arial" w:hAnsi="Arial"/>
          <w:i/>
          <w:sz w:val="20"/>
          <w:szCs w:val="20"/>
          <w:lang w:val="en-GB"/>
        </w:rPr>
        <w:t>imac</w:t>
      </w:r>
      <w:r>
        <w:rPr>
          <w:rFonts w:cs="Arial" w:ascii="Arial" w:hAnsi="Arial"/>
          <w:i/>
          <w:sz w:val="20"/>
          <w:szCs w:val="20"/>
          <w:vertAlign w:val="superscript"/>
          <w:lang w:val="en-GB"/>
        </w:rPr>
        <w:t>170</w:t>
      </w:r>
      <w:r>
        <w:rPr>
          <w:rFonts w:cs="Arial" w:ascii="Arial" w:hAnsi="Arial"/>
          <w:sz w:val="20"/>
          <w:szCs w:val="20"/>
          <w:lang w:val="en-GB"/>
        </w:rPr>
        <w:t xml:space="preserve"> and </w:t>
      </w:r>
      <w:r>
        <w:rPr>
          <w:rFonts w:cs="Arial" w:ascii="Arial" w:hAnsi="Arial"/>
          <w:i/>
          <w:sz w:val="20"/>
          <w:szCs w:val="20"/>
          <w:lang w:val="en-GB"/>
        </w:rPr>
        <w:t>imac</w:t>
      </w:r>
      <w:r>
        <w:rPr>
          <w:rFonts w:cs="Arial" w:ascii="Arial" w:hAnsi="Arial"/>
          <w:i/>
          <w:sz w:val="20"/>
          <w:szCs w:val="20"/>
          <w:vertAlign w:val="superscript"/>
          <w:lang w:val="en-GB"/>
        </w:rPr>
        <w:t>170</w:t>
      </w:r>
      <w:r>
        <w:rPr>
          <w:rFonts w:cs="Arial" w:ascii="Arial" w:hAnsi="Arial"/>
          <w:i/>
          <w:sz w:val="20"/>
          <w:szCs w:val="20"/>
          <w:lang w:val="en-GB"/>
        </w:rPr>
        <w:t>; msps</w:t>
      </w:r>
      <w:r>
        <w:rPr>
          <w:rFonts w:cs="Arial" w:ascii="Arial" w:hAnsi="Arial"/>
          <w:i/>
          <w:sz w:val="20"/>
          <w:szCs w:val="20"/>
          <w:vertAlign w:val="superscript"/>
          <w:lang w:val="en-GB"/>
        </w:rPr>
        <w:t>1</w:t>
      </w:r>
      <w:r>
        <w:rPr>
          <w:rFonts w:cs="Arial" w:ascii="Arial" w:hAnsi="Arial"/>
          <w:i/>
          <w:sz w:val="20"/>
          <w:szCs w:val="20"/>
          <w:lang w:val="en-GB"/>
        </w:rPr>
        <w:t>,tau</w:t>
      </w:r>
      <w:r>
        <w:rPr>
          <w:rFonts w:cs="Arial" w:ascii="Arial" w:hAnsi="Arial"/>
          <w:i/>
          <w:sz w:val="20"/>
          <w:szCs w:val="20"/>
          <w:vertAlign w:val="superscript"/>
          <w:lang w:val="en-GB"/>
        </w:rPr>
        <w:t>ko</w:t>
      </w:r>
      <w:r>
        <w:rPr>
          <w:rFonts w:cs="Arial" w:ascii="Arial" w:hAnsi="Arial"/>
          <w:sz w:val="20"/>
          <w:szCs w:val="20"/>
          <w:lang w:val="en-GB"/>
        </w:rPr>
        <w:t xml:space="preserve"> larvae(Fig.10b). Thus, there is no genetic interaction between both genotypes.  </w:t>
      </w:r>
    </w:p>
    <w:p>
      <w:pPr>
        <w:pStyle w:val="Normal"/>
        <w:spacing w:lineRule="auto" w:line="360" w:before="120" w:after="0"/>
        <w:jc w:val="both"/>
        <w:rPr>
          <w:rFonts w:ascii="Arial" w:hAnsi="Arial" w:cs="Arial"/>
          <w:bCs/>
          <w:sz w:val="20"/>
          <w:szCs w:val="20"/>
          <w:lang w:val="en-US"/>
        </w:rPr>
      </w:pPr>
      <w:r>
        <w:rPr>
          <w:rFonts w:cs="Arial" w:ascii="Arial" w:hAnsi="Arial"/>
          <w:bCs/>
          <w:sz w:val="20"/>
          <w:szCs w:val="20"/>
          <w:lang w:val="en-US"/>
        </w:rPr>
        <w:t xml:space="preserve">As no genetic interaction was found between both MT regulators and transport motors, we chose an alternative experiment to test this. I wanted to test if overexpression of the molecular motor imac could improve potential transport-dependent seizures in </w:t>
      </w:r>
      <w:r>
        <w:rPr>
          <w:rFonts w:cs="Arial" w:ascii="Arial" w:hAnsi="Arial"/>
          <w:bCs/>
          <w:i/>
          <w:sz w:val="20"/>
          <w:szCs w:val="20"/>
          <w:lang w:val="en-US"/>
        </w:rPr>
        <w:t>tau</w:t>
      </w:r>
      <w:r>
        <w:rPr>
          <w:rFonts w:cs="Arial" w:ascii="Arial" w:hAnsi="Arial"/>
          <w:bCs/>
          <w:i/>
          <w:sz w:val="20"/>
          <w:szCs w:val="20"/>
          <w:vertAlign w:val="superscript"/>
          <w:lang w:val="en-US"/>
        </w:rPr>
        <w:t>def</w:t>
      </w:r>
      <w:r>
        <w:rPr>
          <w:rFonts w:cs="Arial" w:ascii="Arial" w:hAnsi="Arial"/>
          <w:bCs/>
          <w:sz w:val="20"/>
          <w:szCs w:val="20"/>
          <w:lang w:val="en-US"/>
        </w:rPr>
        <w:t xml:space="preserve"> mutants. I could previously show that </w:t>
      </w:r>
      <w:r>
        <w:rPr>
          <w:rFonts w:cs="Arial" w:ascii="Arial" w:hAnsi="Arial"/>
          <w:b/>
          <w:bCs/>
          <w:i/>
          <w:iCs/>
          <w:sz w:val="20"/>
          <w:szCs w:val="20"/>
          <w:lang w:val="en-US"/>
        </w:rPr>
        <w:t>tau</w:t>
      </w:r>
      <w:r>
        <w:rPr>
          <w:rFonts w:cs="Arial" w:ascii="Arial" w:hAnsi="Arial"/>
          <w:b/>
          <w:bCs/>
          <w:i/>
          <w:iCs/>
          <w:sz w:val="20"/>
          <w:szCs w:val="20"/>
          <w:vertAlign w:val="superscript"/>
          <w:lang w:val="en-US"/>
        </w:rPr>
        <w:t>ko</w:t>
      </w:r>
      <w:r>
        <w:rPr>
          <w:rFonts w:cs="Arial" w:ascii="Arial" w:hAnsi="Arial"/>
          <w:b/>
          <w:bCs/>
          <w:i/>
          <w:iCs/>
          <w:sz w:val="20"/>
          <w:szCs w:val="20"/>
          <w:lang w:val="en-US"/>
        </w:rPr>
        <w:t>/</w:t>
      </w:r>
      <w:r>
        <w:rPr>
          <w:rFonts w:cs="Arial" w:ascii="Arial" w:hAnsi="Arial"/>
          <w:b/>
          <w:bCs/>
          <w:i/>
          <w:iCs/>
          <w:sz w:val="20"/>
          <w:szCs w:val="20"/>
          <w:vertAlign w:val="superscript"/>
          <w:lang w:val="en-US"/>
        </w:rPr>
        <w:t>ko</w:t>
      </w:r>
      <w:r>
        <w:rPr>
          <w:rFonts w:cs="Arial" w:ascii="Arial" w:hAnsi="Arial"/>
          <w:bCs/>
          <w:sz w:val="20"/>
          <w:szCs w:val="20"/>
          <w:lang w:val="en-US"/>
        </w:rPr>
        <w:t xml:space="preserve"> larvae have a seizure-like phenotype and tried to show the same for </w:t>
      </w:r>
      <w:r>
        <w:rPr>
          <w:rFonts w:cs="Arial" w:ascii="Arial" w:hAnsi="Arial"/>
          <w:b/>
          <w:bCs/>
          <w:i/>
          <w:iCs/>
          <w:sz w:val="20"/>
          <w:szCs w:val="20"/>
          <w:lang w:val="en-GB"/>
        </w:rPr>
        <w:t>tau</w:t>
      </w:r>
      <w:r>
        <w:rPr>
          <w:rFonts w:cs="Arial" w:ascii="Arial" w:hAnsi="Arial"/>
          <w:b/>
          <w:bCs/>
          <w:i/>
          <w:iCs/>
          <w:sz w:val="20"/>
          <w:szCs w:val="20"/>
          <w:vertAlign w:val="superscript"/>
          <w:lang w:val="en-GB"/>
        </w:rPr>
        <w:t>def/def</w:t>
      </w:r>
      <w:r>
        <w:rPr>
          <w:rFonts w:cs="Arial" w:ascii="Arial" w:hAnsi="Arial"/>
          <w:bCs/>
          <w:sz w:val="20"/>
          <w:szCs w:val="20"/>
          <w:lang w:val="en-US"/>
        </w:rPr>
        <w:t xml:space="preserve">.  However, I found that </w:t>
      </w:r>
      <w:r>
        <w:rPr>
          <w:rFonts w:cs="Arial" w:ascii="Arial" w:hAnsi="Arial"/>
          <w:b/>
          <w:bCs/>
          <w:i/>
          <w:iCs/>
          <w:sz w:val="20"/>
          <w:szCs w:val="20"/>
          <w:lang w:val="en-GB"/>
        </w:rPr>
        <w:t>tau</w:t>
      </w:r>
      <w:r>
        <w:rPr>
          <w:rFonts w:cs="Arial" w:ascii="Arial" w:hAnsi="Arial"/>
          <w:b/>
          <w:bCs/>
          <w:i/>
          <w:iCs/>
          <w:sz w:val="20"/>
          <w:szCs w:val="20"/>
          <w:vertAlign w:val="superscript"/>
          <w:lang w:val="en-GB"/>
        </w:rPr>
        <w:t>def</w:t>
      </w:r>
      <w:r>
        <w:rPr>
          <w:rFonts w:cs="Arial" w:ascii="Arial" w:hAnsi="Arial"/>
          <w:b/>
          <w:bCs/>
          <w:i/>
          <w:iCs/>
          <w:sz w:val="20"/>
          <w:szCs w:val="20"/>
          <w:lang w:val="en-GB"/>
        </w:rPr>
        <w:t>/tau</w:t>
      </w:r>
      <w:r>
        <w:rPr>
          <w:rFonts w:cs="Arial" w:ascii="Arial" w:hAnsi="Arial"/>
          <w:b/>
          <w:bCs/>
          <w:i/>
          <w:iCs/>
          <w:sz w:val="20"/>
          <w:szCs w:val="20"/>
          <w:vertAlign w:val="superscript"/>
          <w:lang w:val="en-GB"/>
        </w:rPr>
        <w:t>def</w:t>
      </w:r>
      <w:r>
        <w:rPr>
          <w:rFonts w:cs="Arial" w:ascii="Arial" w:hAnsi="Arial"/>
          <w:bCs/>
          <w:i/>
          <w:iCs/>
          <w:sz w:val="20"/>
          <w:szCs w:val="20"/>
          <w:lang w:val="en-GB"/>
        </w:rPr>
        <w:t xml:space="preserve"> </w:t>
      </w:r>
      <w:r>
        <w:rPr>
          <w:rFonts w:cs="Arial" w:ascii="Arial" w:hAnsi="Arial"/>
          <w:bCs/>
          <w:sz w:val="20"/>
          <w:szCs w:val="20"/>
          <w:lang w:val="en-GB"/>
        </w:rPr>
        <w:t xml:space="preserve">larvae are lethal and I could therefore not test this hypothesis. </w:t>
      </w:r>
      <w:r>
        <w:rPr>
          <w:rFonts w:cs="Arial" w:ascii="Arial" w:hAnsi="Arial"/>
          <w:bCs/>
          <w:sz w:val="20"/>
          <w:szCs w:val="20"/>
          <w:lang w:val="en-US"/>
        </w:rPr>
        <w:t xml:space="preserve">According to some researches in FlyBase data base, </w:t>
      </w:r>
      <w:r>
        <w:rPr>
          <w:rFonts w:cs="Arial" w:ascii="Arial" w:hAnsi="Arial"/>
          <w:bCs/>
          <w:sz w:val="20"/>
          <w:szCs w:val="20"/>
          <w:lang w:val="en-GB"/>
        </w:rPr>
        <w:t>Tau</w:t>
      </w:r>
      <w:r>
        <w:rPr>
          <w:rFonts w:cs="Arial" w:ascii="Arial" w:hAnsi="Arial"/>
          <w:bCs/>
          <w:sz w:val="20"/>
          <w:szCs w:val="20"/>
          <w:vertAlign w:val="superscript"/>
          <w:lang w:val="en-GB"/>
        </w:rPr>
        <w:t>def</w:t>
      </w:r>
      <w:r>
        <w:rPr>
          <w:rFonts w:cs="Arial" w:ascii="Arial" w:hAnsi="Arial"/>
          <w:bCs/>
          <w:sz w:val="20"/>
          <w:szCs w:val="20"/>
          <w:lang w:val="en-GB"/>
        </w:rPr>
        <w:t xml:space="preserve"> </w:t>
      </w:r>
      <w:r>
        <w:rPr>
          <w:rFonts w:cs="Arial" w:ascii="Arial" w:hAnsi="Arial"/>
          <w:bCs/>
          <w:sz w:val="20"/>
          <w:szCs w:val="20"/>
          <w:lang w:val="en-US"/>
        </w:rPr>
        <w:t xml:space="preserve">(MR22) </w:t>
      </w:r>
      <w:r>
        <w:rPr>
          <w:rFonts w:cs="Arial" w:ascii="Arial" w:hAnsi="Arial"/>
          <w:bCs/>
          <w:sz w:val="20"/>
          <w:szCs w:val="20"/>
          <w:lang w:val="en-GB"/>
        </w:rPr>
        <w:t xml:space="preserve">uncovers apart from </w:t>
      </w:r>
      <w:r>
        <w:rPr>
          <w:rFonts w:cs="Arial" w:ascii="Arial" w:hAnsi="Arial"/>
          <w:b/>
          <w:bCs/>
          <w:i/>
          <w:sz w:val="20"/>
          <w:szCs w:val="20"/>
          <w:lang w:val="en-GB"/>
        </w:rPr>
        <w:t>tau</w:t>
      </w:r>
      <w:r>
        <w:rPr>
          <w:rFonts w:cs="Arial" w:ascii="Arial" w:hAnsi="Arial"/>
          <w:bCs/>
          <w:sz w:val="20"/>
          <w:szCs w:val="20"/>
          <w:lang w:val="en-GB"/>
        </w:rPr>
        <w:t xml:space="preserve"> eleven other genes that are eliminated and lethality could be due to loss of one of these genes. </w:t>
      </w:r>
      <w:r>
        <w:rPr>
          <w:rFonts w:cs="Arial" w:ascii="Arial" w:hAnsi="Arial"/>
          <w:bCs/>
          <w:sz w:val="20"/>
          <w:szCs w:val="20"/>
          <w:lang w:val="en-US"/>
        </w:rPr>
        <w:t xml:space="preserve">Three of them can show lethality in homozygosity: </w:t>
      </w:r>
      <w:r>
        <w:rPr>
          <w:rFonts w:cs="Arial" w:ascii="Arial" w:hAnsi="Arial"/>
          <w:b/>
          <w:bCs/>
          <w:i/>
          <w:sz w:val="20"/>
          <w:szCs w:val="20"/>
          <w:lang w:val="en-US"/>
        </w:rPr>
        <w:t>Pins</w:t>
      </w:r>
      <w:r>
        <w:rPr>
          <w:rFonts w:cs="Arial" w:ascii="Arial" w:hAnsi="Arial"/>
          <w:bCs/>
          <w:i/>
          <w:sz w:val="20"/>
          <w:szCs w:val="20"/>
          <w:lang w:val="en-US"/>
        </w:rPr>
        <w:t xml:space="preserve"> </w:t>
      </w:r>
      <w:r>
        <w:rPr>
          <w:rFonts w:cs="Arial" w:ascii="Arial" w:hAnsi="Arial"/>
          <w:bCs/>
          <w:sz w:val="20"/>
          <w:szCs w:val="20"/>
          <w:lang w:val="en-US"/>
        </w:rPr>
        <w:t xml:space="preserve">gene is important for </w:t>
      </w:r>
      <w:r>
        <w:rPr>
          <w:rFonts w:cs="Arial" w:ascii="Arial" w:hAnsi="Arial"/>
          <w:bCs/>
          <w:i/>
          <w:sz w:val="20"/>
          <w:szCs w:val="20"/>
          <w:lang w:val="en-US"/>
        </w:rPr>
        <w:t xml:space="preserve">Drosophila </w:t>
      </w:r>
      <w:r>
        <w:rPr>
          <w:rFonts w:cs="Arial" w:ascii="Arial" w:hAnsi="Arial"/>
          <w:bCs/>
          <w:sz w:val="20"/>
          <w:szCs w:val="20"/>
          <w:lang w:val="en-US"/>
        </w:rPr>
        <w:t xml:space="preserve">cell cycle, proliferation, cell organisation, development and other mechanisms. Homozygous mutations can be lethal just before the end of pupal stage. </w:t>
      </w:r>
      <w:r>
        <w:rPr>
          <w:rFonts w:cs="Arial" w:ascii="Arial" w:hAnsi="Arial"/>
          <w:b/>
          <w:bCs/>
          <w:i/>
          <w:sz w:val="20"/>
          <w:szCs w:val="20"/>
          <w:lang w:val="en-US"/>
        </w:rPr>
        <w:t>Rps10a</w:t>
      </w:r>
      <w:r>
        <w:rPr>
          <w:rFonts w:cs="Arial" w:ascii="Arial" w:hAnsi="Arial"/>
          <w:bCs/>
          <w:i/>
          <w:sz w:val="20"/>
          <w:szCs w:val="20"/>
          <w:lang w:val="en-US"/>
        </w:rPr>
        <w:t xml:space="preserve"> </w:t>
      </w:r>
      <w:r>
        <w:rPr>
          <w:rFonts w:cs="Arial" w:ascii="Arial" w:hAnsi="Arial"/>
          <w:bCs/>
          <w:sz w:val="20"/>
          <w:szCs w:val="20"/>
          <w:lang w:val="en-US"/>
        </w:rPr>
        <w:t xml:space="preserve">gene encoding a cytoplasmic small ribosomal protein and show lethality if homozygous mutations. </w:t>
      </w:r>
      <w:r>
        <w:rPr>
          <w:rFonts w:cs="Arial" w:ascii="Arial" w:hAnsi="Arial"/>
          <w:b/>
          <w:bCs/>
          <w:i/>
          <w:sz w:val="20"/>
          <w:szCs w:val="20"/>
          <w:lang w:val="en-US"/>
        </w:rPr>
        <w:t>WDB</w:t>
      </w:r>
      <w:r>
        <w:rPr>
          <w:rFonts w:cs="Arial" w:ascii="Arial" w:hAnsi="Arial"/>
          <w:b/>
          <w:bCs/>
          <w:i/>
          <w:sz w:val="20"/>
          <w:szCs w:val="20"/>
          <w:vertAlign w:val="superscript"/>
          <w:lang w:val="en-US"/>
        </w:rPr>
        <w:t>19</w:t>
      </w:r>
      <w:r>
        <w:rPr>
          <w:rFonts w:cs="Arial" w:ascii="Arial" w:hAnsi="Arial"/>
          <w:bCs/>
          <w:sz w:val="20"/>
          <w:szCs w:val="20"/>
          <w:lang w:val="en-US"/>
        </w:rPr>
        <w:t xml:space="preserve">, is recessive lethal and is a protein phosphatase activator  and determines the adult lifespan (FlyBase, 2019).  </w:t>
      </w:r>
    </w:p>
    <w:p>
      <w:pPr>
        <w:pStyle w:val="ListParagraph"/>
        <w:numPr>
          <w:ilvl w:val="1"/>
          <w:numId w:val="2"/>
        </w:numPr>
        <w:spacing w:before="120" w:after="0"/>
        <w:contextualSpacing/>
        <w:jc w:val="both"/>
        <w:rPr>
          <w:rFonts w:ascii="Arial" w:hAnsi="Arial" w:cs="Arial"/>
          <w:sz w:val="20"/>
          <w:szCs w:val="20"/>
          <w:u w:val="single"/>
          <w:lang w:val="en-GB"/>
        </w:rPr>
      </w:pPr>
      <w:r>
        <w:rPr>
          <w:rFonts w:cs="Arial" w:ascii="Arial" w:hAnsi="Arial"/>
          <w:sz w:val="20"/>
          <w:szCs w:val="20"/>
          <w:u w:val="single"/>
          <w:lang w:val="en-GB"/>
        </w:rPr>
        <w:t>Genetic interaction between proteins implicated in MTs organisation and the GABA</w:t>
      </w:r>
      <w:r>
        <w:rPr>
          <w:rFonts w:cs="Arial" w:ascii="Arial" w:hAnsi="Arial"/>
          <w:sz w:val="20"/>
          <w:szCs w:val="20"/>
          <w:u w:val="single"/>
          <w:vertAlign w:val="subscript"/>
          <w:lang w:val="en-GB"/>
        </w:rPr>
        <w:t>A</w:t>
      </w:r>
      <w:r>
        <w:rPr>
          <w:rFonts w:cs="Arial" w:ascii="Arial" w:hAnsi="Arial"/>
          <w:sz w:val="20"/>
          <w:szCs w:val="20"/>
          <w:u w:val="single"/>
          <w:lang w:val="en-GB"/>
        </w:rPr>
        <w:t xml:space="preserve"> receptor. </w:t>
      </w:r>
    </w:p>
    <w:p>
      <w:pPr>
        <w:pStyle w:val="Normal"/>
        <w:spacing w:lineRule="auto" w:line="360" w:before="120" w:after="0"/>
        <w:jc w:val="both"/>
        <w:rPr>
          <w:rFonts w:ascii="Arial" w:hAnsi="Arial" w:cs="Arial"/>
          <w:sz w:val="20"/>
          <w:szCs w:val="20"/>
          <w:lang w:val="en-GB"/>
        </w:rPr>
      </w:pPr>
      <w:r>
        <w:rPr>
          <w:rFonts w:cs="Arial" w:ascii="Arial" w:hAnsi="Arial"/>
          <w:sz w:val="20"/>
          <w:szCs w:val="20"/>
          <w:lang w:val="en-GB"/>
        </w:rPr>
        <w:t>As explained previously, my aim is to test whether the GABA</w:t>
      </w:r>
      <w:r>
        <w:rPr>
          <w:rFonts w:cs="Arial" w:ascii="Arial" w:hAnsi="Arial"/>
          <w:sz w:val="20"/>
          <w:szCs w:val="20"/>
          <w:vertAlign w:val="subscript"/>
          <w:lang w:val="en-GB"/>
        </w:rPr>
        <w:t>A</w:t>
      </w:r>
      <w:r>
        <w:rPr>
          <w:rFonts w:cs="Arial" w:ascii="Arial" w:hAnsi="Arial"/>
          <w:sz w:val="20"/>
          <w:szCs w:val="20"/>
          <w:lang w:val="en-GB"/>
        </w:rPr>
        <w:t xml:space="preserve">-R localisation is impaired in presence of mutations affecting genes important for MT organisation.  </w:t>
      </w:r>
    </w:p>
    <w:p>
      <w:pPr>
        <w:pStyle w:val="Normal"/>
        <w:spacing w:lineRule="auto" w:line="360" w:before="120" w:after="0"/>
        <w:jc w:val="both"/>
        <w:rPr/>
      </w:pPr>
      <w:r>
        <w:rPr>
          <w:rFonts w:cs="Arial" w:ascii="Arial" w:hAnsi="Arial"/>
          <w:b/>
          <w:i/>
          <w:sz w:val="20"/>
          <w:szCs w:val="20"/>
          <w:lang w:val="en-GB"/>
        </w:rPr>
        <w:t xml:space="preserve">Rdl </w:t>
      </w:r>
      <w:r>
        <w:rPr>
          <w:rFonts w:cs="Arial" w:ascii="Arial" w:hAnsi="Arial"/>
          <w:i/>
          <w:sz w:val="20"/>
          <w:szCs w:val="20"/>
          <w:lang w:val="en-GB"/>
        </w:rPr>
        <w:t>(Resistant to Dieldrin)</w:t>
      </w:r>
      <w:r>
        <w:rPr>
          <w:rFonts w:cs="Arial" w:ascii="Arial" w:hAnsi="Arial"/>
          <w:sz w:val="20"/>
          <w:szCs w:val="20"/>
          <w:lang w:val="en-GB"/>
        </w:rPr>
        <w:t xml:space="preserve"> gene belongs to the group of </w:t>
      </w:r>
      <w:r>
        <w:rPr>
          <w:rFonts w:cs="Arial" w:ascii="Arial" w:hAnsi="Arial"/>
          <w:b/>
          <w:sz w:val="20"/>
          <w:szCs w:val="20"/>
          <w:lang w:val="en-GB"/>
        </w:rPr>
        <w:t xml:space="preserve">GABA-gated Chloride channel subunits and are widely expressed in </w:t>
      </w:r>
      <w:r>
        <w:rPr>
          <w:rFonts w:cs="Arial" w:ascii="Arial" w:hAnsi="Arial"/>
          <w:i/>
          <w:sz w:val="20"/>
          <w:szCs w:val="20"/>
          <w:lang w:val="en-GB"/>
        </w:rPr>
        <w:t>Drosophila</w:t>
      </w:r>
      <w:r>
        <w:rPr>
          <w:rFonts w:cs="Arial" w:ascii="Arial" w:hAnsi="Arial"/>
          <w:b/>
          <w:sz w:val="20"/>
          <w:szCs w:val="20"/>
          <w:lang w:val="en-GB"/>
        </w:rPr>
        <w:t xml:space="preserve"> </w:t>
      </w:r>
      <w:r>
        <w:rPr>
          <w:rFonts w:cs="Arial" w:ascii="Arial" w:hAnsi="Arial"/>
          <w:sz w:val="20"/>
          <w:szCs w:val="20"/>
          <w:lang w:val="en-GB"/>
        </w:rPr>
        <w:t xml:space="preserve">CNS </w:t>
      </w:r>
      <w:r>
        <w:fldChar w:fldCharType="begin"/>
      </w:r>
      <w:r>
        <w:rPr/>
        <w:instrText>ADDIN EN.CITE &lt;EndNote&gt;&lt;Cite&gt;&lt;Author&gt;McGonigle&lt;/Author&gt;&lt;Year&gt;2009&lt;/Year&gt;&lt;RecNum&gt;35&lt;/RecNum&gt;&lt;DisplayText&gt;(Mcgonigle and Lummis, 2009)&lt;/DisplayText&gt;&lt;record&gt;&lt;rec-number&gt;35&lt;/rec-number&gt;&lt;foreign-keys&gt;&lt;key app="EN" db-id="vedta2ppje59fceprax5xvwqzxt2awx0xd99"&gt;35&lt;/key&gt;&lt;/foreign-keys&gt;&lt;ref-type name="Journal Article"&gt;17&lt;/ref-type&gt;&lt;contributors&gt;&lt;authors&gt;&lt;author&gt;McGonigle, I.&lt;/author&gt;&lt;author&gt;Lummis, S. C.&lt;/author&gt;&lt;/authors&gt;&lt;/contributors&gt;&lt;auth-address&gt;Department of Biochemistry, University of Cambridge, Cambridge CB2 1QW, UK.&lt;/auth-address&gt;&lt;titles&gt;&lt;title&gt;RDL receptors&lt;/title&gt;&lt;secondary-title&gt;Biochem Soc Trans&lt;/secondary-title&gt;&lt;/titles&gt;&lt;periodical&gt;&lt;full-title&gt;Biochem Soc Trans&lt;/full-title&gt;&lt;/periodical&gt;&lt;pages&gt;1404-6&lt;/pages&gt;&lt;volume&gt;37&lt;/volume&gt;&lt;number&gt;Pt 6&lt;/number&gt;&lt;edition&gt;2009/11/17&lt;/edition&gt;&lt;keywords&gt;&lt;keyword&gt;Amino Acid Sequence&lt;/keyword&gt;&lt;keyword&gt;Animals&lt;/keyword&gt;&lt;keyword&gt;Binding Sites&lt;/keyword&gt;&lt;keyword&gt;Drosophila Proteins/chemistry/genetics/*metabolism&lt;/keyword&gt;&lt;keyword&gt;Drosophila melanogaster&lt;/keyword&gt;&lt;keyword&gt;Insect Proteins/genetics/metabolism&lt;/keyword&gt;&lt;keyword&gt;Insecticide Resistance/physiology&lt;/keyword&gt;&lt;keyword&gt;Models, Molecular&lt;/keyword&gt;&lt;keyword&gt;Molecular Sequence Data&lt;/keyword&gt;&lt;keyword&gt;Molecular Structure&lt;/keyword&gt;&lt;keyword&gt;Protein Conformation&lt;/keyword&gt;&lt;keyword&gt;Receptors, GABA-A/chemistry/genetics/*metabolism&lt;/keyword&gt;&lt;keyword&gt;gamma-Aminobutyric Acid/analogs &amp;amp; derivatives/metabolism&lt;/keyword&gt;&lt;/keywords&gt;&lt;dates&gt;&lt;year&gt;2009&lt;/year&gt;&lt;pub-dates&gt;&lt;date&gt;Dec&lt;/date&gt;&lt;/pub-dates&gt;&lt;/dates&gt;&lt;isbn&gt;1470-8752 (Electronic)&amp;#xD;0300-5127 (Linking)&lt;/isbn&gt;&lt;accession-num&gt;19909285&lt;/accession-num&gt;&lt;urls&gt;&lt;related-urls&gt;&lt;url&gt;http://www.ncbi.nlm.nih.gov/pubmed/19909285&lt;/url&gt;&lt;/related-urls&gt;&lt;/urls&gt;&lt;electronic-resource-num&gt;10.1042/BST0371404&amp;#xD;BST0371404 [pii]&lt;/electronic-resource-num&gt;&lt;language&gt;eng&lt;/language&gt;&lt;/record&gt;&lt;/Cite&gt;&lt;/EndNote&gt;</w:instrText>
      </w:r>
      <w:r>
        <w:rPr/>
        <w:fldChar w:fldCharType="separate"/>
      </w:r>
      <w:bookmarkStart w:id="104" w:name="__Fieldmark__3057_4090835577"/>
      <w:r>
        <w:rPr/>
      </w:r>
      <w:r>
        <w:rPr>
          <w:rFonts w:cs="Arial" w:ascii="Arial" w:hAnsi="Arial"/>
          <w:sz w:val="20"/>
          <w:szCs w:val="20"/>
          <w:lang w:val="en-GB"/>
        </w:rPr>
        <w:t>(Mcgonigle and Lummis, 2009)</w:t>
      </w:r>
      <w:r>
        <w:rPr/>
      </w:r>
      <w:r>
        <w:rPr/>
        <w:fldChar w:fldCharType="end"/>
      </w:r>
      <w:hyperlink w:anchor="_ENREF_46" w:tgtFrame="McGonigle, 2009 #35">
        <w:bookmarkEnd w:id="104"/>
        <w:r>
          <w:rPr>
            <w:rFonts w:cs="Arial" w:ascii="Arial" w:hAnsi="Arial"/>
            <w:sz w:val="20"/>
            <w:szCs w:val="20"/>
            <w:lang w:val="en-GB"/>
          </w:rPr>
          <w:t>. Is a gene coding to a specific protein called GABA</w:t>
        </w:r>
      </w:hyperlink>
      <w:r>
        <w:rPr>
          <w:rFonts w:cs="Arial" w:ascii="Arial" w:hAnsi="Arial"/>
          <w:sz w:val="20"/>
          <w:szCs w:val="20"/>
          <w:vertAlign w:val="subscript"/>
          <w:lang w:val="en-GB"/>
        </w:rPr>
        <w:t>A</w:t>
      </w:r>
      <w:r>
        <w:rPr>
          <w:rFonts w:cs="Arial" w:ascii="Arial" w:hAnsi="Arial"/>
          <w:sz w:val="20"/>
          <w:szCs w:val="20"/>
          <w:lang w:val="en-GB"/>
        </w:rPr>
        <w:t xml:space="preserve"> receptor. Rdl is crucial in the mediation of synaptic inhibition and regulates cellular excitability. In the case of insects, GABA is the principal neurotransmitter and when binding to Rdl, it leads to the opening of a specific pore allowing the passage of chloride anions leading to hyperpolarization and decrease excitability </w:t>
      </w:r>
      <w:r>
        <w:fldChar w:fldCharType="begin"/>
      </w:r>
      <w:r>
        <w:rPr/>
        <w:instrText>ADDIN EN.CITE &lt;EndNote&gt;&lt;Cite&gt;&lt;Author&gt;Galanopoulou&lt;/Author&gt;&lt;Year&gt;2008&lt;/Year&gt;&lt;RecNum&gt;109&lt;/RecNum&gt;&lt;DisplayText&gt;(Galanopoulou, 2008)&lt;/DisplayText&gt;&lt;record&gt;&lt;rec-number&gt;109&lt;/rec-number&gt;&lt;foreign-keys&gt;&lt;key app="EN" db-id="vedta2ppje59fceprax5xvwqzxt2awx0xd99"&gt;109&lt;/key&gt;&lt;/foreign-keys&gt;&lt;ref-type name="Journal Article"&gt;17&lt;/ref-type&gt;&lt;contributors&gt;&lt;authors&gt;&lt;author&gt;Galanopoulou, A. S.&lt;/author&gt;&lt;/authors&gt;&lt;/contributors&gt;&lt;auth-address&gt;Albert Einstein College of Medicine, Saul R Korey Department of Neurology &amp;amp; Dominick P Purpura, Department of Neuroscience, Bronx NY, USA. agalan@aecom.yu.edu&lt;/auth-address&gt;&lt;titles&gt;&lt;title&gt;GABA(A) receptors in normal development and seizures: friends or foes?&lt;/title&gt;&lt;secondary-title&gt;Curr Neuropharmacol&lt;/secondary-title&gt;&lt;/titles&gt;&lt;periodical&gt;&lt;full-title&gt;Curr Neuropharmacol&lt;/full-title&gt;&lt;/periodical&gt;&lt;pages&gt;1-20&lt;/pages&gt;&lt;volume&gt;6&lt;/volume&gt;&lt;number&gt;1&lt;/number&gt;&lt;edition&gt;2009/03/24&lt;/edition&gt;&lt;dates&gt;&lt;year&gt;2008&lt;/year&gt;&lt;pub-dates&gt;&lt;date&gt;Mar&lt;/date&gt;&lt;/pub-dates&gt;&lt;/dates&gt;&lt;isbn&gt;1570-159X (Print)&amp;#xD;1570-159X (Linking)&lt;/isbn&gt;&lt;accession-num&gt;19305785&lt;/accession-num&gt;&lt;urls&gt;&lt;related-urls&gt;&lt;url&gt;http://www.ncbi.nlm.nih.gov/pubmed/19305785&lt;/url&gt;&lt;/related-urls&gt;&lt;/urls&gt;&lt;custom2&gt;2645547&lt;/custom2&gt;&lt;electronic-resource-num&gt;10.2174/157015908783769653&lt;/electronic-resource-num&gt;&lt;language&gt;eng&lt;/language&gt;&lt;/record&gt;&lt;/Cite&gt;&lt;/EndNote&gt;</w:instrText>
      </w:r>
      <w:r>
        <w:rPr/>
        <w:fldChar w:fldCharType="separate"/>
      </w:r>
      <w:bookmarkStart w:id="105" w:name="__Fieldmark__3069_4090835577"/>
      <w:r>
        <w:rPr/>
      </w:r>
      <w:r>
        <w:rPr>
          <w:rFonts w:cs="Arial" w:ascii="Arial" w:hAnsi="Arial"/>
          <w:sz w:val="20"/>
          <w:szCs w:val="20"/>
          <w:lang w:val="en-GB"/>
        </w:rPr>
        <w:t>(Galanopoulou, 2008)</w:t>
      </w:r>
      <w:r>
        <w:rPr/>
      </w:r>
      <w:r>
        <w:rPr/>
        <w:fldChar w:fldCharType="end"/>
      </w:r>
      <w:hyperlink w:anchor="_ENREF_18" w:tgtFrame="Galanopoulou, 2008 #109">
        <w:bookmarkEnd w:id="105"/>
        <w:r>
          <w:rPr>
            <w:rFonts w:cs="Arial" w:ascii="Arial" w:hAnsi="Arial"/>
            <w:sz w:val="20"/>
            <w:szCs w:val="20"/>
            <w:lang w:val="en-GB"/>
          </w:rPr>
          <w:t xml:space="preserve"> This experiment suggests that when mutated, the Rdl protein expression decreases and neuronal transmission cannot be controlled and reduced anymore, leading to seizure-like behaviour when electroshock stimulations. </w:t>
        </w:r>
      </w:hyperlink>
    </w:p>
    <w:p>
      <w:pPr>
        <w:pStyle w:val="Normal"/>
        <w:spacing w:lineRule="auto" w:line="360" w:before="120" w:after="0"/>
        <w:jc w:val="both"/>
        <w:rPr>
          <w:rFonts w:ascii="Arial" w:hAnsi="Arial" w:cs="Arial"/>
          <w:sz w:val="20"/>
          <w:szCs w:val="20"/>
          <w:lang w:val="en-GB"/>
        </w:rPr>
      </w:pPr>
      <w:r>
        <w:rPr>
          <w:rFonts w:cs="Arial" w:ascii="Arial" w:hAnsi="Arial"/>
          <w:sz w:val="20"/>
          <w:szCs w:val="20"/>
          <w:lang w:val="en-GB"/>
        </w:rPr>
        <w:t>I found that Rdl</w:t>
      </w:r>
      <w:r>
        <w:rPr>
          <w:rFonts w:cs="Arial" w:ascii="Arial" w:hAnsi="Arial"/>
          <w:sz w:val="20"/>
          <w:szCs w:val="20"/>
          <w:vertAlign w:val="superscript"/>
          <w:lang w:val="en-GB"/>
        </w:rPr>
        <w:t>1/+</w:t>
      </w:r>
      <w:r>
        <w:rPr>
          <w:rFonts w:cs="Arial" w:ascii="Arial" w:hAnsi="Arial"/>
          <w:sz w:val="20"/>
          <w:szCs w:val="20"/>
          <w:lang w:val="en-GB"/>
        </w:rPr>
        <w:t xml:space="preserve"> mutants display a seizure-like phenotype; their T</w:t>
      </w:r>
      <w:r>
        <w:rPr>
          <w:rFonts w:cs="Arial" w:ascii="Arial" w:hAnsi="Arial"/>
          <w:sz w:val="20"/>
          <w:szCs w:val="20"/>
          <w:vertAlign w:val="subscript"/>
          <w:lang w:val="en-GB"/>
        </w:rPr>
        <w:t>Rec</w:t>
      </w:r>
      <w:r>
        <w:rPr>
          <w:rFonts w:cs="Arial" w:ascii="Arial" w:hAnsi="Arial"/>
          <w:sz w:val="20"/>
          <w:szCs w:val="20"/>
          <w:lang w:val="en-GB"/>
        </w:rPr>
        <w:t xml:space="preserve"> is enhanced by ~</w:t>
      </w:r>
      <w:r>
        <w:rPr>
          <w:rFonts w:cs="Arial" w:ascii="Arial" w:hAnsi="Arial"/>
          <w:b/>
          <w:sz w:val="20"/>
          <w:szCs w:val="20"/>
          <w:lang w:val="en-GB"/>
        </w:rPr>
        <w:t>63.4</w:t>
      </w:r>
      <w:r>
        <w:rPr>
          <w:rFonts w:cs="Arial" w:ascii="Arial" w:hAnsi="Arial"/>
          <w:sz w:val="20"/>
          <w:szCs w:val="20"/>
          <w:lang w:val="en-GB"/>
        </w:rPr>
        <w:t xml:space="preserve">% compare to wild-type larvae. Additionally, </w:t>
      </w:r>
      <w:r>
        <w:rPr>
          <w:rFonts w:cs="Arial" w:ascii="Arial" w:hAnsi="Arial"/>
          <w:b/>
          <w:i/>
          <w:sz w:val="20"/>
          <w:szCs w:val="20"/>
          <w:lang w:val="en-GB"/>
        </w:rPr>
        <w:t>msps/+</w:t>
      </w:r>
      <w:r>
        <w:rPr>
          <w:rFonts w:cs="Arial" w:ascii="Arial" w:hAnsi="Arial"/>
          <w:b/>
          <w:i/>
          <w:sz w:val="20"/>
          <w:szCs w:val="20"/>
          <w:vertAlign w:val="superscript"/>
          <w:lang w:val="en-GB"/>
        </w:rPr>
        <w:t>-</w:t>
      </w:r>
      <w:r>
        <w:rPr>
          <w:rFonts w:cs="Arial" w:ascii="Arial" w:hAnsi="Arial"/>
          <w:b/>
          <w:i/>
          <w:sz w:val="20"/>
          <w:szCs w:val="20"/>
          <w:lang w:val="en-GB"/>
        </w:rPr>
        <w:t>, tau</w:t>
      </w:r>
      <w:r>
        <w:rPr>
          <w:rFonts w:cs="Arial" w:ascii="Arial" w:hAnsi="Arial"/>
          <w:b/>
          <w:i/>
          <w:sz w:val="20"/>
          <w:szCs w:val="20"/>
          <w:vertAlign w:val="superscript"/>
          <w:lang w:val="en-GB"/>
        </w:rPr>
        <w:t>ko/+</w:t>
      </w:r>
      <w:r>
        <w:rPr>
          <w:rFonts w:cs="Arial" w:ascii="Arial" w:hAnsi="Arial"/>
          <w:sz w:val="20"/>
          <w:szCs w:val="20"/>
          <w:lang w:val="en-GB"/>
        </w:rPr>
        <w:t xml:space="preserve"> larvae has a more severe seizure-like phenotype compare to Rdl</w:t>
      </w:r>
      <w:r>
        <w:rPr>
          <w:rFonts w:cs="Arial" w:ascii="Arial" w:hAnsi="Arial"/>
          <w:sz w:val="20"/>
          <w:szCs w:val="20"/>
          <w:vertAlign w:val="superscript"/>
          <w:lang w:val="en-GB"/>
        </w:rPr>
        <w:t>1/+</w:t>
      </w:r>
      <w:r>
        <w:rPr>
          <w:rFonts w:cs="Arial" w:ascii="Arial" w:hAnsi="Arial"/>
          <w:sz w:val="20"/>
          <w:szCs w:val="20"/>
          <w:lang w:val="en-GB"/>
        </w:rPr>
        <w:t xml:space="preserve"> mutants by ~</w:t>
      </w:r>
      <w:r>
        <w:rPr>
          <w:rFonts w:cs="Arial" w:ascii="Arial" w:hAnsi="Arial"/>
          <w:b/>
          <w:sz w:val="20"/>
          <w:szCs w:val="20"/>
          <w:lang w:val="en-GB"/>
        </w:rPr>
        <w:t>28.7</w:t>
      </w:r>
      <w:r>
        <w:rPr>
          <w:rFonts w:cs="Arial" w:ascii="Arial" w:hAnsi="Arial"/>
          <w:sz w:val="20"/>
          <w:szCs w:val="20"/>
          <w:lang w:val="en-GB"/>
        </w:rPr>
        <w:t xml:space="preserve">% (Fig.11). </w:t>
      </w:r>
    </w:p>
    <w:p>
      <w:pPr>
        <w:pStyle w:val="Normal"/>
        <w:spacing w:lineRule="auto" w:line="360" w:before="120" w:after="0"/>
        <w:jc w:val="both"/>
        <w:rPr>
          <w:rFonts w:ascii="Arial" w:hAnsi="Arial" w:cs="Arial"/>
          <w:sz w:val="20"/>
          <w:szCs w:val="20"/>
          <w:lang w:val="en-GB"/>
        </w:rPr>
      </w:pPr>
      <w:r>
        <w:rPr>
          <w:rFonts w:cs="Arial" w:ascii="Arial" w:hAnsi="Arial"/>
          <w:sz w:val="20"/>
          <w:szCs w:val="20"/>
          <w:lang w:val="en-GB"/>
        </w:rPr>
        <w:drawing>
          <wp:anchor behindDoc="0" distT="0" distB="8255" distL="114300" distR="114300" simplePos="0" locked="0" layoutInCell="1" allowOverlap="1" relativeHeight="12">
            <wp:simplePos x="0" y="0"/>
            <wp:positionH relativeFrom="margin">
              <wp:posOffset>9525</wp:posOffset>
            </wp:positionH>
            <wp:positionV relativeFrom="paragraph">
              <wp:posOffset>86360</wp:posOffset>
            </wp:positionV>
            <wp:extent cx="2520315" cy="2221230"/>
            <wp:effectExtent l="0" t="0" r="0" b="0"/>
            <wp:wrapTight wrapText="bothSides">
              <wp:wrapPolygon edited="0">
                <wp:start x="-26" y="0"/>
                <wp:lineTo x="-26" y="21469"/>
                <wp:lineTo x="21390" y="21469"/>
                <wp:lineTo x="21390" y="0"/>
                <wp:lineTo x="-26" y="0"/>
              </wp:wrapPolygon>
            </wp:wrapTight>
            <wp:docPr id="13" name="Imagem 29" descr="Uma imagem com objeto, relógio&#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29" descr="Uma imagem com objeto, relógio&#10;&#10;Descrição gerada com confiança muito alta"/>
                    <pic:cNvPicPr>
                      <a:picLocks noChangeAspect="1" noChangeArrowheads="1"/>
                    </pic:cNvPicPr>
                  </pic:nvPicPr>
                  <pic:blipFill>
                    <a:blip r:embed="rId14"/>
                    <a:stretch>
                      <a:fillRect/>
                    </a:stretch>
                  </pic:blipFill>
                  <pic:spPr bwMode="auto">
                    <a:xfrm>
                      <a:off x="0" y="0"/>
                      <a:ext cx="2520315" cy="2221230"/>
                    </a:xfrm>
                    <a:prstGeom prst="rect">
                      <a:avLst/>
                    </a:prstGeom>
                  </pic:spPr>
                </pic:pic>
              </a:graphicData>
            </a:graphic>
          </wp:anchor>
        </w:drawing>
      </w:r>
    </w:p>
    <w:p>
      <w:pPr>
        <w:pStyle w:val="Normal"/>
        <w:spacing w:lineRule="auto" w:line="360" w:before="120" w:after="0"/>
        <w:jc w:val="both"/>
        <w:rPr>
          <w:rFonts w:ascii="Arial" w:hAnsi="Arial" w:cs="Arial"/>
          <w:b/>
          <w:b/>
          <w:sz w:val="18"/>
          <w:szCs w:val="18"/>
          <w:lang w:val="en-GB"/>
        </w:rPr>
      </w:pPr>
      <w:r>
        <w:rPr>
          <w:rFonts w:cs="Arial" w:ascii="Arial" w:hAnsi="Arial"/>
          <w:b/>
          <w:sz w:val="18"/>
          <w:szCs w:val="18"/>
          <w:lang w:val="en-GB"/>
        </w:rPr>
      </w:r>
    </w:p>
    <w:p>
      <w:pPr>
        <w:pStyle w:val="Normal"/>
        <w:spacing w:lineRule="auto" w:line="240" w:before="120" w:after="0"/>
        <w:jc w:val="both"/>
        <w:rPr>
          <w:rFonts w:ascii="Arial" w:hAnsi="Arial" w:cs="Arial"/>
          <w:sz w:val="20"/>
          <w:szCs w:val="20"/>
          <w:lang w:val="en-GB"/>
        </w:rPr>
      </w:pPr>
      <w:r>
        <w:rPr>
          <w:rFonts w:cs="Arial" w:ascii="Arial" w:hAnsi="Arial"/>
          <w:b/>
          <w:sz w:val="18"/>
          <w:szCs w:val="18"/>
          <w:lang w:val="en-GB"/>
        </w:rPr>
        <w:t xml:space="preserve">Fig.11 </w:t>
      </w:r>
      <w:r>
        <w:rPr>
          <w:rFonts w:cs="Arial" w:ascii="Arial" w:hAnsi="Arial"/>
          <w:sz w:val="18"/>
          <w:szCs w:val="18"/>
          <w:lang w:val="en-GB"/>
        </w:rPr>
        <w:t>Seizure-like phenotype is seen in Rdl</w:t>
      </w:r>
      <w:r>
        <w:rPr>
          <w:rFonts w:cs="Arial" w:ascii="Arial" w:hAnsi="Arial"/>
          <w:sz w:val="18"/>
          <w:szCs w:val="18"/>
          <w:vertAlign w:val="superscript"/>
          <w:lang w:val="en-GB"/>
        </w:rPr>
        <w:t>1/+</w:t>
      </w:r>
      <w:r>
        <w:rPr>
          <w:rFonts w:cs="Arial" w:ascii="Arial" w:hAnsi="Arial"/>
          <w:sz w:val="18"/>
          <w:szCs w:val="18"/>
          <w:lang w:val="en-GB"/>
        </w:rPr>
        <w:t xml:space="preserve"> mutants. Rdl</w:t>
      </w:r>
      <w:r>
        <w:rPr>
          <w:rFonts w:cs="Arial" w:ascii="Arial" w:hAnsi="Arial"/>
          <w:sz w:val="18"/>
          <w:szCs w:val="18"/>
          <w:vertAlign w:val="superscript"/>
          <w:lang w:val="en-GB"/>
        </w:rPr>
        <w:t>1/+</w:t>
      </w:r>
      <w:r>
        <w:rPr>
          <w:rFonts w:cs="Arial" w:ascii="Arial" w:hAnsi="Arial"/>
          <w:sz w:val="18"/>
          <w:szCs w:val="18"/>
          <w:lang w:val="en-GB"/>
        </w:rPr>
        <w:t xml:space="preserve"> mutants phenotype is enhanced compare to Oregon-R but inferior to  </w:t>
      </w:r>
      <w:r>
        <w:rPr>
          <w:rFonts w:cs="Arial" w:ascii="Arial" w:hAnsi="Arial"/>
          <w:b/>
          <w:bCs/>
          <w:i/>
          <w:iCs/>
          <w:sz w:val="18"/>
          <w:szCs w:val="18"/>
          <w:lang w:val="en-GB"/>
        </w:rPr>
        <w:t>msps</w:t>
      </w:r>
      <w:r>
        <w:rPr>
          <w:rFonts w:cs="Arial" w:ascii="Arial" w:hAnsi="Arial"/>
          <w:b/>
          <w:bCs/>
          <w:i/>
          <w:iCs/>
          <w:sz w:val="18"/>
          <w:szCs w:val="18"/>
          <w:vertAlign w:val="superscript"/>
          <w:lang w:val="en-GB"/>
        </w:rPr>
        <w:t>-/+</w:t>
      </w:r>
      <w:r>
        <w:rPr>
          <w:rFonts w:cs="Arial" w:ascii="Arial" w:hAnsi="Arial"/>
          <w:b/>
          <w:bCs/>
          <w:i/>
          <w:iCs/>
          <w:sz w:val="18"/>
          <w:szCs w:val="18"/>
          <w:lang w:val="en-GB"/>
        </w:rPr>
        <w:t>, tau</w:t>
      </w:r>
      <w:r>
        <w:rPr>
          <w:rFonts w:cs="Arial" w:ascii="Arial" w:hAnsi="Arial"/>
          <w:b/>
          <w:bCs/>
          <w:i/>
          <w:iCs/>
          <w:sz w:val="18"/>
          <w:szCs w:val="18"/>
          <w:vertAlign w:val="superscript"/>
          <w:lang w:val="en-GB"/>
        </w:rPr>
        <w:t>ko/+</w:t>
      </w:r>
      <w:r>
        <w:rPr>
          <w:rFonts w:cs="Arial" w:ascii="Arial" w:hAnsi="Arial"/>
          <w:bCs/>
          <w:iCs/>
          <w:sz w:val="18"/>
          <w:szCs w:val="18"/>
          <w:lang w:val="en-GB"/>
        </w:rPr>
        <w:t xml:space="preserve">: </w:t>
      </w:r>
      <w:r>
        <w:rPr>
          <w:rFonts w:cs="Arial" w:ascii="Arial" w:hAnsi="Arial"/>
          <w:sz w:val="18"/>
          <w:szCs w:val="18"/>
          <w:lang w:val="en-GB"/>
        </w:rPr>
        <w:t>(T</w:t>
      </w:r>
      <w:r>
        <w:rPr>
          <w:rFonts w:cs="Arial" w:ascii="Arial" w:hAnsi="Arial"/>
          <w:sz w:val="18"/>
          <w:szCs w:val="18"/>
          <w:vertAlign w:val="subscript"/>
          <w:lang w:val="en-GB"/>
        </w:rPr>
        <w:t>Rec</w:t>
      </w:r>
      <w:r>
        <w:rPr>
          <w:rFonts w:cs="Arial" w:ascii="Arial" w:hAnsi="Arial"/>
          <w:sz w:val="18"/>
          <w:szCs w:val="18"/>
          <w:lang w:val="en-GB"/>
        </w:rPr>
        <w:t>- Rdl</w:t>
      </w:r>
      <w:r>
        <w:rPr>
          <w:rFonts w:cs="Arial" w:ascii="Arial" w:hAnsi="Arial"/>
          <w:sz w:val="18"/>
          <w:szCs w:val="18"/>
          <w:vertAlign w:val="superscript"/>
          <w:lang w:val="en-GB"/>
        </w:rPr>
        <w:t>1/+</w:t>
      </w:r>
      <w:r>
        <w:rPr>
          <w:rFonts w:cs="Arial" w:ascii="Arial" w:hAnsi="Arial"/>
          <w:sz w:val="18"/>
          <w:szCs w:val="18"/>
          <w:lang w:val="en-GB"/>
        </w:rPr>
        <w:t>: 60.23s ± 19.16SD, T</w:t>
      </w:r>
      <w:r>
        <w:rPr>
          <w:rFonts w:cs="Arial" w:ascii="Arial" w:hAnsi="Arial"/>
          <w:sz w:val="18"/>
          <w:szCs w:val="18"/>
          <w:vertAlign w:val="subscript"/>
          <w:lang w:val="en-GB"/>
        </w:rPr>
        <w:t>Rec</w:t>
      </w:r>
      <w:r>
        <w:rPr>
          <w:rFonts w:cs="Arial" w:ascii="Arial" w:hAnsi="Arial"/>
          <w:sz w:val="18"/>
          <w:szCs w:val="18"/>
          <w:lang w:val="en-GB"/>
        </w:rPr>
        <w:t>-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18"/>
          <w:szCs w:val="18"/>
          <w:lang w:val="en-GB"/>
        </w:rPr>
        <w:t>wt</w:t>
      </w:r>
      <w:r>
        <w:rPr>
          <w:rFonts w:cs="Arial" w:ascii="Arial" w:hAnsi="Arial"/>
          <w:sz w:val="18"/>
          <w:szCs w:val="18"/>
          <w:lang w:val="en-GB"/>
        </w:rPr>
        <w:t>: 36.86 ± 16.84SD; P</w:t>
      </w:r>
      <w:r>
        <w:rPr>
          <w:rFonts w:cs="Arial" w:ascii="Arial" w:hAnsi="Arial"/>
          <w:sz w:val="18"/>
          <w:szCs w:val="18"/>
          <w:vertAlign w:val="subscript"/>
          <w:lang w:val="en-GB"/>
        </w:rPr>
        <w:t xml:space="preserve">MW </w:t>
      </w:r>
      <w:r>
        <w:rPr>
          <w:rFonts w:cs="Arial" w:ascii="Arial" w:hAnsi="Arial"/>
          <w:sz w:val="18"/>
          <w:szCs w:val="18"/>
          <w:lang w:val="en-GB"/>
        </w:rPr>
        <w:t>&lt;</w:t>
      </w:r>
      <w:r>
        <w:rPr>
          <w:rFonts w:cs="Arial" w:ascii="Arial" w:hAnsi="Arial"/>
          <w:b/>
          <w:sz w:val="18"/>
          <w:szCs w:val="18"/>
          <w:lang w:val="en-GB"/>
        </w:rPr>
        <w:t>0.0001</w:t>
      </w:r>
      <w:r>
        <w:rPr>
          <w:rFonts w:cs="Arial" w:ascii="Arial" w:hAnsi="Arial"/>
          <w:sz w:val="18"/>
          <w:szCs w:val="18"/>
          <w:lang w:val="en-GB"/>
        </w:rPr>
        <w:t>), (T</w:t>
      </w:r>
      <w:r>
        <w:rPr>
          <w:rFonts w:cs="Arial" w:ascii="Arial" w:hAnsi="Arial"/>
          <w:sz w:val="18"/>
          <w:szCs w:val="18"/>
          <w:vertAlign w:val="subscript"/>
          <w:lang w:val="en-GB"/>
        </w:rPr>
        <w:t>Rec</w:t>
      </w:r>
      <w:r>
        <w:rPr>
          <w:rFonts w:cs="Arial" w:ascii="Arial" w:hAnsi="Arial"/>
          <w:sz w:val="18"/>
          <w:szCs w:val="18"/>
          <w:lang w:val="en-GB"/>
        </w:rPr>
        <w:t>- Rdl</w:t>
      </w:r>
      <w:r>
        <w:rPr>
          <w:rFonts w:cs="Arial" w:ascii="Arial" w:hAnsi="Arial"/>
          <w:sz w:val="18"/>
          <w:szCs w:val="18"/>
          <w:vertAlign w:val="superscript"/>
          <w:lang w:val="en-GB"/>
        </w:rPr>
        <w:t>1/+</w:t>
      </w:r>
      <w:r>
        <w:rPr>
          <w:rFonts w:cs="Arial" w:ascii="Arial" w:hAnsi="Arial"/>
          <w:sz w:val="18"/>
          <w:szCs w:val="18"/>
          <w:lang w:val="en-GB"/>
        </w:rPr>
        <w:t>: 60.23s ± 19.16SD,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b/>
          <w:sz w:val="18"/>
          <w:szCs w:val="18"/>
          <w:lang w:val="en-GB"/>
        </w:rPr>
        <w:t xml:space="preserve"> </w:t>
      </w:r>
      <w:r>
        <w:rPr>
          <w:rFonts w:cs="Arial" w:ascii="Arial" w:hAnsi="Arial"/>
          <w:i/>
          <w:sz w:val="18"/>
          <w:szCs w:val="18"/>
          <w:lang w:val="en-GB"/>
        </w:rPr>
        <w:t>msps1/+, tau</w:t>
      </w:r>
      <w:r>
        <w:rPr>
          <w:rFonts w:cs="Arial" w:ascii="Arial" w:hAnsi="Arial"/>
          <w:i/>
          <w:sz w:val="18"/>
          <w:szCs w:val="18"/>
          <w:vertAlign w:val="superscript"/>
          <w:lang w:val="en-GB"/>
        </w:rPr>
        <w:t>ko/+</w:t>
      </w:r>
      <w:r>
        <w:rPr>
          <w:rFonts w:cs="Arial" w:ascii="Arial" w:hAnsi="Arial"/>
          <w:sz w:val="18"/>
          <w:szCs w:val="18"/>
          <w:lang w:val="en-GB"/>
        </w:rPr>
        <w:t xml:space="preserve"> : </w:t>
      </w:r>
      <w:r>
        <w:rPr>
          <w:rFonts w:eastAsia="Times New Roman" w:cs="Arial" w:ascii="Arial" w:hAnsi="Arial"/>
          <w:sz w:val="18"/>
          <w:szCs w:val="18"/>
          <w:lang w:val="en-GB" w:eastAsia="pt-PT"/>
        </w:rPr>
        <w:t>88.93</w:t>
      </w:r>
      <w:r>
        <w:rPr>
          <w:rFonts w:cs="Arial" w:ascii="Arial" w:hAnsi="Arial"/>
          <w:sz w:val="18"/>
          <w:szCs w:val="18"/>
          <w:lang w:val="en-GB"/>
        </w:rPr>
        <w:t xml:space="preserve">s ± </w:t>
      </w:r>
      <w:r>
        <w:rPr>
          <w:rFonts w:eastAsia="Times New Roman" w:cs="Arial" w:ascii="Arial" w:hAnsi="Arial"/>
          <w:sz w:val="18"/>
          <w:szCs w:val="18"/>
          <w:lang w:val="en-GB" w:eastAsia="pt-PT"/>
        </w:rPr>
        <w:t>37.78</w:t>
      </w:r>
      <w:r>
        <w:rPr>
          <w:rFonts w:cs="Arial" w:ascii="Arial" w:hAnsi="Arial"/>
          <w:sz w:val="18"/>
          <w:szCs w:val="18"/>
          <w:lang w:val="en-GB"/>
        </w:rPr>
        <w:t>SD; P</w:t>
      </w:r>
      <w:r>
        <w:rPr>
          <w:rFonts w:cs="Arial" w:ascii="Arial" w:hAnsi="Arial"/>
          <w:sz w:val="18"/>
          <w:szCs w:val="18"/>
          <w:vertAlign w:val="subscript"/>
          <w:lang w:val="en-GB"/>
        </w:rPr>
        <w:t xml:space="preserve"> MW </w:t>
      </w:r>
      <w:r>
        <w:rPr>
          <w:rFonts w:cs="Arial" w:ascii="Arial" w:hAnsi="Arial"/>
          <w:sz w:val="18"/>
          <w:szCs w:val="18"/>
          <w:lang w:val="en-GB"/>
        </w:rPr>
        <w:t xml:space="preserve">= </w:t>
      </w:r>
      <w:r>
        <w:rPr>
          <w:rFonts w:cs="Arial" w:ascii="Arial" w:hAnsi="Arial"/>
          <w:b/>
          <w:sz w:val="18"/>
          <w:szCs w:val="18"/>
          <w:lang w:val="en-GB"/>
        </w:rPr>
        <w:t>0.52</w:t>
      </w:r>
      <w:r>
        <w:rPr>
          <w:rFonts w:cs="Arial" w:ascii="Arial" w:hAnsi="Arial"/>
          <w:sz w:val="18"/>
          <w:szCs w:val="18"/>
          <w:lang w:val="en-GB"/>
        </w:rPr>
        <w:t>). Each bars shows the mean T</w:t>
      </w:r>
      <w:r>
        <w:rPr>
          <w:rFonts w:cs="Arial" w:ascii="Arial" w:hAnsi="Arial"/>
          <w:sz w:val="18"/>
          <w:szCs w:val="18"/>
          <w:vertAlign w:val="subscript"/>
          <w:lang w:val="en-GB"/>
        </w:rPr>
        <w:t>Rec</w:t>
      </w:r>
      <w:r>
        <w:rPr>
          <w:rFonts w:cs="Arial" w:ascii="Arial" w:hAnsi="Arial"/>
          <w:sz w:val="18"/>
          <w:szCs w:val="18"/>
          <w:lang w:val="en-GB"/>
        </w:rPr>
        <w:t>, error bars indicate SD, **** p&lt;0.0001, ** p&lt;0.01.</w:t>
      </w:r>
    </w:p>
    <w:p>
      <w:pPr>
        <w:pStyle w:val="Normal"/>
        <w:spacing w:before="120" w:after="0"/>
        <w:jc w:val="both"/>
        <w:rPr>
          <w:rFonts w:ascii="Arial" w:hAnsi="Arial" w:cs="Arial"/>
          <w:sz w:val="20"/>
          <w:szCs w:val="20"/>
          <w:u w:val="single"/>
          <w:lang w:val="en-GB"/>
        </w:rPr>
      </w:pPr>
      <w:r>
        <w:rPr>
          <w:rFonts w:cs="Arial" w:ascii="Arial" w:hAnsi="Arial"/>
          <w:sz w:val="20"/>
          <w:szCs w:val="20"/>
          <w:u w:val="single"/>
          <w:lang w:val="en-GB"/>
        </w:rPr>
      </w:r>
    </w:p>
    <w:p>
      <w:pPr>
        <w:pStyle w:val="Normal"/>
        <w:spacing w:lineRule="auto" w:line="240" w:before="120" w:after="0"/>
        <w:jc w:val="both"/>
        <w:rPr>
          <w:rFonts w:ascii="Arial" w:hAnsi="Arial" w:cs="Arial"/>
          <w:b/>
          <w:b/>
          <w:sz w:val="18"/>
          <w:szCs w:val="18"/>
          <w:lang w:val="en-GB"/>
        </w:rPr>
      </w:pPr>
      <w:r>
        <w:rPr>
          <w:rFonts w:cs="Arial" w:ascii="Arial" w:hAnsi="Arial"/>
          <w:b/>
          <w:sz w:val="18"/>
          <w:szCs w:val="18"/>
          <w:lang w:val="en-GB"/>
        </w:rPr>
      </w:r>
    </w:p>
    <w:p>
      <w:pPr>
        <w:pStyle w:val="Normal"/>
        <w:spacing w:lineRule="auto" w:line="360" w:before="120" w:after="0"/>
        <w:jc w:val="both"/>
        <w:rPr>
          <w:rFonts w:ascii="Arial" w:hAnsi="Arial" w:cs="Arial"/>
          <w:sz w:val="20"/>
          <w:szCs w:val="20"/>
          <w:u w:val="single"/>
          <w:lang w:val="en-GB"/>
        </w:rPr>
      </w:pPr>
      <w:r>
        <w:rPr>
          <w:rFonts w:cs="Arial" w:ascii="Arial" w:hAnsi="Arial"/>
          <w:sz w:val="20"/>
          <w:szCs w:val="20"/>
          <w:u w:val="single"/>
          <w:lang w:val="en-GB"/>
        </w:rPr>
      </w:r>
    </w:p>
    <w:p>
      <w:pPr>
        <w:pStyle w:val="Normal"/>
        <w:spacing w:lineRule="auto" w:line="360" w:before="120" w:after="0"/>
        <w:jc w:val="both"/>
        <w:rPr>
          <w:rFonts w:ascii="Arial" w:hAnsi="Arial" w:cs="Arial"/>
          <w:b/>
          <w:b/>
          <w:bCs/>
          <w:i/>
          <w:i/>
          <w:iCs/>
          <w:sz w:val="20"/>
          <w:szCs w:val="20"/>
          <w:vertAlign w:val="superscript"/>
          <w:lang w:val="en-GB"/>
        </w:rPr>
      </w:pPr>
      <w:r>
        <w:rPr>
          <w:rFonts w:cs="Arial" w:ascii="Arial" w:hAnsi="Arial"/>
          <w:b/>
          <w:sz w:val="20"/>
          <w:szCs w:val="20"/>
          <w:lang w:val="en-GB"/>
        </w:rPr>
        <w:t xml:space="preserve">Genetic interaction is found between </w:t>
      </w:r>
      <w:r>
        <w:rPr>
          <w:rFonts w:cs="Arial" w:ascii="Arial" w:hAnsi="Arial"/>
          <w:b/>
          <w:i/>
          <w:sz w:val="20"/>
          <w:szCs w:val="20"/>
          <w:lang w:val="en-GB"/>
        </w:rPr>
        <w:t>Rdl</w:t>
      </w:r>
      <w:r>
        <w:rPr>
          <w:rFonts w:cs="Arial" w:ascii="Arial" w:hAnsi="Arial"/>
          <w:b/>
          <w:i/>
          <w:sz w:val="20"/>
          <w:szCs w:val="20"/>
          <w:vertAlign w:val="superscript"/>
          <w:lang w:val="en-GB"/>
        </w:rPr>
        <w:t>1/+</w:t>
      </w:r>
      <w:r>
        <w:rPr>
          <w:rFonts w:cs="Arial" w:ascii="Arial" w:hAnsi="Arial"/>
          <w:b/>
          <w:sz w:val="20"/>
          <w:szCs w:val="20"/>
          <w:lang w:val="en-GB"/>
        </w:rPr>
        <w:t xml:space="preserve"> and the double mutants </w:t>
      </w:r>
      <w:r>
        <w:rPr>
          <w:rFonts w:cs="Arial" w:ascii="Arial" w:hAnsi="Arial"/>
          <w:b/>
          <w:i/>
          <w:sz w:val="20"/>
          <w:szCs w:val="20"/>
          <w:lang w:val="en-GB"/>
        </w:rPr>
        <w:t>msps</w:t>
      </w:r>
      <w:r>
        <w:rPr>
          <w:rFonts w:cs="Arial" w:ascii="Arial" w:hAnsi="Arial"/>
          <w:b/>
          <w:i/>
          <w:sz w:val="20"/>
          <w:szCs w:val="20"/>
          <w:vertAlign w:val="superscript"/>
          <w:lang w:val="en-GB"/>
        </w:rPr>
        <w:t>1/+</w:t>
      </w:r>
      <w:r>
        <w:rPr>
          <w:rFonts w:cs="Arial" w:ascii="Arial" w:hAnsi="Arial"/>
          <w:b/>
          <w:i/>
          <w:sz w:val="20"/>
          <w:szCs w:val="20"/>
          <w:lang w:val="en-GB"/>
        </w:rPr>
        <w:t>tau</w:t>
      </w:r>
      <w:r>
        <w:rPr>
          <w:rFonts w:cs="Arial" w:ascii="Arial" w:hAnsi="Arial"/>
          <w:b/>
          <w:i/>
          <w:sz w:val="20"/>
          <w:szCs w:val="20"/>
          <w:vertAlign w:val="superscript"/>
          <w:lang w:val="en-GB"/>
        </w:rPr>
        <w:t>ko/+</w:t>
      </w:r>
    </w:p>
    <w:p>
      <w:pPr>
        <w:pStyle w:val="Normal"/>
        <w:spacing w:before="120" w:after="0"/>
        <w:jc w:val="both"/>
        <w:rPr>
          <w:rFonts w:ascii="Arial" w:hAnsi="Arial" w:cs="Arial"/>
          <w:sz w:val="20"/>
          <w:szCs w:val="20"/>
          <w:lang w:val="en-GB"/>
        </w:rPr>
      </w:pPr>
      <w:r>
        <w:rPr>
          <w:rFonts w:cs="Arial" w:ascii="Arial" w:hAnsi="Arial"/>
          <w:sz w:val="20"/>
          <w:szCs w:val="20"/>
          <w:lang w:val="en-GB"/>
        </w:rPr>
        <w:t xml:space="preserve">When combined, </w:t>
      </w:r>
      <w:r>
        <w:rPr>
          <w:rFonts w:cs="Arial" w:ascii="Arial" w:hAnsi="Arial"/>
          <w:i/>
          <w:sz w:val="20"/>
          <w:szCs w:val="20"/>
          <w:lang w:val="en-GB"/>
        </w:rPr>
        <w:t>Rdl</w:t>
      </w:r>
      <w:r>
        <w:rPr>
          <w:rFonts w:cs="Arial" w:ascii="Arial" w:hAnsi="Arial"/>
          <w:i/>
          <w:sz w:val="20"/>
          <w:szCs w:val="20"/>
          <w:vertAlign w:val="superscript"/>
          <w:lang w:val="en-GB"/>
        </w:rPr>
        <w:t>1/+</w:t>
      </w:r>
      <w:r>
        <w:rPr>
          <w:rFonts w:cs="Arial" w:ascii="Arial" w:hAnsi="Arial"/>
          <w:i/>
          <w:sz w:val="20"/>
          <w:szCs w:val="20"/>
          <w:lang w:val="en-GB"/>
        </w:rPr>
        <w:t>; msps</w:t>
      </w:r>
      <w:r>
        <w:rPr>
          <w:rFonts w:cs="Arial" w:ascii="Arial" w:hAnsi="Arial"/>
          <w:i/>
          <w:sz w:val="20"/>
          <w:szCs w:val="20"/>
          <w:vertAlign w:val="superscript"/>
          <w:lang w:val="en-GB"/>
        </w:rPr>
        <w:t>1/+</w:t>
      </w:r>
      <w:r>
        <w:rPr>
          <w:rFonts w:cs="Arial" w:ascii="Arial" w:hAnsi="Arial"/>
          <w:i/>
          <w:sz w:val="20"/>
          <w:szCs w:val="20"/>
          <w:lang w:val="en-GB"/>
        </w:rPr>
        <w:t>,tau</w:t>
      </w:r>
      <w:r>
        <w:rPr>
          <w:rFonts w:cs="Arial" w:ascii="Arial" w:hAnsi="Arial"/>
          <w:i/>
          <w:sz w:val="20"/>
          <w:szCs w:val="20"/>
          <w:vertAlign w:val="superscript"/>
          <w:lang w:val="en-GB"/>
        </w:rPr>
        <w:t>ko/+</w:t>
      </w:r>
      <w:r>
        <w:rPr>
          <w:rFonts w:cs="Arial" w:ascii="Arial" w:hAnsi="Arial"/>
          <w:sz w:val="20"/>
          <w:szCs w:val="20"/>
          <w:lang w:val="en-GB"/>
        </w:rPr>
        <w:t xml:space="preserve"> larvae have a significantly enhanced T</w:t>
      </w:r>
      <w:r>
        <w:rPr>
          <w:rFonts w:cs="Arial" w:ascii="Arial" w:hAnsi="Arial"/>
          <w:sz w:val="20"/>
          <w:szCs w:val="20"/>
          <w:vertAlign w:val="subscript"/>
          <w:lang w:val="en-GB"/>
        </w:rPr>
        <w:t>Rec</w:t>
      </w:r>
      <w:r>
        <w:rPr>
          <w:rFonts w:cs="Arial" w:ascii="Arial" w:hAnsi="Arial"/>
          <w:sz w:val="20"/>
          <w:szCs w:val="20"/>
          <w:lang w:val="en-GB"/>
        </w:rPr>
        <w:t xml:space="preserve"> by~111% compare to </w:t>
      </w:r>
      <w:r>
        <w:rPr>
          <w:rFonts w:cs="Arial" w:ascii="Arial" w:hAnsi="Arial"/>
          <w:i/>
          <w:sz w:val="20"/>
          <w:szCs w:val="20"/>
          <w:lang w:val="en-GB"/>
        </w:rPr>
        <w:t>Rdl</w:t>
      </w:r>
      <w:r>
        <w:rPr>
          <w:rFonts w:cs="Arial" w:ascii="Arial" w:hAnsi="Arial"/>
          <w:i/>
          <w:sz w:val="20"/>
          <w:szCs w:val="20"/>
          <w:vertAlign w:val="superscript"/>
          <w:lang w:val="en-GB"/>
        </w:rPr>
        <w:t>1/+</w:t>
      </w:r>
      <w:r>
        <w:rPr>
          <w:rFonts w:cs="Arial" w:ascii="Arial" w:hAnsi="Arial"/>
          <w:i/>
          <w:sz w:val="20"/>
          <w:szCs w:val="20"/>
          <w:lang w:val="en-GB"/>
        </w:rPr>
        <w:t xml:space="preserve"> </w:t>
      </w:r>
      <w:r>
        <w:rPr>
          <w:rFonts w:cs="Arial" w:ascii="Arial" w:hAnsi="Arial"/>
          <w:sz w:val="20"/>
          <w:szCs w:val="20"/>
          <w:lang w:val="en-GB"/>
        </w:rPr>
        <w:t xml:space="preserve">mutants (Fig12.) and by ~43% compare to the double-heterozygous. I could conclude that there is a genetic interaction between both genotypes. Overall, my result suggest that this genetic interaction could potentially be a new model using </w:t>
      </w:r>
      <w:r>
        <w:rPr>
          <w:rFonts w:cs="Arial" w:ascii="Arial" w:hAnsi="Arial"/>
          <w:i/>
          <w:sz w:val="20"/>
          <w:szCs w:val="20"/>
          <w:lang w:val="en-GB"/>
        </w:rPr>
        <w:t>Drosophila</w:t>
      </w:r>
      <w:r>
        <w:rPr>
          <w:rFonts w:cs="Arial" w:ascii="Arial" w:hAnsi="Arial"/>
          <w:sz w:val="20"/>
          <w:szCs w:val="20"/>
          <w:lang w:val="en-GB"/>
        </w:rPr>
        <w:t xml:space="preserve"> to understand possible causes of epilepsy.</w:t>
      </w:r>
    </w:p>
    <w:p>
      <w:pPr>
        <w:pStyle w:val="Normal"/>
        <w:spacing w:before="120" w:after="0"/>
        <w:jc w:val="both"/>
        <w:rPr>
          <w:rFonts w:ascii="Arial" w:hAnsi="Arial" w:cs="Arial"/>
          <w:sz w:val="20"/>
          <w:szCs w:val="20"/>
          <w:lang w:val="en-GB"/>
        </w:rPr>
      </w:pPr>
      <w:r>
        <w:rPr>
          <w:rFonts w:cs="Arial" w:ascii="Arial" w:hAnsi="Arial"/>
          <w:sz w:val="20"/>
          <w:szCs w:val="20"/>
          <w:lang w:val="en-GB"/>
        </w:rPr>
      </w:r>
    </w:p>
    <w:p>
      <w:pPr>
        <w:pStyle w:val="Normal"/>
        <w:spacing w:before="120" w:after="0"/>
        <w:jc w:val="both"/>
        <w:rPr>
          <w:rFonts w:ascii="Arial" w:hAnsi="Arial" w:cs="Arial"/>
          <w:b/>
          <w:b/>
          <w:sz w:val="18"/>
          <w:szCs w:val="18"/>
          <w:lang w:val="en-GB"/>
        </w:rPr>
      </w:pPr>
      <w:r>
        <w:drawing>
          <wp:anchor behindDoc="0" distT="0" distB="0" distL="114300" distR="114300" simplePos="0" locked="0" layoutInCell="1" allowOverlap="1" relativeHeight="2">
            <wp:simplePos x="0" y="0"/>
            <wp:positionH relativeFrom="margin">
              <wp:posOffset>0</wp:posOffset>
            </wp:positionH>
            <wp:positionV relativeFrom="paragraph">
              <wp:posOffset>1270</wp:posOffset>
            </wp:positionV>
            <wp:extent cx="2520315" cy="2257425"/>
            <wp:effectExtent l="0" t="0" r="0" b="0"/>
            <wp:wrapTight wrapText="bothSides">
              <wp:wrapPolygon edited="0">
                <wp:start x="-16" y="0"/>
                <wp:lineTo x="-16" y="21317"/>
                <wp:lineTo x="21391" y="21317"/>
                <wp:lineTo x="21391" y="0"/>
                <wp:lineTo x="-16" y="0"/>
              </wp:wrapPolygon>
            </wp:wrapTight>
            <wp:docPr id="14" name="Imagem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30" descr=""/>
                    <pic:cNvPicPr>
                      <a:picLocks noChangeAspect="1" noChangeArrowheads="1"/>
                    </pic:cNvPicPr>
                  </pic:nvPicPr>
                  <pic:blipFill>
                    <a:blip r:embed="rId15"/>
                    <a:stretch>
                      <a:fillRect/>
                    </a:stretch>
                  </pic:blipFill>
                  <pic:spPr bwMode="auto">
                    <a:xfrm>
                      <a:off x="0" y="0"/>
                      <a:ext cx="2520315" cy="2257425"/>
                    </a:xfrm>
                    <a:prstGeom prst="rect">
                      <a:avLst/>
                    </a:prstGeom>
                  </pic:spPr>
                </pic:pic>
              </a:graphicData>
            </a:graphic>
          </wp:anchor>
        </w:drawing>
      </w:r>
      <w:r>
        <w:rPr>
          <w:rFonts w:cs="Arial" w:ascii="Arial" w:hAnsi="Arial"/>
          <w:b/>
          <w:sz w:val="18"/>
          <w:szCs w:val="18"/>
          <w:lang w:val="en-GB"/>
        </w:rPr>
        <w:t xml:space="preserve"> </w:t>
      </w:r>
      <w:r>
        <w:rPr>
          <w:rFonts w:cs="Arial" w:ascii="Arial" w:hAnsi="Arial"/>
          <w:b/>
          <w:sz w:val="18"/>
          <w:szCs w:val="18"/>
          <w:lang w:val="en-GB"/>
        </w:rPr>
        <w:t xml:space="preserve"> </w:t>
      </w:r>
    </w:p>
    <w:p>
      <w:pPr>
        <w:pStyle w:val="Normal"/>
        <w:spacing w:before="120" w:after="0"/>
        <w:jc w:val="both"/>
        <w:rPr>
          <w:rFonts w:ascii="Arial" w:hAnsi="Arial" w:cs="Arial"/>
          <w:b/>
          <w:b/>
          <w:sz w:val="18"/>
          <w:szCs w:val="18"/>
          <w:lang w:val="en-GB"/>
        </w:rPr>
      </w:pPr>
      <w:r>
        <w:rPr>
          <w:rFonts w:cs="Arial" w:ascii="Arial" w:hAnsi="Arial"/>
          <w:b/>
          <w:sz w:val="18"/>
          <w:szCs w:val="18"/>
          <w:lang w:val="en-GB"/>
        </w:rPr>
      </w:r>
    </w:p>
    <w:p>
      <w:pPr>
        <w:pStyle w:val="Normal"/>
        <w:spacing w:before="120" w:after="0"/>
        <w:jc w:val="both"/>
        <w:rPr>
          <w:rFonts w:ascii="Arial" w:hAnsi="Arial" w:cs="Arial"/>
          <w:b/>
          <w:b/>
          <w:sz w:val="18"/>
          <w:szCs w:val="18"/>
          <w:lang w:val="en-GB"/>
        </w:rPr>
      </w:pPr>
      <w:r>
        <w:rPr>
          <w:rFonts w:cs="Arial" w:ascii="Arial" w:hAnsi="Arial"/>
          <w:b/>
          <w:sz w:val="18"/>
          <w:szCs w:val="18"/>
          <w:lang w:val="en-GB"/>
        </w:rPr>
      </w:r>
    </w:p>
    <w:p>
      <w:pPr>
        <w:pStyle w:val="Normal"/>
        <w:spacing w:before="120" w:after="0"/>
        <w:jc w:val="both"/>
        <w:rPr>
          <w:rFonts w:ascii="Arial" w:hAnsi="Arial" w:cs="Arial"/>
          <w:sz w:val="20"/>
          <w:szCs w:val="20"/>
          <w:lang w:val="en-GB"/>
        </w:rPr>
      </w:pPr>
      <w:r>
        <w:rPr>
          <w:rFonts w:cs="Arial" w:ascii="Arial" w:hAnsi="Arial"/>
          <w:b/>
          <w:sz w:val="18"/>
          <w:szCs w:val="18"/>
          <w:lang w:val="en-GB"/>
        </w:rPr>
        <w:t xml:space="preserve"> </w:t>
      </w:r>
      <w:r>
        <w:rPr>
          <w:rFonts w:cs="Arial" w:ascii="Arial" w:hAnsi="Arial"/>
          <w:b/>
          <w:sz w:val="18"/>
          <w:szCs w:val="18"/>
          <w:lang w:val="en-GB"/>
        </w:rPr>
        <w:t xml:space="preserve">Fig.12: </w:t>
      </w:r>
      <w:r>
        <w:rPr>
          <w:rFonts w:cs="Arial" w:ascii="Arial" w:hAnsi="Arial"/>
          <w:b/>
          <w:i/>
          <w:sz w:val="18"/>
          <w:szCs w:val="18"/>
          <w:lang w:val="en-GB"/>
        </w:rPr>
        <w:t>Rdl</w:t>
      </w:r>
      <w:r>
        <w:rPr>
          <w:rFonts w:cs="Arial" w:ascii="Arial" w:hAnsi="Arial"/>
          <w:b/>
          <w:i/>
          <w:sz w:val="18"/>
          <w:szCs w:val="18"/>
          <w:vertAlign w:val="superscript"/>
          <w:lang w:val="en-GB"/>
        </w:rPr>
        <w:t>1/+</w:t>
      </w:r>
      <w:r>
        <w:rPr>
          <w:rFonts w:cs="Arial" w:ascii="Arial" w:hAnsi="Arial"/>
          <w:b/>
          <w:sz w:val="18"/>
          <w:szCs w:val="18"/>
          <w:lang w:val="en-GB"/>
        </w:rPr>
        <w:t xml:space="preserve"> and </w:t>
      </w:r>
      <w:r>
        <w:rPr>
          <w:rFonts w:cs="Arial" w:ascii="Arial" w:hAnsi="Arial"/>
          <w:b/>
          <w:i/>
          <w:sz w:val="18"/>
          <w:szCs w:val="18"/>
          <w:lang w:val="en-GB"/>
        </w:rPr>
        <w:t>msps</w:t>
      </w:r>
      <w:r>
        <w:rPr>
          <w:rFonts w:cs="Arial" w:ascii="Arial" w:hAnsi="Arial"/>
          <w:b/>
          <w:i/>
          <w:sz w:val="18"/>
          <w:szCs w:val="18"/>
          <w:vertAlign w:val="superscript"/>
          <w:lang w:val="en-GB"/>
        </w:rPr>
        <w:t>1/+</w:t>
      </w:r>
      <w:r>
        <w:rPr>
          <w:rFonts w:cs="Arial" w:ascii="Arial" w:hAnsi="Arial"/>
          <w:b/>
          <w:sz w:val="18"/>
          <w:szCs w:val="18"/>
          <w:lang w:val="en-GB"/>
        </w:rPr>
        <w:t>,</w:t>
      </w:r>
      <w:r>
        <w:rPr>
          <w:rFonts w:cs="Arial" w:ascii="Arial" w:hAnsi="Arial"/>
          <w:b/>
          <w:i/>
          <w:sz w:val="18"/>
          <w:szCs w:val="18"/>
          <w:lang w:val="en-GB"/>
        </w:rPr>
        <w:t>tau</w:t>
      </w:r>
      <w:r>
        <w:rPr>
          <w:rFonts w:cs="Arial" w:ascii="Arial" w:hAnsi="Arial"/>
          <w:b/>
          <w:i/>
          <w:sz w:val="18"/>
          <w:szCs w:val="18"/>
          <w:vertAlign w:val="superscript"/>
          <w:lang w:val="en-GB"/>
        </w:rPr>
        <w:t>ko/+</w:t>
      </w:r>
      <w:r>
        <w:rPr>
          <w:rFonts w:cs="Arial" w:ascii="Arial" w:hAnsi="Arial"/>
          <w:b/>
          <w:sz w:val="18"/>
          <w:szCs w:val="18"/>
          <w:lang w:val="en-GB"/>
        </w:rPr>
        <w:t xml:space="preserve"> genotypes interact causing severe seizure-like phenotype.</w:t>
      </w:r>
      <w:r>
        <w:rPr>
          <w:rFonts w:cs="Arial" w:ascii="Arial" w:hAnsi="Arial"/>
          <w:sz w:val="20"/>
          <w:szCs w:val="20"/>
          <w:lang w:val="en-GB"/>
        </w:rPr>
        <w:t xml:space="preserve"> </w:t>
      </w:r>
      <w:r>
        <w:rPr>
          <w:rFonts w:cs="Arial" w:ascii="Arial" w:hAnsi="Arial"/>
          <w:sz w:val="18"/>
          <w:szCs w:val="18"/>
          <w:lang w:val="en-GB"/>
        </w:rPr>
        <w:t>(T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20"/>
          <w:szCs w:val="20"/>
          <w:lang w:val="en-GB"/>
        </w:rPr>
        <w:t xml:space="preserve"> </w:t>
      </w:r>
      <w:r>
        <w:rPr>
          <w:rFonts w:cs="Arial" w:ascii="Arial" w:hAnsi="Arial"/>
          <w:i/>
          <w:sz w:val="18"/>
          <w:szCs w:val="18"/>
          <w:lang w:val="en-GB"/>
        </w:rPr>
        <w:t>Rdl</w:t>
      </w:r>
      <w:r>
        <w:rPr>
          <w:rFonts w:cs="Arial" w:ascii="Arial" w:hAnsi="Arial"/>
          <w:i/>
          <w:sz w:val="18"/>
          <w:szCs w:val="18"/>
          <w:vertAlign w:val="superscript"/>
          <w:lang w:val="en-GB"/>
        </w:rPr>
        <w:t>1/+</w:t>
      </w:r>
      <w:r>
        <w:rPr>
          <w:rFonts w:cs="Arial" w:ascii="Arial" w:hAnsi="Arial"/>
          <w:i/>
          <w:sz w:val="18"/>
          <w:szCs w:val="18"/>
          <w:lang w:val="en-GB"/>
        </w:rPr>
        <w:t>; msps</w:t>
      </w:r>
      <w:r>
        <w:rPr>
          <w:rFonts w:cs="Arial" w:ascii="Arial" w:hAnsi="Arial"/>
          <w:i/>
          <w:sz w:val="18"/>
          <w:szCs w:val="18"/>
          <w:vertAlign w:val="superscript"/>
          <w:lang w:val="en-GB"/>
        </w:rPr>
        <w:t>1/+</w:t>
      </w:r>
      <w:r>
        <w:rPr>
          <w:rFonts w:cs="Arial" w:ascii="Arial" w:hAnsi="Arial"/>
          <w:i/>
          <w:sz w:val="18"/>
          <w:szCs w:val="18"/>
          <w:lang w:val="en-GB"/>
        </w:rPr>
        <w:t>,tau</w:t>
      </w:r>
      <w:r>
        <w:rPr>
          <w:rFonts w:cs="Arial" w:ascii="Arial" w:hAnsi="Arial"/>
          <w:i/>
          <w:sz w:val="18"/>
          <w:szCs w:val="18"/>
          <w:vertAlign w:val="superscript"/>
          <w:lang w:val="en-GB"/>
        </w:rPr>
        <w:t>ko/+</w:t>
      </w:r>
      <w:r>
        <w:rPr>
          <w:rFonts w:cs="Arial" w:ascii="Arial" w:hAnsi="Arial"/>
          <w:sz w:val="18"/>
          <w:szCs w:val="18"/>
          <w:lang w:val="en-GB"/>
        </w:rPr>
        <w:t>: 127.1s ± 47.16SD, T</w:t>
      </w:r>
      <w:r>
        <w:rPr>
          <w:rFonts w:cs="Arial" w:ascii="Arial" w:hAnsi="Arial"/>
          <w:sz w:val="18"/>
          <w:szCs w:val="18"/>
          <w:vertAlign w:val="subscript"/>
          <w:lang w:val="en-GB"/>
        </w:rPr>
        <w:t>Rec</w:t>
      </w:r>
      <w:r>
        <w:rPr>
          <w:rFonts w:cs="Arial" w:ascii="Arial" w:hAnsi="Arial"/>
          <w:sz w:val="18"/>
          <w:szCs w:val="18"/>
          <w:lang w:val="en-GB"/>
        </w:rPr>
        <w:t>- Rdl</w:t>
      </w:r>
      <w:r>
        <w:rPr>
          <w:rFonts w:cs="Arial" w:ascii="Arial" w:hAnsi="Arial"/>
          <w:sz w:val="18"/>
          <w:szCs w:val="18"/>
          <w:vertAlign w:val="superscript"/>
          <w:lang w:val="en-GB"/>
        </w:rPr>
        <w:t>1/+</w:t>
      </w:r>
      <w:r>
        <w:rPr>
          <w:rFonts w:cs="Arial" w:ascii="Arial" w:hAnsi="Arial"/>
          <w:sz w:val="18"/>
          <w:szCs w:val="18"/>
          <w:lang w:val="en-GB"/>
        </w:rPr>
        <w:t>: 60.23s ± 19.16SD; P</w:t>
      </w:r>
      <w:r>
        <w:rPr>
          <w:rFonts w:cs="Arial" w:ascii="Arial" w:hAnsi="Arial"/>
          <w:sz w:val="18"/>
          <w:szCs w:val="18"/>
          <w:vertAlign w:val="subscript"/>
          <w:lang w:val="en-GB"/>
        </w:rPr>
        <w:t xml:space="preserve">MW </w:t>
      </w:r>
      <w:r>
        <w:rPr>
          <w:rFonts w:cs="Arial" w:ascii="Arial" w:hAnsi="Arial"/>
          <w:sz w:val="18"/>
          <w:szCs w:val="18"/>
          <w:lang w:val="en-GB"/>
        </w:rPr>
        <w:t>&lt;</w:t>
      </w:r>
      <w:r>
        <w:rPr>
          <w:rFonts w:cs="Arial" w:ascii="Arial" w:hAnsi="Arial"/>
          <w:b/>
          <w:sz w:val="18"/>
          <w:szCs w:val="18"/>
          <w:lang w:val="en-GB"/>
        </w:rPr>
        <w:t>0.0001</w:t>
      </w:r>
      <w:r>
        <w:rPr>
          <w:rFonts w:cs="Arial" w:ascii="Arial" w:hAnsi="Arial"/>
          <w:sz w:val="18"/>
          <w:szCs w:val="18"/>
          <w:lang w:val="en-GB"/>
        </w:rPr>
        <w:t>)</w:t>
      </w:r>
      <w:r>
        <w:rPr>
          <w:rFonts w:cs="Arial" w:ascii="Arial" w:hAnsi="Arial"/>
          <w:b/>
          <w:sz w:val="18"/>
          <w:szCs w:val="18"/>
          <w:lang w:val="en-GB"/>
        </w:rPr>
        <w:t xml:space="preserve">, </w:t>
      </w:r>
      <w:r>
        <w:rPr>
          <w:rFonts w:cs="Arial" w:ascii="Arial" w:hAnsi="Arial"/>
          <w:sz w:val="18"/>
          <w:szCs w:val="18"/>
          <w:lang w:val="en-GB"/>
        </w:rPr>
        <w:t>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i/>
          <w:sz w:val="20"/>
          <w:szCs w:val="20"/>
          <w:lang w:val="en-GB"/>
        </w:rPr>
        <w:t xml:space="preserve"> </w:t>
      </w:r>
      <w:r>
        <w:rPr>
          <w:rFonts w:cs="Arial" w:ascii="Arial" w:hAnsi="Arial"/>
          <w:i/>
          <w:sz w:val="18"/>
          <w:szCs w:val="18"/>
          <w:lang w:val="en-GB"/>
        </w:rPr>
        <w:t>Rdl</w:t>
      </w:r>
      <w:r>
        <w:rPr>
          <w:rFonts w:cs="Arial" w:ascii="Arial" w:hAnsi="Arial"/>
          <w:i/>
          <w:sz w:val="18"/>
          <w:szCs w:val="18"/>
          <w:vertAlign w:val="superscript"/>
          <w:lang w:val="en-GB"/>
        </w:rPr>
        <w:t>1/+</w:t>
      </w:r>
      <w:r>
        <w:rPr>
          <w:rFonts w:cs="Arial" w:ascii="Arial" w:hAnsi="Arial"/>
          <w:i/>
          <w:sz w:val="18"/>
          <w:szCs w:val="18"/>
          <w:lang w:val="en-GB"/>
        </w:rPr>
        <w:t>; msps</w:t>
      </w:r>
      <w:r>
        <w:rPr>
          <w:rFonts w:cs="Arial" w:ascii="Arial" w:hAnsi="Arial"/>
          <w:i/>
          <w:sz w:val="18"/>
          <w:szCs w:val="18"/>
          <w:vertAlign w:val="superscript"/>
          <w:lang w:val="en-GB"/>
        </w:rPr>
        <w:t>1/+</w:t>
      </w:r>
      <w:r>
        <w:rPr>
          <w:rFonts w:cs="Arial" w:ascii="Arial" w:hAnsi="Arial"/>
          <w:i/>
          <w:sz w:val="18"/>
          <w:szCs w:val="18"/>
          <w:lang w:val="en-GB"/>
        </w:rPr>
        <w:t>,tau</w:t>
      </w:r>
      <w:r>
        <w:rPr>
          <w:rFonts w:cs="Arial" w:ascii="Arial" w:hAnsi="Arial"/>
          <w:i/>
          <w:sz w:val="18"/>
          <w:szCs w:val="18"/>
          <w:vertAlign w:val="superscript"/>
          <w:lang w:val="en-GB"/>
        </w:rPr>
        <w:t>ko/+</w:t>
      </w:r>
      <w:r>
        <w:rPr>
          <w:rFonts w:cs="Arial" w:ascii="Arial" w:hAnsi="Arial"/>
          <w:sz w:val="18"/>
          <w:szCs w:val="18"/>
          <w:lang w:val="en-GB"/>
        </w:rPr>
        <w:t>: 127.1s ± 47.16SD, T</w:t>
      </w:r>
      <w:r>
        <w:rPr>
          <w:rFonts w:cs="Arial" w:ascii="Arial" w:hAnsi="Arial"/>
          <w:sz w:val="18"/>
          <w:szCs w:val="18"/>
          <w:vertAlign w:val="subscript"/>
          <w:lang w:val="en-GB"/>
        </w:rPr>
        <w:t>Rec</w:t>
      </w:r>
      <w:r>
        <w:rPr>
          <w:rFonts w:cs="Arial" w:ascii="Arial" w:hAnsi="Arial"/>
          <w:sz w:val="18"/>
          <w:szCs w:val="18"/>
          <w:lang w:val="en-GB"/>
        </w:rPr>
        <w:t>-</w:t>
      </w:r>
      <w:r>
        <w:rPr>
          <w:rFonts w:cs="Arial" w:ascii="Arial" w:hAnsi="Arial"/>
          <w:b/>
          <w:sz w:val="18"/>
          <w:szCs w:val="18"/>
          <w:lang w:val="en-GB"/>
        </w:rPr>
        <w:t xml:space="preserve"> </w:t>
      </w:r>
      <w:r>
        <w:rPr>
          <w:rFonts w:cs="Arial" w:ascii="Arial" w:hAnsi="Arial"/>
          <w:i/>
          <w:sz w:val="18"/>
          <w:szCs w:val="18"/>
          <w:lang w:val="en-GB"/>
        </w:rPr>
        <w:t>msps1/+, tau</w:t>
      </w:r>
      <w:r>
        <w:rPr>
          <w:rFonts w:cs="Arial" w:ascii="Arial" w:hAnsi="Arial"/>
          <w:i/>
          <w:sz w:val="18"/>
          <w:szCs w:val="18"/>
          <w:vertAlign w:val="superscript"/>
          <w:lang w:val="en-GB"/>
        </w:rPr>
        <w:t>ko/+</w:t>
      </w:r>
      <w:r>
        <w:rPr>
          <w:rFonts w:cs="Arial" w:ascii="Arial" w:hAnsi="Arial"/>
          <w:sz w:val="18"/>
          <w:szCs w:val="18"/>
          <w:lang w:val="en-GB"/>
        </w:rPr>
        <w:t xml:space="preserve"> : </w:t>
      </w:r>
      <w:r>
        <w:rPr>
          <w:rFonts w:eastAsia="Times New Roman" w:cs="Arial" w:ascii="Arial" w:hAnsi="Arial"/>
          <w:sz w:val="18"/>
          <w:szCs w:val="18"/>
          <w:lang w:val="en-GB" w:eastAsia="pt-PT"/>
        </w:rPr>
        <w:t>88.93</w:t>
      </w:r>
      <w:r>
        <w:rPr>
          <w:rFonts w:cs="Arial" w:ascii="Arial" w:hAnsi="Arial"/>
          <w:sz w:val="18"/>
          <w:szCs w:val="18"/>
          <w:lang w:val="en-GB"/>
        </w:rPr>
        <w:t xml:space="preserve">s ± </w:t>
      </w:r>
      <w:r>
        <w:rPr>
          <w:rFonts w:eastAsia="Times New Roman" w:cs="Arial" w:ascii="Arial" w:hAnsi="Arial"/>
          <w:sz w:val="18"/>
          <w:szCs w:val="18"/>
          <w:lang w:val="en-GB" w:eastAsia="pt-PT"/>
        </w:rPr>
        <w:t>37.78</w:t>
      </w:r>
      <w:r>
        <w:rPr>
          <w:rFonts w:cs="Arial" w:ascii="Arial" w:hAnsi="Arial"/>
          <w:sz w:val="18"/>
          <w:szCs w:val="18"/>
          <w:lang w:val="en-GB"/>
        </w:rPr>
        <w:t>SD; P</w:t>
      </w:r>
      <w:r>
        <w:rPr>
          <w:rFonts w:cs="Arial" w:ascii="Arial" w:hAnsi="Arial"/>
          <w:sz w:val="18"/>
          <w:szCs w:val="18"/>
          <w:vertAlign w:val="subscript"/>
          <w:lang w:val="en-GB"/>
        </w:rPr>
        <w:t xml:space="preserve">MW </w:t>
      </w:r>
      <w:r>
        <w:rPr>
          <w:rFonts w:cs="Arial" w:ascii="Arial" w:hAnsi="Arial"/>
          <w:b/>
          <w:sz w:val="18"/>
          <w:szCs w:val="18"/>
          <w:lang w:val="en-GB"/>
        </w:rPr>
        <w:t>=</w:t>
      </w:r>
      <w:r>
        <w:rPr>
          <w:rFonts w:cs="Arial" w:ascii="Arial" w:hAnsi="Arial"/>
          <w:b/>
          <w:sz w:val="20"/>
          <w:szCs w:val="20"/>
          <w:lang w:val="en-GB"/>
        </w:rPr>
        <w:t>0.0022</w:t>
      </w:r>
      <w:r>
        <w:rPr>
          <w:rFonts w:cs="Arial" w:ascii="Arial" w:hAnsi="Arial"/>
          <w:sz w:val="20"/>
          <w:szCs w:val="20"/>
          <w:lang w:val="en-GB"/>
        </w:rPr>
        <w:t>)</w:t>
      </w:r>
    </w:p>
    <w:p>
      <w:pPr>
        <w:pStyle w:val="ListParagraph"/>
        <w:spacing w:before="120" w:after="0"/>
        <w:ind w:left="785" w:hanging="0"/>
        <w:contextualSpacing/>
        <w:jc w:val="both"/>
        <w:rPr>
          <w:rFonts w:ascii="Arial" w:hAnsi="Arial" w:cs="Arial"/>
          <w:sz w:val="18"/>
          <w:szCs w:val="18"/>
          <w:lang w:val="en-GB"/>
        </w:rPr>
      </w:pPr>
      <w:r>
        <w:rPr>
          <w:rFonts w:cs="Arial" w:ascii="Arial" w:hAnsi="Arial"/>
          <w:sz w:val="18"/>
          <w:szCs w:val="18"/>
          <w:lang w:val="en-GB"/>
        </w:rPr>
      </w:r>
    </w:p>
    <w:p>
      <w:pPr>
        <w:pStyle w:val="Normal"/>
        <w:spacing w:lineRule="auto" w:line="360"/>
        <w:jc w:val="both"/>
        <w:rPr>
          <w:rFonts w:ascii="Arial" w:hAnsi="Arial" w:cs="Arial"/>
          <w:sz w:val="20"/>
          <w:szCs w:val="20"/>
          <w:u w:val="single"/>
          <w:lang w:val="en-GB"/>
        </w:rPr>
      </w:pPr>
      <w:r>
        <w:rPr>
          <w:rFonts w:cs="Arial" w:ascii="Arial" w:hAnsi="Arial"/>
          <w:sz w:val="20"/>
          <w:szCs w:val="20"/>
          <w:u w:val="single"/>
          <w:lang w:val="en-GB"/>
        </w:rPr>
      </w:r>
    </w:p>
    <w:p>
      <w:pPr>
        <w:pStyle w:val="Normal"/>
        <w:spacing w:lineRule="auto" w:line="360"/>
        <w:jc w:val="both"/>
        <w:rPr>
          <w:rFonts w:ascii="Arial" w:hAnsi="Arial" w:cs="Arial"/>
          <w:sz w:val="20"/>
          <w:szCs w:val="20"/>
          <w:u w:val="single"/>
          <w:lang w:val="en-GB"/>
        </w:rPr>
      </w:pPr>
      <w:r>
        <w:rPr>
          <w:rFonts w:cs="Arial" w:ascii="Arial" w:hAnsi="Arial"/>
          <w:sz w:val="20"/>
          <w:szCs w:val="20"/>
          <w:u w:val="single"/>
          <w:lang w:val="en-GB"/>
        </w:rPr>
      </w:r>
    </w:p>
    <w:p>
      <w:pPr>
        <w:pStyle w:val="ListParagraph"/>
        <w:numPr>
          <w:ilvl w:val="1"/>
          <w:numId w:val="2"/>
        </w:numPr>
        <w:spacing w:lineRule="auto" w:line="360"/>
        <w:jc w:val="both"/>
        <w:rPr>
          <w:rFonts w:ascii="Arial" w:hAnsi="Arial" w:cs="Arial"/>
          <w:sz w:val="20"/>
          <w:szCs w:val="20"/>
          <w:u w:val="single"/>
          <w:lang w:val="en-GB"/>
        </w:rPr>
      </w:pPr>
      <w:r>
        <w:rPr>
          <w:rFonts w:cs="Arial" w:ascii="Arial" w:hAnsi="Arial"/>
          <w:sz w:val="20"/>
          <w:szCs w:val="20"/>
          <w:u w:val="single"/>
          <w:lang w:val="en-GB"/>
        </w:rPr>
        <w:t xml:space="preserve">Immunohistochemistry: </w:t>
      </w:r>
      <w:r>
        <w:rPr>
          <w:rFonts w:cs="Arial" w:ascii="Arial" w:hAnsi="Arial"/>
          <w:bCs/>
          <w:sz w:val="20"/>
          <w:szCs w:val="20"/>
          <w:u w:val="single"/>
          <w:lang w:val="en-GB"/>
        </w:rPr>
        <w:t>RDL is located in neuropils and in cell bodies of OK6Gal4&gt;Rdl-HA</w:t>
      </w:r>
      <w:r>
        <w:rPr>
          <w:rFonts w:cs="Arial" w:ascii="Arial" w:hAnsi="Arial"/>
          <w:sz w:val="20"/>
          <w:szCs w:val="20"/>
          <w:u w:val="single"/>
          <w:lang w:val="en-GB"/>
        </w:rPr>
        <w:t xml:space="preserve"> </w:t>
      </w:r>
      <w:r>
        <w:rPr>
          <w:rFonts w:cs="Arial" w:ascii="Arial" w:hAnsi="Arial"/>
          <w:bCs/>
          <w:sz w:val="20"/>
          <w:szCs w:val="20"/>
          <w:u w:val="single"/>
          <w:lang w:val="en-GB"/>
        </w:rPr>
        <w:t xml:space="preserve">and  motorneurons. </w:t>
      </w:r>
    </w:p>
    <w:p>
      <w:pPr>
        <w:pStyle w:val="Normal"/>
        <w:spacing w:lineRule="auto" w:line="360" w:before="120" w:after="0"/>
        <w:jc w:val="both"/>
        <w:rPr>
          <w:rFonts w:ascii="Arial" w:hAnsi="Arial" w:cs="Arial"/>
          <w:sz w:val="20"/>
          <w:szCs w:val="20"/>
          <w:lang w:val="en-GB"/>
        </w:rPr>
      </w:pPr>
      <w:r>
        <w:rPr>
          <w:rFonts w:cs="Arial" w:ascii="Arial" w:hAnsi="Arial"/>
          <w:sz w:val="20"/>
          <w:szCs w:val="20"/>
          <w:lang w:val="en-GB"/>
        </w:rPr>
        <w:t xml:space="preserve">Because no genetic interactions were found with the studied kinesins the exact transport mechanism of Rdl is not yet determine, for this reason an immunohistochemistry assay was realised in order to determine the location of Rdl in control larvae and in triple-heterozygous. If location of this receptor varies between both types of larvae, it could suggest that there is actually an impairment in the transport of Rdl. </w:t>
      </w:r>
    </w:p>
    <w:p>
      <w:pPr>
        <w:pStyle w:val="Normal"/>
        <w:spacing w:lineRule="auto" w:line="360" w:before="120" w:after="0"/>
        <w:jc w:val="both"/>
        <w:rPr/>
      </w:pPr>
      <w:r>
        <w:rPr>
          <w:rFonts w:cs="Arial" w:ascii="Arial" w:hAnsi="Arial"/>
          <w:sz w:val="20"/>
          <w:szCs w:val="20"/>
          <w:lang w:val="en-GB"/>
        </w:rPr>
        <w:t xml:space="preserve">Insect neurones represent a big advantage in neuroscience studies because they are easily detectable and can be recognised individually. Synaptic area is also well defined and neurites are precisely located by mapping the neuronal projections into the neuropil using staining, such as Fasciclin II  </w:t>
      </w:r>
      <w:r>
        <w:fldChar w:fldCharType="begin"/>
      </w:r>
      <w:r>
        <w:rPr/>
        <w:instrText>ADDIN EN.CITE &lt;EndNote&gt;&lt;Cite&gt;&lt;Author&gt;Landgraf&lt;/Author&gt;&lt;Year&gt;2003&lt;/Year&gt;&lt;RecNum&gt;37&lt;/RecNum&gt;&lt;DisplayText&gt;(Landgraf et al., 2003)&lt;/DisplayText&gt;&lt;record&gt;&lt;rec-number&gt;37&lt;/rec-number&gt;&lt;foreign-keys&gt;&lt;key app="EN" db-id="vedta2ppje59fceprax5xvwqzxt2awx0xd99"&gt;37&lt;/key&gt;&lt;/foreign-keys&gt;&lt;ref-type name="Journal Article"&gt;17&lt;/ref-type&gt;&lt;contributors&gt;&lt;authors&gt;&lt;author&gt;Landgraf, M.&lt;/author&gt;&lt;author&gt;Sanchez-Soriano, N.&lt;/author&gt;&lt;author&gt;Technau, G. M.&lt;/author&gt;&lt;author&gt;Urban, J.&lt;/author&gt;&lt;author&gt;Prokop, A.&lt;/author&gt;&lt;/authors&gt;&lt;/contributors&gt;&lt;auth-address&gt;Department of Zoology, Downing Street, CB2 3EJ, Cambridge, UK.&lt;/auth-address&gt;&lt;titles&gt;&lt;title&gt;Charting the Drosophila neuropile: a strategy for the standardised characterisation of genetically amenable neurites&lt;/title&gt;&lt;secondary-title&gt;Dev Biol&lt;/secondary-title&gt;&lt;/titles&gt;&lt;periodical&gt;&lt;full-title&gt;Dev Biol&lt;/full-title&gt;&lt;/periodical&gt;&lt;pages&gt;207-25&lt;/pages&gt;&lt;volume&gt;260&lt;/volume&gt;&lt;number&gt;1&lt;/number&gt;&lt;edition&gt;2003/07/30&lt;/edition&gt;&lt;keywords&gt;&lt;keyword&gt;Animals&lt;/keyword&gt;&lt;keyword&gt;CD8 Antigens/metabolism&lt;/keyword&gt;&lt;keyword&gt;Central Nervous System/cytology/embryology/metabolism&lt;/keyword&gt;&lt;keyword&gt;Drosophila/*embryology/genetics&lt;/keyword&gt;&lt;keyword&gt;Drosophila Proteins/genetics/metabolism&lt;/keyword&gt;&lt;keyword&gt;Embryo, Nonmammalian/cytology&lt;/keyword&gt;&lt;keyword&gt;Gene Expression Regulation, Developmental&lt;/keyword&gt;&lt;keyword&gt;Gene Targeting&lt;/keyword&gt;&lt;keyword&gt;Larva&lt;/keyword&gt;&lt;keyword&gt;Models, Biological&lt;/keyword&gt;&lt;keyword&gt;Neurites/*metabolism&lt;/keyword&gt;&lt;keyword&gt;Neurons, Efferent/cytology/metabolism&lt;/keyword&gt;&lt;keyword&gt;Neuropil/cytology/*metabolism&lt;/keyword&gt;&lt;keyword&gt;Time Factors&lt;/keyword&gt;&lt;/keywords&gt;&lt;dates&gt;&lt;year&gt;2003&lt;/year&gt;&lt;pub-dates&gt;&lt;date&gt;Aug 1&lt;/date&gt;&lt;/pub-dates&gt;&lt;/dates&gt;&lt;isbn&gt;0012-1606 (Print)&amp;#xD;0012-1606 (Linking)&lt;/isbn&gt;&lt;accession-num&gt;12885565&lt;/accession-num&gt;&lt;urls&gt;&lt;related-urls&gt;&lt;url&gt;http://www.ncbi.nlm.nih.gov/pubmed/12885565&lt;/url&gt;&lt;/related-urls&gt;&lt;/urls&gt;&lt;electronic-resource-num&gt;S001216060300215X [pii]&lt;/electronic-resource-num&gt;&lt;language&gt;eng&lt;/language&gt;&lt;/record&gt;&lt;/Cite&gt;&lt;/EndNote&gt;</w:instrText>
      </w:r>
      <w:r>
        <w:rPr/>
        <w:fldChar w:fldCharType="separate"/>
      </w:r>
      <w:bookmarkStart w:id="106" w:name="__Fieldmark__3257_4090835577"/>
      <w:r>
        <w:rPr/>
      </w:r>
      <w:r>
        <w:rPr>
          <w:rFonts w:cs="Arial" w:ascii="Arial" w:hAnsi="Arial"/>
          <w:sz w:val="20"/>
          <w:szCs w:val="20"/>
          <w:lang w:val="en-GB"/>
        </w:rPr>
        <w:t>(Landgraf et al., 2003)</w:t>
      </w:r>
      <w:r>
        <w:rPr/>
      </w:r>
      <w:r>
        <w:rPr/>
        <w:fldChar w:fldCharType="end"/>
      </w:r>
      <w:hyperlink w:anchor="_ENREF_39" w:tgtFrame="Landgraf, 2003 #37">
        <w:bookmarkEnd w:id="106"/>
        <w:r>
          <w:rPr>
            <w:rFonts w:cs="Arial" w:ascii="Arial" w:hAnsi="Arial"/>
            <w:sz w:val="20"/>
            <w:szCs w:val="20"/>
            <w:lang w:val="en-GB"/>
          </w:rPr>
          <w:t xml:space="preserve">. Fasciclin II is a cell membrane glycoprotein of </w:t>
        </w:r>
      </w:hyperlink>
      <w:r>
        <w:rPr>
          <w:rFonts w:cs="Arial" w:ascii="Arial" w:hAnsi="Arial"/>
          <w:i/>
          <w:sz w:val="20"/>
          <w:szCs w:val="20"/>
          <w:lang w:val="en-GB"/>
        </w:rPr>
        <w:t>Drosophila</w:t>
      </w:r>
      <w:r>
        <w:rPr>
          <w:rFonts w:cs="Arial" w:ascii="Arial" w:hAnsi="Arial"/>
          <w:sz w:val="20"/>
          <w:szCs w:val="20"/>
          <w:lang w:val="en-GB"/>
        </w:rPr>
        <w:t xml:space="preserve"> corresponding to NCAM in vertebrates, which has an important role in CNS formation: neuronal differentiation, axonal growth, and synaptic formation </w:t>
      </w:r>
      <w:r>
        <w:fldChar w:fldCharType="begin"/>
      </w:r>
      <w:r>
        <w:rPr/>
        <w:instrText>ADDIN EN.CITE &lt;EndNote&gt;&lt;Cite&gt;&lt;Author&gt;Kristiansen&lt;/Author&gt;&lt;Year&gt;2010&lt;/Year&gt;&lt;RecNum&gt;38&lt;/RecNum&gt;&lt;DisplayText&gt;(Kristiansen and Hortsch, 2010)&lt;/DisplayText&gt;&lt;record&gt;&lt;rec-number&gt;38&lt;/rec-number&gt;&lt;foreign-keys&gt;&lt;key app="EN" db-id="vedta2ppje59fceprax5xvwqzxt2awx0xd99"&gt;38&lt;/key&gt;&lt;/foreign-keys&gt;&lt;ref-type name="Journal Article"&gt;17&lt;/ref-type&gt;&lt;contributors&gt;&lt;authors&gt;&lt;author&gt;Kristiansen, L. V.&lt;/author&gt;&lt;author&gt;Hortsch, M.&lt;/author&gt;&lt;/authors&gt;&lt;/contributors&gt;&lt;auth-address&gt;Department of Cell and Developmental Biology, University of Michigan, 109 Zina Pitcher Place, 3063 Biomedical Sciences Research Bldg (BSRB), Ann Arbor, MI 48109-2200, USA.&lt;/auth-address&gt;&lt;titles&gt;&lt;title&gt;Fasciclin II: the NCAM ortholog in Drosophila melanogaster&lt;/title&gt;&lt;secondary-title&gt;Adv Exp Med Biol&lt;/secondary-title&gt;&lt;/titles&gt;&lt;periodical&gt;&lt;full-title&gt;Adv Exp Med Biol&lt;/full-title&gt;&lt;/periodical&gt;&lt;pages&gt;387-401&lt;/pages&gt;&lt;volume&gt;663&lt;/volume&gt;&lt;edition&gt;2009/12/18&lt;/edition&gt;&lt;keywords&gt;&lt;keyword&gt;Alternative Splicing&lt;/keyword&gt;&lt;keyword&gt;Animals&lt;/keyword&gt;&lt;keyword&gt;Cell Adhesion/physiology&lt;/keyword&gt;&lt;keyword&gt;Cell Adhesion Molecules, Neuronal/*chemistry/genetics/*metabolism&lt;/keyword&gt;&lt;keyword&gt;ErbB Receptors/metabolism&lt;/keyword&gt;&lt;keyword&gt;Humans&lt;/keyword&gt;&lt;keyword&gt;Neural Cell Adhesion Molecules/*chemistry/classification/genetics/*metabolism&lt;/keyword&gt;&lt;keyword&gt;Neurons/physiology&lt;/keyword&gt;&lt;keyword&gt;Phylogeny&lt;/keyword&gt;&lt;keyword&gt;Protein Isoforms/*chemistry/classification/genetics/*metabolism&lt;/keyword&gt;&lt;keyword&gt;Protein Processing, Post-Translational&lt;/keyword&gt;&lt;keyword&gt;Receptors, Fibroblast Growth Factor/metabolism&lt;/keyword&gt;&lt;keyword&gt;Synapses/metabolism&lt;/keyword&gt;&lt;/keywords&gt;&lt;dates&gt;&lt;year&gt;2010&lt;/year&gt;&lt;/dates&gt;&lt;isbn&gt;0065-2598 (Print)&amp;#xD;0065-2598 (Linking)&lt;/isbn&gt;&lt;accession-num&gt;20017035&lt;/accession-num&gt;&lt;urls&gt;&lt;related-urls&gt;&lt;url&gt;http://www.ncbi.nlm.nih.gov/pubmed/20017035&lt;/url&gt;&lt;/related-urls&gt;&lt;/urls&gt;&lt;electronic-resource-num&gt;10.1007/978-1-4419-1170-4_24&lt;/electronic-resource-num&gt;&lt;language&gt;eng&lt;/language&gt;&lt;/record&gt;&lt;/Cite&gt;&lt;/EndNote&gt;</w:instrText>
      </w:r>
      <w:r>
        <w:rPr/>
        <w:fldChar w:fldCharType="separate"/>
      </w:r>
      <w:bookmarkStart w:id="107" w:name="__Fieldmark__3271_4090835577"/>
      <w:r>
        <w:rPr/>
      </w:r>
      <w:r>
        <w:rPr>
          <w:rFonts w:cs="Arial" w:ascii="Arial" w:hAnsi="Arial"/>
          <w:sz w:val="20"/>
          <w:szCs w:val="20"/>
          <w:lang w:val="en-GB"/>
        </w:rPr>
        <w:t>(Kristiansen and Hortsch, 2010)</w:t>
      </w:r>
      <w:r>
        <w:rPr/>
      </w:r>
      <w:r>
        <w:rPr/>
        <w:fldChar w:fldCharType="end"/>
      </w:r>
      <w:hyperlink w:anchor="_ENREF_35" w:tgtFrame="Kristiansen, 2010 #38">
        <w:bookmarkEnd w:id="107"/>
        <w:r>
          <w:rPr>
            <w:rFonts w:cs="Arial" w:ascii="Arial" w:hAnsi="Arial"/>
            <w:sz w:val="20"/>
            <w:szCs w:val="20"/>
            <w:lang w:val="en-GB"/>
          </w:rPr>
          <w:t xml:space="preserve">. Fasciclin II is recognised by α-Fasciclin II antibodies, which remain stable and constant over time. These specific antibodies are used to understand where neuropils are situated, which are defined as the synaptic areas </w:t>
        </w:r>
      </w:hyperlink>
      <w:r>
        <w:fldChar w:fldCharType="begin"/>
      </w:r>
      <w:r>
        <w:rPr/>
        <w:instrText>ADDIN EN.CITE &lt;EndNote&gt;&lt;Cite&gt;&lt;Author&gt;Landgraf&lt;/Author&gt;&lt;Year&gt;2003&lt;/Year&gt;&lt;RecNum&gt;37&lt;/RecNum&gt;&lt;DisplayText&gt;(Landgraf et al., 2003)&lt;/DisplayText&gt;&lt;record&gt;&lt;rec-number&gt;37&lt;/rec-number&gt;&lt;foreign-keys&gt;&lt;key app="EN" db-id="vedta2ppje59fceprax5xvwqzxt2awx0xd99"&gt;37&lt;/key&gt;&lt;/foreign-keys&gt;&lt;ref-type name="Journal Article"&gt;17&lt;/ref-type&gt;&lt;contributors&gt;&lt;authors&gt;&lt;author&gt;Landgraf, M.&lt;/author&gt;&lt;author&gt;Sanchez-Soriano, N.&lt;/author&gt;&lt;author&gt;Technau, G. M.&lt;/author&gt;&lt;author&gt;Urban, J.&lt;/author&gt;&lt;author&gt;Prokop, A.&lt;/author&gt;&lt;/authors&gt;&lt;/contributors&gt;&lt;auth-address&gt;Department of Zoology, Downing Street, CB2 3EJ, Cambridge, UK.&lt;/auth-address&gt;&lt;titles&gt;&lt;title&gt;Charting the Drosophila neuropile: a strategy for the standardised characterisation of genetically amenable neurites&lt;/title&gt;&lt;secondary-title&gt;Dev Biol&lt;/secondary-title&gt;&lt;/titles&gt;&lt;periodical&gt;&lt;full-title&gt;Dev Biol&lt;/full-title&gt;&lt;/periodical&gt;&lt;pages&gt;207-25&lt;/pages&gt;&lt;volume&gt;260&lt;/volume&gt;&lt;number&gt;1&lt;/number&gt;&lt;edition&gt;2003/07/30&lt;/edition&gt;&lt;keywords&gt;&lt;keyword&gt;Animals&lt;/keyword&gt;&lt;keyword&gt;CD8 Antigens/metabolism&lt;/keyword&gt;&lt;keyword&gt;Central Nervous System/cytology/embryology/metabolism&lt;/keyword&gt;&lt;keyword&gt;Drosophila/*embryology/genetics&lt;/keyword&gt;&lt;keyword&gt;Drosophila Proteins/genetics/metabolism&lt;/keyword&gt;&lt;keyword&gt;Embryo, Nonmammalian/cytology&lt;/keyword&gt;&lt;keyword&gt;Gene Expression Regulation, Developmental&lt;/keyword&gt;&lt;keyword&gt;Gene Targeting&lt;/keyword&gt;&lt;keyword&gt;Larva&lt;/keyword&gt;&lt;keyword&gt;Models, Biological&lt;/keyword&gt;&lt;keyword&gt;Neurites/*metabolism&lt;/keyword&gt;&lt;keyword&gt;Neurons, Efferent/cytology/metabolism&lt;/keyword&gt;&lt;keyword&gt;Neuropil/cytology/*metabolism&lt;/keyword&gt;&lt;keyword&gt;Time Factors&lt;/keyword&gt;&lt;/keywords&gt;&lt;dates&gt;&lt;year&gt;2003&lt;/year&gt;&lt;pub-dates&gt;&lt;date&gt;Aug 1&lt;/date&gt;&lt;/pub-dates&gt;&lt;/dates&gt;&lt;isbn&gt;0012-1606 (Print)&amp;#xD;0012-1606 (Linking)&lt;/isbn&gt;&lt;accession-num&gt;12885565&lt;/accession-num&gt;&lt;urls&gt;&lt;related-urls&gt;&lt;url&gt;http://www.ncbi.nlm.nih.gov/pubmed/12885565&lt;/url&gt;&lt;/related-urls&gt;&lt;/urls&gt;&lt;electronic-resource-num&gt;S001216060300215X [pii]&lt;/electronic-resource-num&gt;&lt;language&gt;eng&lt;/language&gt;&lt;/record&gt;&lt;/Cite&gt;&lt;/EndNote&gt;</w:instrText>
      </w:r>
      <w:r>
        <w:rPr/>
        <w:fldChar w:fldCharType="separate"/>
      </w:r>
      <w:bookmarkStart w:id="108" w:name="__Fieldmark__3285_4090835577"/>
      <w:r>
        <w:rPr/>
      </w:r>
      <w:r>
        <w:rPr>
          <w:rFonts w:cs="Arial" w:ascii="Arial" w:hAnsi="Arial"/>
          <w:sz w:val="20"/>
          <w:szCs w:val="20"/>
          <w:lang w:val="en-GB"/>
        </w:rPr>
        <w:t>(Landgraf et al., 2003)</w:t>
      </w:r>
      <w:r>
        <w:rPr/>
      </w:r>
      <w:r>
        <w:rPr/>
        <w:fldChar w:fldCharType="end"/>
      </w:r>
      <w:hyperlink w:anchor="_ENREF_39" w:tgtFrame="Landgraf, 2003 #37">
        <w:bookmarkEnd w:id="108"/>
        <w:r>
          <w:rPr>
            <w:rFonts w:cs="Arial" w:ascii="Arial" w:hAnsi="Arial"/>
            <w:sz w:val="20"/>
            <w:szCs w:val="20"/>
            <w:lang w:val="en-GB"/>
          </w:rPr>
          <w:t>. Thanks to Fasciclin II staining, it was discovered that the neuropil is fragmented into several regions, which develop during the embryonic stage and are remain until the larval stages</w:t>
        </w:r>
      </w:hyperlink>
      <w:r>
        <w:fldChar w:fldCharType="begin"/>
      </w:r>
      <w:r>
        <w:rPr/>
        <w:instrText>ADDIN EN.CITE &lt;EndNote&gt;&lt;Cite&gt;&lt;Author&gt;Landgraf&lt;/Author&gt;&lt;Year&gt;2003&lt;/Year&gt;&lt;RecNum&gt;37&lt;/RecNum&gt;&lt;DisplayText&gt;(Landgraf et al., 2003)&lt;/DisplayText&gt;&lt;record&gt;&lt;rec-number&gt;37&lt;/rec-number&gt;&lt;foreign-keys&gt;&lt;key app="EN" db-id="vedta2ppje59fceprax5xvwqzxt2awx0xd99"&gt;37&lt;/key&gt;&lt;/foreign-keys&gt;&lt;ref-type name="Journal Article"&gt;17&lt;/ref-type&gt;&lt;contributors&gt;&lt;authors&gt;&lt;author&gt;Landgraf, M.&lt;/author&gt;&lt;author&gt;Sanchez-Soriano, N.&lt;/author&gt;&lt;author&gt;Technau, G. M.&lt;/author&gt;&lt;author&gt;Urban, J.&lt;/author&gt;&lt;author&gt;Prokop, A.&lt;/author&gt;&lt;/authors&gt;&lt;/contributors&gt;&lt;auth-address&gt;Department of Zoology, Downing Street, CB2 3EJ, Cambridge, UK.&lt;/auth-address&gt;&lt;titles&gt;&lt;title&gt;Charting the Drosophila neuropile: a strategy for the standardised characterisation of genetically amenable neurites&lt;/title&gt;&lt;secondary-title&gt;Dev Biol&lt;/secondary-title&gt;&lt;/titles&gt;&lt;periodical&gt;&lt;full-title&gt;Dev Biol&lt;/full-title&gt;&lt;/periodical&gt;&lt;pages&gt;207-25&lt;/pages&gt;&lt;volume&gt;260&lt;/volume&gt;&lt;number&gt;1&lt;/number&gt;&lt;edition&gt;2003/07/30&lt;/edition&gt;&lt;keywords&gt;&lt;keyword&gt;Animals&lt;/keyword&gt;&lt;keyword&gt;CD8 Antigens/metabolism&lt;/keyword&gt;&lt;keyword&gt;Central Nervous System/cytology/embryology/metabolism&lt;/keyword&gt;&lt;keyword&gt;Drosophila/*embryology/genetics&lt;/keyword&gt;&lt;keyword&gt;Drosophila Proteins/genetics/metabolism&lt;/keyword&gt;&lt;keyword&gt;Embryo, Nonmammalian/cytology&lt;/keyword&gt;&lt;keyword&gt;Gene Expression Regulation, Developmental&lt;/keyword&gt;&lt;keyword&gt;Gene Targeting&lt;/keyword&gt;&lt;keyword&gt;Larva&lt;/keyword&gt;&lt;keyword&gt;Models, Biological&lt;/keyword&gt;&lt;keyword&gt;Neurites/*metabolism&lt;/keyword&gt;&lt;keyword&gt;Neurons, Efferent/cytology/metabolism&lt;/keyword&gt;&lt;keyword&gt;Neuropil/cytology/*metabolism&lt;/keyword&gt;&lt;keyword&gt;Time Factors&lt;/keyword&gt;&lt;/keywords&gt;&lt;dates&gt;&lt;year&gt;2003&lt;/year&gt;&lt;pub-dates&gt;&lt;date&gt;Aug 1&lt;/date&gt;&lt;/pub-dates&gt;&lt;/dates&gt;&lt;isbn&gt;0012-1606 (Print)&amp;#xD;0012-1606 (Linking)&lt;/isbn&gt;&lt;accession-num&gt;12885565&lt;/accession-num&gt;&lt;urls&gt;&lt;related-urls&gt;&lt;url&gt;http://www.ncbi.nlm.nih.gov/pubmed/12885565&lt;/url&gt;&lt;/related-urls&gt;&lt;/urls&gt;&lt;electronic-resource-num&gt;S001216060300215X [pii]&lt;/electronic-resource-num&gt;&lt;language&gt;eng&lt;/language&gt;&lt;/record&gt;&lt;/Cite&gt;&lt;/EndNote&gt;</w:instrText>
      </w:r>
      <w:r>
        <w:rPr/>
        <w:fldChar w:fldCharType="separate"/>
      </w:r>
      <w:bookmarkStart w:id="109" w:name="__Fieldmark__3298_4090835577"/>
      <w:r>
        <w:rPr/>
      </w:r>
      <w:r>
        <w:rPr>
          <w:rFonts w:cs="Arial" w:ascii="Arial" w:hAnsi="Arial"/>
          <w:sz w:val="20"/>
          <w:szCs w:val="20"/>
          <w:lang w:val="en-GB"/>
        </w:rPr>
        <w:t>(Landgraf et al., 2003)</w:t>
      </w:r>
      <w:r>
        <w:rPr/>
      </w:r>
      <w:r>
        <w:rPr/>
        <w:fldChar w:fldCharType="end"/>
      </w:r>
      <w:hyperlink w:anchor="_ENREF_39" w:tgtFrame="Landgraf, 2003 #37">
        <w:bookmarkEnd w:id="109"/>
        <w:r>
          <w:rPr>
            <w:rFonts w:cs="Arial" w:ascii="Arial" w:hAnsi="Arial"/>
            <w:sz w:val="20"/>
            <w:szCs w:val="20"/>
            <w:lang w:val="en-GB"/>
          </w:rPr>
          <w:t xml:space="preserve">. </w:t>
        </w:r>
      </w:hyperlink>
    </w:p>
    <w:p>
      <w:pPr>
        <w:pStyle w:val="Normal"/>
        <w:spacing w:lineRule="auto" w:line="360"/>
        <w:jc w:val="both"/>
        <w:rPr/>
      </w:pPr>
      <w:r>
        <w:rPr>
          <w:rFonts w:cs="Arial" w:ascii="Arial" w:hAnsi="Arial"/>
          <w:sz w:val="20"/>
          <w:szCs w:val="20"/>
          <w:lang w:val="en-GB"/>
        </w:rPr>
        <w:t xml:space="preserve">I determined the localisation of Rdl receptors in motorneurons by  expressing </w:t>
      </w:r>
      <w:r>
        <w:rPr>
          <w:rFonts w:cs="Arial" w:ascii="Arial" w:hAnsi="Arial"/>
          <w:i/>
          <w:sz w:val="20"/>
          <w:szCs w:val="20"/>
          <w:lang w:val="en-GB"/>
        </w:rPr>
        <w:t>UAS-Rdl-HA</w:t>
      </w:r>
      <w:r>
        <w:rPr>
          <w:rFonts w:cs="Arial" w:ascii="Arial" w:hAnsi="Arial"/>
          <w:sz w:val="20"/>
          <w:szCs w:val="20"/>
          <w:lang w:val="en-GB"/>
        </w:rPr>
        <w:t xml:space="preserve"> using Ok6-Gal4. The HA tag allows me to detect Rdl protein localisation using a α-HA antibody. HA is a surface glycoprotein from the Human influenza hemagglutinin virus A and is used as a epitope tag to facilitated protein purification and detection without interfering with proteins bioactivity and distribution </w:t>
      </w:r>
      <w:r>
        <w:fldChar w:fldCharType="begin"/>
      </w:r>
      <w:r>
        <w:rPr/>
        <w:instrText>ADDIN EN.CITE &lt;EndNote&gt;&lt;Cite&gt;&lt;Author&gt;Schembri&lt;/Author&gt;&lt;Year&gt;2007&lt;/Year&gt;&lt;RecNum&gt;74&lt;/RecNum&gt;&lt;DisplayText&gt;(Schembri et al., 2007)&lt;/DisplayText&gt;&lt;record&gt;&lt;rec-number&gt;74&lt;/rec-number&gt;&lt;foreign-keys&gt;&lt;key app="EN" db-id="vedta2ppje59fceprax5xvwqzxt2awx0xd99"&gt;74&lt;/key&gt;&lt;/foreign-keys&gt;&lt;ref-type name="Journal Article"&gt;17&lt;/ref-type&gt;&lt;contributors&gt;&lt;authors&gt;&lt;author&gt;Schembri, L.&lt;/author&gt;&lt;author&gt;Dalibart, R.&lt;/author&gt;&lt;author&gt;Tomasello, F.&lt;/author&gt;&lt;author&gt;Legembre, P.&lt;/author&gt;&lt;author&gt;Ichas, F.&lt;/author&gt;&lt;author&gt;De Giorgi, F.&lt;/author&gt;&lt;/authors&gt;&lt;/contributors&gt;&lt;auth-address&gt;Inst Bergonie, INSERM, E347, F-33076 Bordeaux, France&amp;#xD;Univ Bordeaux 2, CNRS, UMR5164, F-33076 Bordeaux, France&lt;/auth-address&gt;&lt;titles&gt;&lt;title&gt;The HA tag is cleaved and loses immunoreactivity during apoptosis&lt;/title&gt;&lt;secondary-title&gt;Nature Methods&lt;/secondary-title&gt;&lt;alt-title&gt;Nat Methods&lt;/alt-title&gt;&lt;/titles&gt;&lt;periodical&gt;&lt;full-title&gt;Nature Methods&lt;/full-title&gt;&lt;abbr-1&gt;Nat Methods&lt;/abbr-1&gt;&lt;/periodical&gt;&lt;alt-periodical&gt;&lt;full-title&gt;Nature Methods&lt;/full-title&gt;&lt;abbr-1&gt;Nat Methods&lt;/abbr-1&gt;&lt;/alt-periodical&gt;&lt;pages&gt;107-108&lt;/pages&gt;&lt;volume&gt;4&lt;/volume&gt;&lt;number&gt;2&lt;/number&gt;&lt;keywords&gt;&lt;keyword&gt;cells&lt;/keyword&gt;&lt;/keywords&gt;&lt;dates&gt;&lt;year&gt;2007&lt;/year&gt;&lt;pub-dates&gt;&lt;date&gt;Feb&lt;/date&gt;&lt;/pub-dates&gt;&lt;/dates&gt;&lt;isbn&gt;1548-7091&lt;/isbn&gt;&lt;accession-num&gt;ISI:000243998100002&lt;/accession-num&gt;&lt;urls&gt;&lt;related-urls&gt;&lt;url&gt;&amp;lt;Go to ISI&amp;gt;://000243998100002&lt;/url&gt;&lt;/related-urls&gt;&lt;/urls&gt;&lt;electronic-resource-num&gt;DOI 10.1038/nmeth0207-107&lt;/electronic-resource-num&gt;&lt;language&gt;English&lt;/language&gt;&lt;/record&gt;&lt;/Cite&gt;&lt;/EndNote&gt;</w:instrText>
      </w:r>
      <w:r>
        <w:rPr/>
        <w:fldChar w:fldCharType="separate"/>
      </w:r>
      <w:bookmarkStart w:id="110" w:name="__Fieldmark__3326_4090835577"/>
      <w:r>
        <w:rPr/>
      </w:r>
      <w:r>
        <w:rPr>
          <w:rFonts w:cs="Arial" w:ascii="Arial" w:hAnsi="Arial"/>
          <w:sz w:val="20"/>
          <w:szCs w:val="20"/>
          <w:lang w:val="en-GB"/>
        </w:rPr>
        <w:t>(Schembri et al., 2007)</w:t>
      </w:r>
      <w:r>
        <w:rPr/>
      </w:r>
      <w:r>
        <w:rPr/>
        <w:fldChar w:fldCharType="end"/>
      </w:r>
      <w:hyperlink w:anchor="_ENREF_75" w:tgtFrame="Schembri, 2007 #74">
        <w:bookmarkEnd w:id="110"/>
        <w:r>
          <w:rPr>
            <w:rFonts w:cs="Arial" w:ascii="Arial" w:hAnsi="Arial"/>
            <w:sz w:val="20"/>
            <w:szCs w:val="20"/>
            <w:lang w:val="en-GB"/>
          </w:rPr>
          <w:t xml:space="preserve">. I co-stained  Fasciclin II, Fas II and the HA staining and I could conclude that in control and triple-heterozygous brains Rdl is located in the synaptic area of the ventral nerve cord, in which motorneurons form synapsis with CNS neurons and transmit action potential to the muscles of the entire body (Fig.13 a,c).  Rdl is also  localised in the cells bodies of motorneurons (Fig.13, a). These results are in agreement with previous works realised in Prokop’s Laboratory. Enell et </w:t>
        </w:r>
      </w:hyperlink>
      <w:r>
        <w:rPr>
          <w:rFonts w:cs="Arial" w:ascii="Arial" w:hAnsi="Arial"/>
          <w:i/>
          <w:sz w:val="20"/>
          <w:szCs w:val="20"/>
          <w:lang w:val="en-GB"/>
        </w:rPr>
        <w:t>al</w:t>
      </w:r>
      <w:r>
        <w:rPr>
          <w:rFonts w:cs="Arial" w:ascii="Arial" w:hAnsi="Arial"/>
          <w:sz w:val="20"/>
          <w:szCs w:val="20"/>
          <w:lang w:val="en-GB"/>
        </w:rPr>
        <w:t xml:space="preserve">. also found that Rdl receptors are present in majority in synaptic neuropils and play an important role for rapid GABA inhibitory transmission </w:t>
      </w:r>
      <w:r>
        <w:fldChar w:fldCharType="begin"/>
      </w:r>
      <w:r>
        <w:rPr/>
        <w:instrText>ADDIN EN.CITE &lt;EndNote&gt;&lt;Cite&gt;&lt;Author&gt;Enell&lt;/Author&gt;&lt;Year&gt;2007&lt;/Year&gt;&lt;RecNum&gt;36&lt;/RecNum&gt;&lt;DisplayText&gt;(Enell et al., 2007)&lt;/DisplayText&gt;&lt;record&gt;&lt;rec-number&gt;36&lt;/rec-number&gt;&lt;foreign-keys&gt;&lt;key app="EN" db-id="vedta2ppje59fceprax5xvwqzxt2awx0xd99"&gt;36&lt;/key&gt;&lt;/foreign-keys&gt;&lt;ref-type name="Journal Article"&gt;17&lt;/ref-type&gt;&lt;contributors&gt;&lt;authors&gt;&lt;author&gt;Enell, L.&lt;/author&gt;&lt;author&gt;Hamasaka, Y.&lt;/author&gt;&lt;author&gt;Kolodziejczyk, A.&lt;/author&gt;&lt;author&gt;Nassel, D. R.&lt;/author&gt;&lt;/authors&gt;&lt;/contributors&gt;&lt;auth-address&gt;Department of Zoology, Stockholm University, SE-106 91 Stockholm, Sweden.&lt;/auth-address&gt;&lt;titles&gt;&lt;title&gt;gamma-Aminobutyric acid (GABA) signaling components in Drosophila: immunocytochemical localization of GABA(B) receptors in relation to the GABA(A) receptor subunit RDL and a vesicular GABA transporter&lt;/title&gt;&lt;secondary-title&gt;J Comp Neurol&lt;/secondary-title&gt;&lt;/titles&gt;&lt;periodical&gt;&lt;full-title&gt;J Comp Neurol&lt;/full-title&gt;&lt;/periodical&gt;&lt;pages&gt;18-31&lt;/pages&gt;&lt;volume&gt;505&lt;/volume&gt;&lt;number&gt;1&lt;/number&gt;&lt;edition&gt;2007/08/31&lt;/edition&gt;&lt;keywords&gt;&lt;keyword&gt;Animals&lt;/keyword&gt;&lt;keyword&gt;Animals, Genetically Modified&lt;/keyword&gt;&lt;keyword&gt;Brain/anatomy &amp;amp; histology/*physiology&lt;/keyword&gt;&lt;keyword&gt;Drosophila&lt;/keyword&gt;&lt;keyword&gt;Drosophila Proteins/*metabolism&lt;/keyword&gt;&lt;keyword&gt;Green Fluorescent Proteins/metabolism&lt;/keyword&gt;&lt;keyword&gt;Immunohistochemistry/methods&lt;/keyword&gt;&lt;keyword&gt;Receptors, GABA-A/*metabolism&lt;/keyword&gt;&lt;keyword&gt;Receptors, GABA-B/*metabolism&lt;/keyword&gt;&lt;keyword&gt;Signal Transduction/*physiology&lt;/keyword&gt;&lt;keyword&gt;Vesicular Inhibitory Amino Acid Transport Proteins/*metabolism&lt;/keyword&gt;&lt;keyword&gt;gamma-Aminobutyric Acid/*metabolism&lt;/keyword&gt;&lt;/keywords&gt;&lt;dates&gt;&lt;year&gt;2007&lt;/year&gt;&lt;pub-dates&gt;&lt;date&gt;Nov 1&lt;/date&gt;&lt;/pub-dates&gt;&lt;/dates&gt;&lt;isbn&gt;0021-9967 (Print)&amp;#xD;0021-9967 (Linking)&lt;/isbn&gt;&lt;accession-num&gt;17729251&lt;/accession-num&gt;&lt;urls&gt;&lt;related-urls&gt;&lt;url&gt;http://www.ncbi.nlm.nih.gov/pubmed/17729251&lt;/url&gt;&lt;/related-urls&gt;&lt;/urls&gt;&lt;electronic-resource-num&gt;10.1002/cne.21472&lt;/electronic-resource-num&gt;&lt;language&gt;eng&lt;/language&gt;&lt;/record&gt;&lt;/Cite&gt;&lt;/EndNote&gt;</w:instrText>
      </w:r>
      <w:r>
        <w:rPr/>
        <w:fldChar w:fldCharType="separate"/>
      </w:r>
      <w:bookmarkStart w:id="111" w:name="__Fieldmark__3355_4090835577"/>
      <w:r>
        <w:rPr/>
      </w:r>
      <w:r>
        <w:rPr>
          <w:rFonts w:cs="Arial" w:ascii="Arial" w:hAnsi="Arial"/>
          <w:sz w:val="20"/>
          <w:szCs w:val="20"/>
          <w:lang w:val="en-GB"/>
        </w:rPr>
        <w:t>(Enell et al., 2007)</w:t>
      </w:r>
      <w:r>
        <w:rPr/>
      </w:r>
      <w:r>
        <w:rPr/>
        <w:fldChar w:fldCharType="end"/>
      </w:r>
      <w:hyperlink w:anchor="_ENREF_17" w:tgtFrame="Enell, 2007 #36">
        <w:bookmarkEnd w:id="111"/>
        <w:r>
          <w:rPr>
            <w:rFonts w:cs="Arial" w:ascii="Arial" w:hAnsi="Arial"/>
            <w:sz w:val="20"/>
            <w:szCs w:val="20"/>
            <w:lang w:val="en-GB"/>
          </w:rPr>
          <w:t xml:space="preserve">. If transport of Rdl is impaired I would have expected a HA staining with higher intensity in cell bodies in </w:t>
        </w:r>
      </w:hyperlink>
      <w:r>
        <w:rPr>
          <w:rFonts w:cs="Arial" w:ascii="Arial" w:hAnsi="Arial"/>
          <w:bCs/>
          <w:i/>
          <w:iCs/>
          <w:sz w:val="20"/>
          <w:szCs w:val="20"/>
          <w:lang w:val="en-GB"/>
        </w:rPr>
        <w:t>Eb1</w:t>
      </w:r>
      <w:r>
        <w:rPr>
          <w:rFonts w:cs="Arial" w:ascii="Arial" w:hAnsi="Arial"/>
          <w:bCs/>
          <w:i/>
          <w:iCs/>
          <w:sz w:val="20"/>
          <w:szCs w:val="20"/>
          <w:vertAlign w:val="superscript"/>
          <w:lang w:val="en-GB"/>
        </w:rPr>
        <w:t>04524/+</w:t>
      </w:r>
      <w:r>
        <w:rPr>
          <w:rFonts w:cs="Arial" w:ascii="Arial" w:hAnsi="Arial"/>
          <w:bCs/>
          <w:i/>
          <w:iCs/>
          <w:sz w:val="20"/>
          <w:szCs w:val="20"/>
          <w:lang w:val="en-GB"/>
        </w:rPr>
        <w:t xml:space="preserve"> msps </w:t>
      </w:r>
      <w:r>
        <w:rPr>
          <w:rFonts w:cs="Arial" w:ascii="Arial" w:hAnsi="Arial"/>
          <w:bCs/>
          <w:i/>
          <w:iCs/>
          <w:sz w:val="20"/>
          <w:szCs w:val="20"/>
          <w:vertAlign w:val="superscript"/>
          <w:lang w:val="en-GB"/>
        </w:rPr>
        <w:t>1/+</w:t>
      </w:r>
      <w:r>
        <w:rPr>
          <w:rFonts w:cs="Arial" w:ascii="Arial" w:hAnsi="Arial"/>
          <w:bCs/>
          <w:i/>
          <w:iCs/>
          <w:sz w:val="20"/>
          <w:szCs w:val="20"/>
          <w:lang w:val="en-GB"/>
        </w:rPr>
        <w:t xml:space="preserve"> tau</w:t>
      </w:r>
      <w:r>
        <w:rPr>
          <w:rFonts w:cs="Arial" w:ascii="Arial" w:hAnsi="Arial"/>
          <w:bCs/>
          <w:i/>
          <w:iCs/>
          <w:sz w:val="20"/>
          <w:szCs w:val="20"/>
          <w:vertAlign w:val="superscript"/>
          <w:lang w:val="en-GB"/>
        </w:rPr>
        <w:t>ko/+</w:t>
      </w:r>
      <w:r>
        <w:rPr>
          <w:rFonts w:cs="Arial" w:ascii="Arial" w:hAnsi="Arial"/>
          <w:bCs/>
          <w:sz w:val="20"/>
          <w:szCs w:val="20"/>
          <w:lang w:val="en-GB"/>
        </w:rPr>
        <w:t xml:space="preserve"> </w:t>
      </w:r>
      <w:r>
        <w:rPr>
          <w:rFonts w:cs="Arial" w:ascii="Arial" w:hAnsi="Arial"/>
          <w:bCs/>
          <w:i/>
          <w:iCs/>
          <w:sz w:val="20"/>
          <w:szCs w:val="20"/>
          <w:lang w:val="en-GB"/>
        </w:rPr>
        <w:t xml:space="preserve">; </w:t>
      </w:r>
      <w:r>
        <w:rPr>
          <w:rFonts w:cs="Arial" w:ascii="Arial" w:hAnsi="Arial"/>
          <w:bCs/>
          <w:sz w:val="20"/>
          <w:szCs w:val="20"/>
          <w:lang w:val="en-GB"/>
        </w:rPr>
        <w:t>OK6Gal4&gt;Rdl-HA larvae compared to controls.</w:t>
      </w:r>
      <w:r>
        <w:rPr>
          <w:rFonts w:cs="Arial" w:ascii="Arial" w:hAnsi="Arial"/>
          <w:sz w:val="20"/>
          <w:szCs w:val="20"/>
          <w:lang w:val="en-GB"/>
        </w:rPr>
        <w:t xml:space="preserve"> However, I could not notice any obvious difference in the staining of both genotypes and the sample number was very small to calculate significative ratios between the intensity transmitted in the neuropil and in cell bodies. In order to determine whether there is a difference between the brains of both genotypes this experiments should be repeated in future experiments with a more accurate method of quantification potentially by including the expression of a membrane marker. </w:t>
      </w:r>
    </w:p>
    <w:p>
      <w:pPr>
        <w:pStyle w:val="Normal"/>
        <w:spacing w:lineRule="auto" w:line="360" w:before="4764" w:after="160"/>
        <w:jc w:val="both"/>
        <w:rPr>
          <w:rFonts w:ascii="Arial" w:hAnsi="Arial" w:cs="Arial"/>
          <w:sz w:val="20"/>
          <w:szCs w:val="20"/>
          <w:lang w:val="en-GB"/>
        </w:rPr>
      </w:pPr>
      <w:r>
        <w:rPr>
          <w:rFonts w:cs="Arial" w:ascii="Arial" w:hAnsi="Arial"/>
          <w:sz w:val="20"/>
          <w:szCs w:val="20"/>
          <w:lang w:val="en-GB"/>
        </w:rPr>
        <w:drawing>
          <wp:anchor behindDoc="0" distT="0" distB="9525" distL="114300" distR="114300" simplePos="0" locked="0" layoutInCell="1" allowOverlap="1" relativeHeight="3">
            <wp:simplePos x="0" y="0"/>
            <wp:positionH relativeFrom="margin">
              <wp:posOffset>0</wp:posOffset>
            </wp:positionH>
            <wp:positionV relativeFrom="paragraph">
              <wp:posOffset>8890</wp:posOffset>
            </wp:positionV>
            <wp:extent cx="5086985" cy="1476375"/>
            <wp:effectExtent l="0" t="0" r="0" b="0"/>
            <wp:wrapTight wrapText="bothSides">
              <wp:wrapPolygon edited="0">
                <wp:start x="304" y="273"/>
                <wp:lineTo x="60" y="2224"/>
                <wp:lineTo x="-21" y="3614"/>
                <wp:lineTo x="-21" y="21438"/>
                <wp:lineTo x="21513" y="21438"/>
                <wp:lineTo x="21513" y="2782"/>
                <wp:lineTo x="4108" y="273"/>
                <wp:lineTo x="304" y="273"/>
              </wp:wrapPolygon>
            </wp:wrapTight>
            <wp:docPr id="15" name="Imagem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33" descr=""/>
                    <pic:cNvPicPr>
                      <a:picLocks noChangeAspect="1" noChangeArrowheads="1"/>
                    </pic:cNvPicPr>
                  </pic:nvPicPr>
                  <pic:blipFill>
                    <a:blip r:embed="rId16"/>
                    <a:stretch>
                      <a:fillRect/>
                    </a:stretch>
                  </pic:blipFill>
                  <pic:spPr bwMode="auto">
                    <a:xfrm>
                      <a:off x="0" y="0"/>
                      <a:ext cx="5086985" cy="1476375"/>
                    </a:xfrm>
                    <a:prstGeom prst="rect">
                      <a:avLst/>
                    </a:prstGeom>
                  </pic:spPr>
                </pic:pic>
              </a:graphicData>
            </a:graphic>
          </wp:anchor>
        </w:drawing>
        <w:drawing>
          <wp:anchor behindDoc="0" distT="0" distB="0" distL="114300" distR="114300" simplePos="0" locked="0" layoutInCell="1" allowOverlap="1" relativeHeight="7">
            <wp:simplePos x="0" y="0"/>
            <wp:positionH relativeFrom="column">
              <wp:posOffset>-3810</wp:posOffset>
            </wp:positionH>
            <wp:positionV relativeFrom="paragraph">
              <wp:posOffset>1456055</wp:posOffset>
            </wp:positionV>
            <wp:extent cx="5400040" cy="1548765"/>
            <wp:effectExtent l="0" t="0" r="0" b="0"/>
            <wp:wrapTight wrapText="bothSides">
              <wp:wrapPolygon edited="0">
                <wp:start x="514" y="264"/>
                <wp:lineTo x="286" y="790"/>
                <wp:lineTo x="-20" y="3184"/>
                <wp:lineTo x="-20" y="21235"/>
                <wp:lineTo x="17139" y="21235"/>
                <wp:lineTo x="21485" y="21235"/>
                <wp:lineTo x="21485" y="2653"/>
                <wp:lineTo x="8217" y="264"/>
                <wp:lineTo x="514" y="264"/>
              </wp:wrapPolygon>
            </wp:wrapTight>
            <wp:docPr id="16" name="Imagem 34" descr="Uma imagem com animal, invertebrado, verme&#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34" descr="Uma imagem com animal, invertebrado, verme&#10;&#10;Descrição gerada com confiança muito alta"/>
                    <pic:cNvPicPr>
                      <a:picLocks noChangeAspect="1" noChangeArrowheads="1"/>
                    </pic:cNvPicPr>
                  </pic:nvPicPr>
                  <pic:blipFill>
                    <a:blip r:embed="rId17"/>
                    <a:stretch>
                      <a:fillRect/>
                    </a:stretch>
                  </pic:blipFill>
                  <pic:spPr bwMode="auto">
                    <a:xfrm>
                      <a:off x="0" y="0"/>
                      <a:ext cx="5400040" cy="1548765"/>
                    </a:xfrm>
                    <a:prstGeom prst="rect">
                      <a:avLst/>
                    </a:prstGeom>
                  </pic:spPr>
                </pic:pic>
              </a:graphicData>
            </a:graphic>
          </wp:anchor>
        </w:drawing>
      </w:r>
    </w:p>
    <w:p>
      <w:pPr>
        <w:pStyle w:val="Normal"/>
        <w:spacing w:lineRule="auto" w:line="240" w:before="120" w:after="0"/>
        <w:jc w:val="both"/>
        <w:rPr>
          <w:rFonts w:ascii="Arial" w:hAnsi="Arial" w:cs="Arial"/>
          <w:b/>
          <w:b/>
          <w:bCs/>
          <w:sz w:val="18"/>
          <w:szCs w:val="18"/>
          <w:lang w:val="en-GB"/>
        </w:rPr>
      </w:pPr>
      <w:r>
        <w:rPr>
          <w:rFonts w:cs="Arial" w:ascii="Arial" w:hAnsi="Arial"/>
          <w:b/>
          <w:sz w:val="18"/>
          <w:szCs w:val="18"/>
          <w:lang w:val="en-GB"/>
        </w:rPr>
        <w:t xml:space="preserve">Fig.13: Rdl localisation in both cell bodies and neuropil in </w:t>
      </w:r>
      <w:r>
        <w:rPr>
          <w:rFonts w:cs="Arial" w:ascii="Arial" w:hAnsi="Arial"/>
          <w:b/>
          <w:i/>
          <w:sz w:val="18"/>
          <w:szCs w:val="18"/>
          <w:lang w:val="en-GB"/>
        </w:rPr>
        <w:t>OK6-GAL4 UAS-Rdl-HA</w:t>
      </w:r>
      <w:r>
        <w:rPr>
          <w:rFonts w:cs="Arial" w:ascii="Arial" w:hAnsi="Arial"/>
          <w:sz w:val="18"/>
          <w:szCs w:val="18"/>
          <w:lang w:val="en-GB"/>
        </w:rPr>
        <w:t xml:space="preserve"> </w:t>
      </w:r>
      <w:r>
        <w:rPr>
          <w:rFonts w:cs="Arial" w:ascii="Arial" w:hAnsi="Arial"/>
          <w:b/>
          <w:sz w:val="18"/>
          <w:szCs w:val="18"/>
          <w:lang w:val="en-GB"/>
        </w:rPr>
        <w:t xml:space="preserve">and </w:t>
      </w:r>
      <w:r>
        <w:rPr>
          <w:rFonts w:cs="Arial" w:ascii="Arial" w:hAnsi="Arial"/>
          <w:b/>
          <w:bCs/>
          <w:i/>
          <w:iCs/>
          <w:sz w:val="18"/>
          <w:szCs w:val="18"/>
          <w:lang w:val="en-GB"/>
        </w:rPr>
        <w:t>Eb1</w:t>
      </w:r>
      <w:r>
        <w:rPr>
          <w:rFonts w:cs="Arial" w:ascii="Arial" w:hAnsi="Arial"/>
          <w:b/>
          <w:bCs/>
          <w:i/>
          <w:iCs/>
          <w:sz w:val="18"/>
          <w:szCs w:val="18"/>
          <w:vertAlign w:val="superscript"/>
          <w:lang w:val="en-GB"/>
        </w:rPr>
        <w:t>04524/+</w:t>
      </w:r>
      <w:r>
        <w:rPr>
          <w:rFonts w:cs="Arial" w:ascii="Arial" w:hAnsi="Arial"/>
          <w:b/>
          <w:bCs/>
          <w:i/>
          <w:iCs/>
          <w:sz w:val="18"/>
          <w:szCs w:val="18"/>
          <w:lang w:val="en-GB"/>
        </w:rPr>
        <w:t xml:space="preserve"> msps </w:t>
      </w:r>
      <w:r>
        <w:rPr>
          <w:rFonts w:cs="Arial" w:ascii="Arial" w:hAnsi="Arial"/>
          <w:b/>
          <w:bCs/>
          <w:i/>
          <w:iCs/>
          <w:sz w:val="18"/>
          <w:szCs w:val="18"/>
          <w:vertAlign w:val="superscript"/>
          <w:lang w:val="en-GB"/>
        </w:rPr>
        <w:t>1/+</w:t>
      </w:r>
      <w:r>
        <w:rPr>
          <w:rFonts w:cs="Arial" w:ascii="Arial" w:hAnsi="Arial"/>
          <w:b/>
          <w:bCs/>
          <w:i/>
          <w:iCs/>
          <w:sz w:val="18"/>
          <w:szCs w:val="18"/>
          <w:lang w:val="en-GB"/>
        </w:rPr>
        <w:t xml:space="preserve"> tau</w:t>
      </w:r>
      <w:r>
        <w:rPr>
          <w:rFonts w:cs="Arial" w:ascii="Arial" w:hAnsi="Arial"/>
          <w:b/>
          <w:bCs/>
          <w:i/>
          <w:iCs/>
          <w:sz w:val="18"/>
          <w:szCs w:val="18"/>
          <w:vertAlign w:val="superscript"/>
          <w:lang w:val="en-GB"/>
        </w:rPr>
        <w:t>ko/+</w:t>
      </w:r>
      <w:r>
        <w:rPr>
          <w:rFonts w:cs="Arial" w:ascii="Arial" w:hAnsi="Arial"/>
          <w:b/>
          <w:bCs/>
          <w:sz w:val="18"/>
          <w:szCs w:val="18"/>
          <w:lang w:val="en-GB"/>
        </w:rPr>
        <w:t xml:space="preserve"> </w:t>
      </w:r>
      <w:r>
        <w:rPr>
          <w:rFonts w:cs="Arial" w:ascii="Arial" w:hAnsi="Arial"/>
          <w:b/>
          <w:bCs/>
          <w:i/>
          <w:iCs/>
          <w:sz w:val="18"/>
          <w:szCs w:val="18"/>
          <w:lang w:val="en-GB"/>
        </w:rPr>
        <w:t xml:space="preserve">; </w:t>
      </w:r>
      <w:r>
        <w:rPr>
          <w:rFonts w:cs="Arial" w:ascii="Arial" w:hAnsi="Arial"/>
          <w:b/>
          <w:bCs/>
          <w:sz w:val="18"/>
          <w:szCs w:val="18"/>
          <w:lang w:val="en-GB"/>
        </w:rPr>
        <w:t xml:space="preserve">OK6Gal4&gt;Rdl-HA larvae. </w:t>
      </w:r>
      <w:r>
        <w:rPr>
          <w:rFonts w:cs="Arial" w:ascii="Arial" w:hAnsi="Arial"/>
          <w:sz w:val="18"/>
          <w:szCs w:val="18"/>
          <w:lang w:val="en-GB"/>
        </w:rPr>
        <w:t xml:space="preserve">The ventral nerve cord is illustrated for both genotypes (magnification X40). </w:t>
      </w:r>
      <w:r>
        <w:rPr>
          <w:rFonts w:cs="Arial" w:ascii="Arial" w:hAnsi="Arial"/>
          <w:b/>
          <w:sz w:val="18"/>
          <w:szCs w:val="18"/>
          <w:lang w:val="en-GB"/>
        </w:rPr>
        <w:t>A.</w:t>
      </w:r>
      <w:r>
        <w:rPr>
          <w:rFonts w:cs="Arial" w:ascii="Arial" w:hAnsi="Arial"/>
          <w:sz w:val="18"/>
          <w:szCs w:val="18"/>
          <w:lang w:val="en-GB"/>
        </w:rPr>
        <w:t xml:space="preserve"> Rdl localisation in the ventral nerve cord determined by α-HA staining. Rdl localised in the dendritic area or neuropil (white arrow), and in cell bodies (green arrow)</w:t>
      </w:r>
      <w:r>
        <w:rPr>
          <w:rFonts w:cs="Arial" w:ascii="Arial" w:hAnsi="Arial"/>
          <w:b/>
          <w:sz w:val="18"/>
          <w:szCs w:val="18"/>
          <w:lang w:val="en-GB"/>
        </w:rPr>
        <w:t xml:space="preserve"> B. </w:t>
      </w:r>
      <w:r>
        <w:rPr>
          <w:rFonts w:cs="Arial" w:ascii="Arial" w:hAnsi="Arial"/>
          <w:sz w:val="18"/>
          <w:szCs w:val="18"/>
          <w:lang w:val="en-GB"/>
        </w:rPr>
        <w:t>Actin as stained for phalloidin.</w:t>
      </w:r>
      <w:r>
        <w:rPr>
          <w:rFonts w:cs="Arial" w:ascii="Arial" w:hAnsi="Arial"/>
          <w:b/>
          <w:sz w:val="18"/>
          <w:szCs w:val="18"/>
          <w:lang w:val="en-GB"/>
        </w:rPr>
        <w:t xml:space="preserve"> C. </w:t>
      </w:r>
      <w:r>
        <w:rPr>
          <w:rFonts w:cs="Arial" w:ascii="Arial" w:hAnsi="Arial"/>
          <w:sz w:val="18"/>
          <w:szCs w:val="18"/>
          <w:lang w:val="en-GB"/>
        </w:rPr>
        <w:t xml:space="preserve">Neuropil region stained for α-Fas II. </w:t>
      </w:r>
      <w:r>
        <w:rPr>
          <w:rFonts w:cs="Arial" w:ascii="Arial" w:hAnsi="Arial"/>
          <w:b/>
          <w:sz w:val="18"/>
          <w:szCs w:val="18"/>
          <w:lang w:val="en-GB"/>
        </w:rPr>
        <w:t xml:space="preserve">D. </w:t>
      </w:r>
      <w:r>
        <w:rPr>
          <w:rFonts w:cs="Arial" w:ascii="Arial" w:hAnsi="Arial"/>
          <w:sz w:val="18"/>
          <w:szCs w:val="18"/>
          <w:lang w:val="en-GB"/>
        </w:rPr>
        <w:t>Composite.</w:t>
      </w:r>
    </w:p>
    <w:p>
      <w:pPr>
        <w:pStyle w:val="ListParagraph"/>
        <w:spacing w:before="120" w:after="0"/>
        <w:ind w:left="785" w:hanging="0"/>
        <w:contextualSpacing/>
        <w:jc w:val="both"/>
        <w:rPr>
          <w:rFonts w:ascii="Arial" w:hAnsi="Arial" w:cs="Arial"/>
          <w:sz w:val="20"/>
          <w:szCs w:val="20"/>
          <w:u w:val="single"/>
          <w:lang w:val="en-GB"/>
        </w:rPr>
      </w:pPr>
      <w:r>
        <w:rPr>
          <w:rFonts w:cs="Arial" w:ascii="Arial" w:hAnsi="Arial"/>
          <w:sz w:val="20"/>
          <w:szCs w:val="20"/>
          <w:u w:val="single"/>
          <w:lang w:val="en-GB"/>
        </w:rPr>
      </w:r>
    </w:p>
    <w:p>
      <w:pPr>
        <w:pStyle w:val="ListParagraph"/>
        <w:numPr>
          <w:ilvl w:val="0"/>
          <w:numId w:val="3"/>
        </w:numPr>
        <w:spacing w:before="120" w:after="0"/>
        <w:contextualSpacing/>
        <w:jc w:val="both"/>
        <w:rPr>
          <w:rFonts w:ascii="Arial" w:hAnsi="Arial" w:cs="Arial"/>
          <w:sz w:val="20"/>
          <w:szCs w:val="20"/>
          <w:u w:val="single"/>
          <w:lang w:val="en-GB"/>
        </w:rPr>
      </w:pPr>
      <w:r>
        <w:rPr>
          <w:rFonts w:cs="Arial" w:ascii="Arial" w:hAnsi="Arial"/>
          <w:sz w:val="20"/>
          <w:szCs w:val="20"/>
          <w:u w:val="single"/>
          <w:lang w:val="en-GB"/>
        </w:rPr>
        <w:t xml:space="preserve">Discussion </w:t>
      </w:r>
    </w:p>
    <w:p>
      <w:pPr>
        <w:pStyle w:val="Normal"/>
        <w:spacing w:before="120" w:after="0"/>
        <w:jc w:val="both"/>
        <w:rPr>
          <w:rFonts w:ascii="Arial" w:hAnsi="Arial" w:cs="Arial"/>
          <w:sz w:val="20"/>
          <w:szCs w:val="20"/>
          <w:lang w:val="en-GB"/>
        </w:rPr>
      </w:pPr>
      <w:r>
        <w:rPr>
          <w:rFonts w:cs="Arial" w:ascii="Arial" w:hAnsi="Arial"/>
          <w:sz w:val="20"/>
          <w:szCs w:val="20"/>
          <w:lang w:val="en-GB"/>
        </w:rPr>
        <w:t xml:space="preserve">The aim of this study was to determine whether MT regulators, such as the proteins Eb1, Msps, ans tau, induce epilepsy-like phenotypes in </w:t>
      </w:r>
      <w:r>
        <w:rPr>
          <w:rFonts w:cs="Arial" w:ascii="Arial" w:hAnsi="Arial"/>
          <w:i/>
          <w:sz w:val="20"/>
          <w:szCs w:val="20"/>
          <w:lang w:val="en-GB"/>
        </w:rPr>
        <w:t>Drosophila</w:t>
      </w:r>
      <w:r>
        <w:rPr>
          <w:rFonts w:cs="Arial" w:ascii="Arial" w:hAnsi="Arial"/>
          <w:sz w:val="20"/>
          <w:szCs w:val="20"/>
          <w:lang w:val="en-GB"/>
        </w:rPr>
        <w:t xml:space="preserve"> and explore the potential mechanism behind this. </w:t>
      </w:r>
    </w:p>
    <w:p>
      <w:pPr>
        <w:pStyle w:val="Normal"/>
        <w:spacing w:before="120" w:after="0"/>
        <w:jc w:val="both"/>
        <w:rPr>
          <w:rFonts w:ascii="Arial" w:hAnsi="Arial" w:cs="Arial"/>
          <w:sz w:val="20"/>
          <w:szCs w:val="20"/>
          <w:lang w:val="en-GB"/>
        </w:rPr>
      </w:pPr>
      <w:r>
        <w:rPr>
          <w:rFonts w:cs="Arial" w:ascii="Arial" w:hAnsi="Arial"/>
          <w:sz w:val="20"/>
          <w:szCs w:val="20"/>
          <w:lang w:val="en-GB"/>
        </w:rPr>
      </w:r>
    </w:p>
    <w:p>
      <w:pPr>
        <w:pStyle w:val="ListParagraph"/>
        <w:numPr>
          <w:ilvl w:val="1"/>
          <w:numId w:val="3"/>
        </w:numPr>
        <w:spacing w:lineRule="auto" w:line="360"/>
        <w:jc w:val="both"/>
        <w:rPr>
          <w:rFonts w:ascii="Arial" w:hAnsi="Arial" w:cs="Arial"/>
          <w:sz w:val="20"/>
          <w:szCs w:val="20"/>
          <w:lang w:val="en-GB"/>
        </w:rPr>
      </w:pPr>
      <w:r>
        <w:rPr>
          <w:rFonts w:cs="Arial" w:ascii="Arial" w:hAnsi="Arial"/>
          <w:sz w:val="20"/>
          <w:szCs w:val="20"/>
          <w:u w:val="single"/>
          <w:lang w:val="en-GB"/>
        </w:rPr>
        <w:t>Main Achievements</w:t>
      </w:r>
    </w:p>
    <w:p>
      <w:pPr>
        <w:pStyle w:val="Normal"/>
        <w:spacing w:lineRule="auto" w:line="360" w:before="120" w:after="0"/>
        <w:jc w:val="both"/>
        <w:rPr/>
      </w:pPr>
      <w:r>
        <w:rPr>
          <w:rFonts w:cs="Arial" w:ascii="Arial" w:hAnsi="Arial"/>
          <w:sz w:val="20"/>
          <w:szCs w:val="20"/>
          <w:lang w:val="en-GB"/>
        </w:rPr>
        <w:t xml:space="preserve">I could assess a true epileptic-like behaviour caused by the triple-heterozygote </w:t>
      </w:r>
      <w:r>
        <w:rPr>
          <w:rFonts w:cs="Arial" w:ascii="Arial" w:hAnsi="Arial"/>
          <w:i/>
          <w:sz w:val="20"/>
          <w:szCs w:val="20"/>
          <w:lang w:val="en-GB"/>
        </w:rPr>
        <w:t>Eb1-msps-tau</w:t>
      </w:r>
      <w:r>
        <w:rPr>
          <w:rFonts w:cs="Arial" w:ascii="Arial" w:hAnsi="Arial"/>
          <w:sz w:val="20"/>
          <w:szCs w:val="20"/>
          <w:lang w:val="en-GB"/>
        </w:rPr>
        <w:t xml:space="preserve"> constellation when using the AEDs, Phenytoin and Valproate, in triple heterozygous larvae. A number of experiment show that this epileptic-like condition is mediated by MTs: First, mutations affecting Efa6, a factor eliminating MTs at the cortex and causing MT disorganisation when absent </w:t>
      </w:r>
      <w:r>
        <w:fldChar w:fldCharType="begin"/>
      </w:r>
      <w:r>
        <w:rPr/>
        <w:instrText>ADDIN EN.CITE &lt;EndNote&gt;&lt;Cite&gt;&lt;Author&gt;Qu&lt;/Author&gt;&lt;Year&gt;2018&lt;/Year&gt;&lt;RecNum&gt;110&lt;/RecNum&gt;&lt;DisplayText&gt;(Qu et al., 2018)&lt;/DisplayText&gt;&lt;record&gt;&lt;rec-number&gt;110&lt;/rec-number&gt;&lt;foreign-keys&gt;&lt;key app="EN" db-id="vedta2ppje59fceprax5xvwqzxt2awx0xd99"&gt;110&lt;/key&gt;&lt;/foreign-keys&gt;&lt;ref-type name="Journal Article"&gt;17&lt;/ref-type&gt;&lt;contributors&gt;&lt;authors&gt;&lt;author&gt;Qu, Yue&lt;/author&gt;&lt;author&gt;Hahn, Ines&lt;/author&gt;&lt;author&gt;Lees, Meredith&lt;/author&gt;&lt;author&gt;Parkin, Jill&lt;/author&gt;&lt;author&gt;Voelzmann, André&lt;/author&gt;&lt;author&gt;Dorey, Karel&lt;/author&gt;&lt;author&gt;Rathbone, Alex&lt;/author&gt;&lt;author&gt;Friel, Claire&lt;/author&gt;&lt;author&gt;Allan, Viki&lt;/author&gt;&lt;author&gt;Ramos, Okenve Pilar&lt;/author&gt;&lt;author&gt;Sanchez-Soriano, Natalia&lt;/author&gt;&lt;author&gt;Prokop, Andreas&lt;/author&gt;&lt;/authors&gt;&lt;/contributors&gt;&lt;titles&gt;&lt;title&gt;Efa6 regulates axon growth, branching and maintenance by eliminating off-track microtubules at the cortex&lt;/title&gt;&lt;secondary-title&gt;bioRxiv&lt;/secondary-title&gt;&lt;/titles&gt;&lt;periodical&gt;&lt;full-title&gt;bioRxiv&lt;/full-title&gt;&lt;/periodical&gt;&lt;pages&gt;385658&lt;/pages&gt;&lt;dates&gt;&lt;year&gt;2018&lt;/year&gt;&lt;/dates&gt;&lt;urls&gt;&lt;related-urls&gt;&lt;url&gt;https://www.biorxiv.org/content/biorxiv/early/2018/08/06/385658.full.pdf&lt;/url&gt;&lt;/related-urls&gt;&lt;/urls&gt;&lt;electronic-resource-num&gt;10.1101/385658&lt;/electronic-resource-num&gt;&lt;/record&gt;&lt;/Cite&gt;&lt;/EndNote&gt;</w:instrText>
      </w:r>
      <w:r>
        <w:rPr/>
        <w:fldChar w:fldCharType="separate"/>
      </w:r>
      <w:bookmarkStart w:id="112" w:name="__Fieldmark__3447_4090835577"/>
      <w:r>
        <w:rPr/>
      </w:r>
      <w:r>
        <w:rPr>
          <w:rFonts w:cs="Arial" w:ascii="Arial" w:hAnsi="Arial"/>
          <w:sz w:val="20"/>
          <w:szCs w:val="20"/>
          <w:lang w:val="en-GB"/>
        </w:rPr>
        <w:t>(Qu et al., 2018)</w:t>
      </w:r>
      <w:r>
        <w:rPr/>
      </w:r>
      <w:r>
        <w:rPr/>
        <w:fldChar w:fldCharType="end"/>
      </w:r>
      <w:hyperlink w:anchor="_ENREF_63" w:tgtFrame="Qu, 2018 #110">
        <w:bookmarkEnd w:id="112"/>
        <w:r>
          <w:rPr>
            <w:rFonts w:cs="Arial" w:ascii="Arial" w:hAnsi="Arial"/>
            <w:sz w:val="20"/>
            <w:szCs w:val="20"/>
            <w:lang w:val="en-GB"/>
          </w:rPr>
          <w:t xml:space="preserve">, also cause a seizure-like phenotype. Second, MTs stabilisation with Epothilone B reduces seizure-like phenotype, which emphasise that MT aberration is the potential cause of seizure-behaviour in </w:t>
        </w:r>
      </w:hyperlink>
      <w:r>
        <w:rPr>
          <w:rFonts w:cs="Arial" w:ascii="Arial" w:hAnsi="Arial"/>
          <w:i/>
          <w:sz w:val="20"/>
          <w:szCs w:val="20"/>
          <w:lang w:val="en-GB"/>
        </w:rPr>
        <w:t>Drosophila.</w:t>
      </w:r>
      <w:r>
        <w:rPr>
          <w:rFonts w:cs="Arial" w:ascii="Arial" w:hAnsi="Arial"/>
          <w:sz w:val="20"/>
          <w:szCs w:val="20"/>
          <w:lang w:val="en-GB"/>
        </w:rPr>
        <w:t xml:space="preserve"> Also previous studies state that seizure-like phenotypes can be due to MT-regulators defects, such as mutations affecting MT-associated proteins MAP1A and MAP2 </w:t>
      </w:r>
      <w:r>
        <w:fldChar w:fldCharType="begin"/>
      </w:r>
      <w:r>
        <w:rPr/>
        <w:instrText>ADDIN EN.CITE</w:instrText>
      </w:r>
      <w:r>
        <w:rPr/>
        <w:fldChar w:fldCharType="separate"/>
      </w:r>
      <w:bookmarkStart w:id="113" w:name="__Fieldmark__3472_4090835577"/>
      <w:r>
        <w:rPr/>
      </w:r>
      <w:r>
        <w:rPr/>
      </w:r>
      <w:r>
        <w:rPr/>
        <w:fldChar w:fldCharType="end"/>
      </w:r>
      <w:r>
        <w:fldChar w:fldCharType="begin"/>
      </w:r>
      <w:r>
        <w:rPr/>
        <w:instrText>ADDIN EN.CITE.DATA</w:instrText>
      </w:r>
      <w:r>
        <w:rPr/>
        <w:fldChar w:fldCharType="separate"/>
      </w:r>
      <w:bookmarkStart w:id="114" w:name="__Fieldmark__3471_4090835577"/>
      <w:bookmarkEnd w:id="113"/>
      <w:r>
        <w:rPr/>
      </w:r>
      <w:r>
        <w:rPr>
          <w:rFonts w:cs="Arial" w:ascii="Arial" w:hAnsi="Arial"/>
          <w:sz w:val="20"/>
          <w:szCs w:val="20"/>
          <w:lang w:val="en-GB"/>
        </w:rPr>
        <w:t>(Ballough et al., 1995; Duncan et al., 2013; Gardiner and Marc, 2009; Holth et al., 2013; Hurd et al., 1996; K. Nakajima et al., 2012; Zemlyak et al., 2009)</w:t>
      </w:r>
      <w:r>
        <w:rPr/>
      </w:r>
      <w:r>
        <w:rPr/>
        <w:fldChar w:fldCharType="end"/>
      </w:r>
      <w:hyperlink w:anchor="_ENREF_84" w:tgtFrame="Zemlyak, 2009 #9032">
        <w:bookmarkEnd w:id="114"/>
        <w:r>
          <w:rPr>
            <w:rFonts w:cs="Arial" w:ascii="Arial" w:hAnsi="Arial"/>
            <w:sz w:val="20"/>
            <w:szCs w:val="20"/>
            <w:lang w:val="en-GB"/>
          </w:rPr>
          <w:t xml:space="preserve">. </w:t>
        </w:r>
      </w:hyperlink>
      <w:r>
        <w:rPr>
          <w:rFonts w:cs="Arial" w:ascii="Arial" w:hAnsi="Arial"/>
          <w:i/>
          <w:sz w:val="20"/>
          <w:szCs w:val="20"/>
          <w:lang w:val="en-GB"/>
        </w:rPr>
        <w:t xml:space="preserve"> </w:t>
      </w:r>
      <w:r>
        <w:rPr>
          <w:rFonts w:cs="Arial" w:ascii="Arial" w:hAnsi="Arial"/>
          <w:sz w:val="20"/>
          <w:szCs w:val="20"/>
          <w:lang w:val="en-GB"/>
        </w:rPr>
        <w:t xml:space="preserve">My experiments with neuron-specific knock-down of Eb1 show that the seizure-like phenotype originates in motorneurons, which have pronounced dendrites localising Rdl channels proteins </w:t>
      </w:r>
      <w:r>
        <w:fldChar w:fldCharType="begin"/>
      </w:r>
      <w:r>
        <w:rPr/>
        <w:instrText>ADDIN EN.CITE &lt;EndNote&gt;&lt;Cite&gt;&lt;Author&gt;Sánchez-Soriano&lt;/Author&gt;&lt;Year&gt;2005&lt;/Year&gt;&lt;RecNum&gt;2525&lt;/RecNum&gt;&lt;DisplayText&gt;(Sánchez-Soriano et al., 2005)&lt;/DisplayText&gt;&lt;record&gt;&lt;rec-number&gt;2525&lt;/rec-number&gt;&lt;foreign-keys&gt;&lt;key app="EN" db-id="vwexp2xatx0fvxeff5rxex5pvw2vepptvvfs"&gt;2525&lt;/key&gt;&lt;/foreign-keys&gt;&lt;ref-type name="Journal Article"&gt;17&lt;/ref-type&gt;&lt;contributors&gt;&lt;authors&gt;&lt;author&gt;Sánchez-Soriano, N.&lt;/author&gt;&lt;author&gt;Löhr, R.&lt;/author&gt;&lt;author&gt;Bottenberg, W.&lt;/author&gt;&lt;author&gt;Haessler, U.&lt;/author&gt;&lt;author&gt;Kerassoviti, A.&lt;/author&gt;&lt;author&gt;Knust, E.&lt;/author&gt;&lt;author&gt;Fiala, A.&lt;/author&gt;&lt;author&gt;Prokop, A.&lt;/author&gt;&lt;/authors&gt;&lt;/contributors&gt;&lt;titles&gt;&lt;title&gt;&lt;style face="normal" font="default" size="100%"&gt;Are dendrites in &lt;/style&gt;&lt;style face="italic" font="default" size="100%"&gt;Drosophila &lt;/style&gt;&lt;style face="normal" font="default" size="100%"&gt;homologous to vertebrate dendrites?&lt;/style&gt;&lt;/title&gt;&lt;secondary-title&gt;Dev. Biol.&lt;/secondary-title&gt;&lt;/titles&gt;&lt;pages&gt;126-138&lt;/pages&gt;&lt;volume&gt;288&lt;/volume&gt;&lt;number&gt;1&lt;/number&gt;&lt;keywords&gt;&lt;keyword&gt;Mainz&lt;/keyword&gt;&lt;keyword&gt;Dendrite&lt;/keyword&gt;&lt;keyword&gt;GABA&lt;/keyword&gt;&lt;keyword&gt;polarity&lt;/keyword&gt;&lt;keyword&gt;Evolution&lt;/keyword&gt;&lt;/keywords&gt;&lt;dates&gt;&lt;year&gt;2005&lt;/year&gt;&lt;/dates&gt;&lt;label&gt;PDF&lt;/label&gt;&lt;urls&gt;&lt;related-urls&gt;&lt;url&gt;http://www.ncbi.nlm.nih.gov/entrez/query.fcgi?cmd=Retrieve&amp;amp;db=PubMed&amp;amp;dopt=Citation&amp;amp;list_uids=16223476&lt;/url&gt;&lt;/related-urls&gt;&lt;/urls&gt;&lt;/record&gt;&lt;/Cite&gt;&lt;/EndNote&gt;</w:instrText>
      </w:r>
      <w:r>
        <w:rPr/>
        <w:fldChar w:fldCharType="separate"/>
      </w:r>
      <w:bookmarkStart w:id="115" w:name="__Fieldmark__3520_4090835577"/>
      <w:r>
        <w:rPr/>
      </w:r>
      <w:r>
        <w:rPr>
          <w:rFonts w:cs="Arial" w:ascii="Arial" w:hAnsi="Arial"/>
          <w:sz w:val="20"/>
          <w:szCs w:val="20"/>
          <w:lang w:val="en-GB"/>
        </w:rPr>
        <w:t>(Sánchez-Soriano et al., 2005)</w:t>
      </w:r>
      <w:r>
        <w:rPr/>
      </w:r>
      <w:r>
        <w:rPr/>
        <w:fldChar w:fldCharType="end"/>
      </w:r>
      <w:hyperlink w:anchor="_ENREF_72" w:tgtFrame="Sánchez-Soriano, 2005 #2525">
        <w:bookmarkEnd w:id="115"/>
        <w:r>
          <w:rPr>
            <w:rFonts w:cs="Arial" w:ascii="Arial" w:hAnsi="Arial"/>
            <w:sz w:val="20"/>
            <w:szCs w:val="20"/>
            <w:lang w:val="en-GB"/>
          </w:rPr>
          <w:t xml:space="preserve">. Accordingly, loss of </w:t>
        </w:r>
      </w:hyperlink>
      <w:r>
        <w:rPr>
          <w:rFonts w:cs="Arial" w:ascii="Arial" w:hAnsi="Arial"/>
          <w:i/>
          <w:sz w:val="20"/>
          <w:szCs w:val="20"/>
          <w:lang w:val="en-GB"/>
        </w:rPr>
        <w:t>Rdl</w:t>
      </w:r>
      <w:r>
        <w:rPr>
          <w:rFonts w:cs="Arial" w:ascii="Arial" w:hAnsi="Arial"/>
          <w:sz w:val="20"/>
          <w:szCs w:val="20"/>
          <w:lang w:val="en-GB"/>
        </w:rPr>
        <w:t xml:space="preserve"> causes a seizure like phenotype, which can be enhanced when in conjugation with the double heterozygous genotype msps</w:t>
      </w:r>
      <w:r>
        <w:rPr>
          <w:rFonts w:cs="Arial" w:ascii="Arial" w:hAnsi="Arial"/>
          <w:sz w:val="20"/>
          <w:szCs w:val="20"/>
          <w:vertAlign w:val="superscript"/>
          <w:lang w:val="en-GB"/>
        </w:rPr>
        <w:t>1/+</w:t>
      </w:r>
      <w:r>
        <w:rPr>
          <w:rFonts w:cs="Arial" w:ascii="Arial" w:hAnsi="Arial"/>
          <w:sz w:val="20"/>
          <w:szCs w:val="20"/>
          <w:lang w:val="en-GB"/>
        </w:rPr>
        <w:t>, tau</w:t>
      </w:r>
      <w:r>
        <w:rPr>
          <w:rFonts w:cs="Arial" w:ascii="Arial" w:hAnsi="Arial"/>
          <w:sz w:val="20"/>
          <w:szCs w:val="20"/>
          <w:vertAlign w:val="superscript"/>
          <w:lang w:val="en-GB"/>
        </w:rPr>
        <w:t>ko/+</w:t>
      </w:r>
      <w:r>
        <w:rPr>
          <w:rFonts w:cs="Arial" w:ascii="Arial" w:hAnsi="Arial"/>
          <w:sz w:val="20"/>
          <w:szCs w:val="20"/>
          <w:lang w:val="en-GB"/>
        </w:rPr>
        <w:t>, i.e. revealing genetic interaction as a potential indication that these genes are functionally interlinked. However, no genetic interactions were found between genes encoding kinesins (</w:t>
      </w:r>
      <w:r>
        <w:rPr>
          <w:rFonts w:cs="Arial" w:ascii="Arial" w:hAnsi="Arial"/>
          <w:i/>
          <w:sz w:val="20"/>
          <w:szCs w:val="20"/>
          <w:lang w:val="en-GB"/>
        </w:rPr>
        <w:t>Khc</w:t>
      </w:r>
      <w:r>
        <w:rPr>
          <w:rFonts w:cs="Arial" w:ascii="Arial" w:hAnsi="Arial"/>
          <w:i/>
          <w:sz w:val="20"/>
          <w:szCs w:val="20"/>
          <w:vertAlign w:val="superscript"/>
          <w:lang w:val="en-GB"/>
        </w:rPr>
        <w:t>8</w:t>
      </w:r>
      <w:r>
        <w:rPr>
          <w:rFonts w:cs="Arial" w:ascii="Arial" w:hAnsi="Arial"/>
          <w:sz w:val="20"/>
          <w:szCs w:val="20"/>
          <w:lang w:val="en-GB"/>
        </w:rPr>
        <w:t xml:space="preserve"> and </w:t>
      </w:r>
      <w:r>
        <w:rPr>
          <w:rFonts w:cs="Arial" w:ascii="Arial" w:hAnsi="Arial"/>
          <w:i/>
          <w:sz w:val="20"/>
          <w:szCs w:val="20"/>
          <w:lang w:val="en-GB"/>
        </w:rPr>
        <w:t>imac</w:t>
      </w:r>
      <w:r>
        <w:rPr>
          <w:rFonts w:cs="Arial" w:ascii="Arial" w:hAnsi="Arial"/>
          <w:i/>
          <w:sz w:val="20"/>
          <w:szCs w:val="20"/>
          <w:vertAlign w:val="superscript"/>
          <w:lang w:val="en-GB"/>
        </w:rPr>
        <w:t>170</w:t>
      </w:r>
      <w:r>
        <w:rPr>
          <w:rFonts w:cs="Arial" w:ascii="Arial" w:hAnsi="Arial"/>
          <w:sz w:val="20"/>
          <w:szCs w:val="20"/>
          <w:lang w:val="en-GB"/>
        </w:rPr>
        <w:t xml:space="preserve">) when combined with </w:t>
      </w:r>
      <w:r>
        <w:rPr>
          <w:rFonts w:cs="Arial" w:ascii="Arial" w:hAnsi="Arial"/>
          <w:i/>
          <w:sz w:val="20"/>
          <w:szCs w:val="20"/>
          <w:lang w:val="en-GB"/>
        </w:rPr>
        <w:t>msps</w:t>
      </w:r>
      <w:r>
        <w:rPr>
          <w:rFonts w:cs="Arial" w:ascii="Arial" w:hAnsi="Arial"/>
          <w:i/>
          <w:sz w:val="20"/>
          <w:szCs w:val="20"/>
          <w:vertAlign w:val="superscript"/>
          <w:lang w:val="en-GB"/>
        </w:rPr>
        <w:t>1/+</w:t>
      </w:r>
      <w:r>
        <w:rPr>
          <w:rFonts w:cs="Arial" w:ascii="Arial" w:hAnsi="Arial"/>
          <w:i/>
          <w:sz w:val="20"/>
          <w:szCs w:val="20"/>
          <w:lang w:val="en-GB"/>
        </w:rPr>
        <w:t xml:space="preserve"> tau</w:t>
      </w:r>
      <w:r>
        <w:rPr>
          <w:rFonts w:cs="Arial" w:ascii="Arial" w:hAnsi="Arial"/>
          <w:i/>
          <w:sz w:val="20"/>
          <w:szCs w:val="20"/>
          <w:vertAlign w:val="superscript"/>
          <w:lang w:val="en-GB"/>
        </w:rPr>
        <w:t>ko/+</w:t>
      </w:r>
      <w:r>
        <w:rPr>
          <w:rFonts w:cs="Arial" w:ascii="Arial" w:hAnsi="Arial"/>
          <w:sz w:val="20"/>
          <w:szCs w:val="20"/>
          <w:lang w:val="en-GB"/>
        </w:rPr>
        <w:t xml:space="preserve">, which fails to support (but does not exclude) our working hypothesis that MT aberration affects Rdl transport as the underlying mechanism for seizure-like behaviours. Furthermore, using immunohistochemistry, I could determine Rdl location in the CNSs of control and triple-heterozygous L3 larvae. Rdl is located in the synaptic area (neuropil), but also in the cell bodies of motorneurons; unfortunately, there is no obvious difference in protein location between both genotypes, although more accurate methods of protein quantification should be applied to make a solid statement. In conclusion, there is a strong case for roles of MTs and MT regulators in the development of epilepsy-like conditions, but the mechanisms stay inconclusive at the moment. </w:t>
      </w:r>
    </w:p>
    <w:p>
      <w:pPr>
        <w:pStyle w:val="Normal"/>
        <w:jc w:val="both"/>
        <w:rPr>
          <w:rFonts w:ascii="Arial" w:hAnsi="Arial" w:cs="Arial"/>
          <w:b/>
          <w:b/>
          <w:sz w:val="18"/>
          <w:szCs w:val="18"/>
          <w:lang w:val="en-GB"/>
        </w:rPr>
      </w:pPr>
      <w:r>
        <w:rPr>
          <w:rFonts w:cs="Arial" w:ascii="Arial" w:hAnsi="Arial"/>
          <w:b/>
          <w:sz w:val="18"/>
          <w:szCs w:val="18"/>
          <w:lang w:val="en-GB"/>
        </w:rPr>
        <w:drawing>
          <wp:anchor behindDoc="0" distT="19050" distB="28575" distL="133350" distR="139065" simplePos="0" locked="0" layoutInCell="1" allowOverlap="1" relativeHeight="5">
            <wp:simplePos x="0" y="0"/>
            <wp:positionH relativeFrom="column">
              <wp:posOffset>501015</wp:posOffset>
            </wp:positionH>
            <wp:positionV relativeFrom="paragraph">
              <wp:posOffset>24130</wp:posOffset>
            </wp:positionV>
            <wp:extent cx="4375785" cy="2200275"/>
            <wp:effectExtent l="0" t="0" r="0" b="0"/>
            <wp:wrapTight wrapText="bothSides">
              <wp:wrapPolygon edited="0">
                <wp:start x="-111" y="-182"/>
                <wp:lineTo x="-111" y="21669"/>
                <wp:lineTo x="21626" y="21669"/>
                <wp:lineTo x="21626" y="-182"/>
                <wp:lineTo x="-111" y="-182"/>
              </wp:wrapPolygon>
            </wp:wrapTight>
            <wp:docPr id="17" name="Imagem 7" descr="Uma imagem com texto, mapa&#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7" descr="Uma imagem com texto, mapa&#10;&#10;Descrição gerada com confiança muito alta"/>
                    <pic:cNvPicPr>
                      <a:picLocks noChangeAspect="1" noChangeArrowheads="1"/>
                    </pic:cNvPicPr>
                  </pic:nvPicPr>
                  <pic:blipFill>
                    <a:blip r:embed="rId18"/>
                    <a:stretch>
                      <a:fillRect/>
                    </a:stretch>
                  </pic:blipFill>
                  <pic:spPr bwMode="auto">
                    <a:xfrm>
                      <a:off x="0" y="0"/>
                      <a:ext cx="4375785" cy="2200275"/>
                    </a:xfrm>
                    <a:prstGeom prst="rect">
                      <a:avLst/>
                    </a:prstGeom>
                  </pic:spPr>
                </pic:pic>
              </a:graphicData>
            </a:graphic>
          </wp:anchor>
        </w:drawing>
      </w:r>
    </w:p>
    <w:p>
      <w:pPr>
        <w:pStyle w:val="Normal"/>
        <w:jc w:val="both"/>
        <w:rPr>
          <w:rFonts w:ascii="Arial" w:hAnsi="Arial" w:cs="Arial"/>
          <w:b/>
          <w:b/>
          <w:sz w:val="18"/>
          <w:szCs w:val="18"/>
          <w:lang w:val="en-GB"/>
        </w:rPr>
      </w:pPr>
      <w:r>
        <w:rPr>
          <w:rFonts w:cs="Arial" w:ascii="Arial" w:hAnsi="Arial"/>
          <w:b/>
          <w:sz w:val="18"/>
          <w:szCs w:val="18"/>
          <w:lang w:val="en-GB"/>
        </w:rPr>
      </w:r>
    </w:p>
    <w:p>
      <w:pPr>
        <w:pStyle w:val="Normal"/>
        <w:jc w:val="both"/>
        <w:rPr>
          <w:rFonts w:ascii="Arial" w:hAnsi="Arial" w:cs="Arial"/>
          <w:b/>
          <w:b/>
          <w:sz w:val="18"/>
          <w:szCs w:val="18"/>
          <w:lang w:val="en-GB"/>
        </w:rPr>
      </w:pPr>
      <w:r>
        <w:rPr>
          <w:rFonts w:cs="Arial" w:ascii="Arial" w:hAnsi="Arial"/>
          <w:b/>
          <w:sz w:val="18"/>
          <w:szCs w:val="18"/>
          <w:lang w:val="en-GB"/>
        </w:rPr>
      </w:r>
    </w:p>
    <w:p>
      <w:pPr>
        <w:pStyle w:val="Normal"/>
        <w:jc w:val="both"/>
        <w:rPr>
          <w:rFonts w:ascii="Arial" w:hAnsi="Arial" w:cs="Arial"/>
          <w:b/>
          <w:b/>
          <w:sz w:val="18"/>
          <w:szCs w:val="18"/>
          <w:lang w:val="en-GB"/>
        </w:rPr>
      </w:pPr>
      <w:r>
        <w:rPr>
          <w:rFonts w:cs="Arial" w:ascii="Arial" w:hAnsi="Arial"/>
          <w:b/>
          <w:sz w:val="18"/>
          <w:szCs w:val="18"/>
          <w:lang w:val="en-GB"/>
        </w:rPr>
      </w:r>
    </w:p>
    <w:p>
      <w:pPr>
        <w:pStyle w:val="Normal"/>
        <w:jc w:val="both"/>
        <w:rPr>
          <w:rFonts w:ascii="Arial" w:hAnsi="Arial" w:cs="Arial"/>
          <w:b/>
          <w:b/>
          <w:sz w:val="18"/>
          <w:szCs w:val="18"/>
          <w:lang w:val="en-GB"/>
        </w:rPr>
      </w:pPr>
      <w:r>
        <w:rPr>
          <w:rFonts w:cs="Arial" w:ascii="Arial" w:hAnsi="Arial"/>
          <w:b/>
          <w:sz w:val="18"/>
          <w:szCs w:val="18"/>
          <w:lang w:val="en-GB"/>
        </w:rPr>
      </w:r>
    </w:p>
    <w:p>
      <w:pPr>
        <w:pStyle w:val="Normal"/>
        <w:jc w:val="both"/>
        <w:rPr>
          <w:rFonts w:ascii="Arial" w:hAnsi="Arial" w:cs="Arial"/>
          <w:b/>
          <w:b/>
          <w:sz w:val="18"/>
          <w:szCs w:val="18"/>
          <w:lang w:val="en-GB"/>
        </w:rPr>
      </w:pPr>
      <w:r>
        <w:rPr>
          <w:rFonts w:cs="Arial" w:ascii="Arial" w:hAnsi="Arial"/>
          <w:b/>
          <w:sz w:val="18"/>
          <w:szCs w:val="18"/>
          <w:lang w:val="en-GB"/>
        </w:rPr>
      </w:r>
    </w:p>
    <w:p>
      <w:pPr>
        <w:pStyle w:val="Normal"/>
        <w:jc w:val="both"/>
        <w:rPr>
          <w:rFonts w:ascii="Arial" w:hAnsi="Arial" w:cs="Arial"/>
          <w:b/>
          <w:b/>
          <w:sz w:val="18"/>
          <w:szCs w:val="18"/>
          <w:lang w:val="en-GB"/>
        </w:rPr>
      </w:pPr>
      <w:r>
        <w:rPr>
          <w:rFonts w:cs="Arial" w:ascii="Arial" w:hAnsi="Arial"/>
          <w:b/>
          <w:sz w:val="18"/>
          <w:szCs w:val="18"/>
          <w:lang w:val="en-GB"/>
        </w:rPr>
      </w:r>
    </w:p>
    <w:p>
      <w:pPr>
        <w:pStyle w:val="Normal"/>
        <w:jc w:val="both"/>
        <w:rPr>
          <w:rFonts w:ascii="Arial" w:hAnsi="Arial" w:cs="Arial"/>
          <w:b/>
          <w:b/>
          <w:sz w:val="18"/>
          <w:szCs w:val="18"/>
          <w:lang w:val="en-GB"/>
        </w:rPr>
      </w:pPr>
      <w:r>
        <w:rPr>
          <w:rFonts w:cs="Arial" w:ascii="Arial" w:hAnsi="Arial"/>
          <w:b/>
          <w:sz w:val="18"/>
          <w:szCs w:val="18"/>
          <w:lang w:val="en-GB"/>
        </w:rPr>
      </w:r>
    </w:p>
    <w:p>
      <w:pPr>
        <w:pStyle w:val="Normal"/>
        <w:jc w:val="both"/>
        <w:rPr>
          <w:rFonts w:ascii="Arial" w:hAnsi="Arial" w:cs="Arial"/>
          <w:b/>
          <w:b/>
          <w:sz w:val="18"/>
          <w:szCs w:val="18"/>
          <w:lang w:val="en-GB"/>
        </w:rPr>
      </w:pPr>
      <w:r>
        <w:rPr>
          <w:rFonts w:cs="Arial" w:ascii="Arial" w:hAnsi="Arial"/>
          <w:b/>
          <w:sz w:val="18"/>
          <w:szCs w:val="18"/>
          <w:lang w:val="en-GB"/>
        </w:rPr>
      </w:r>
    </w:p>
    <w:p>
      <w:pPr>
        <w:pStyle w:val="Normal"/>
        <w:jc w:val="both"/>
        <w:rPr>
          <w:rFonts w:ascii="Arial" w:hAnsi="Arial" w:cs="Arial"/>
          <w:b/>
          <w:b/>
          <w:sz w:val="18"/>
          <w:szCs w:val="18"/>
          <w:lang w:val="en-GB"/>
        </w:rPr>
      </w:pPr>
      <w:r>
        <w:rPr>
          <w:rFonts w:cs="Arial" w:ascii="Arial" w:hAnsi="Arial"/>
          <w:b/>
          <w:sz w:val="18"/>
          <w:szCs w:val="18"/>
          <w:lang w:val="en-GB"/>
        </w:rPr>
      </w:r>
    </w:p>
    <w:p>
      <w:pPr>
        <w:pStyle w:val="Normal"/>
        <w:jc w:val="both"/>
        <w:rPr/>
      </w:pPr>
      <w:r>
        <w:rPr>
          <w:rFonts w:cs="Arial" w:ascii="Arial" w:hAnsi="Arial"/>
          <w:b/>
          <w:sz w:val="18"/>
          <w:szCs w:val="18"/>
          <w:lang w:val="en-GB"/>
        </w:rPr>
        <w:t xml:space="preserve">Fig.14: Summary - Project main hypothesis. </w:t>
      </w:r>
      <w:r>
        <w:rPr>
          <w:rFonts w:cs="Arial" w:ascii="Arial" w:hAnsi="Arial"/>
          <w:sz w:val="18"/>
          <w:szCs w:val="18"/>
          <w:lang w:val="en-GB"/>
        </w:rPr>
        <w:t xml:space="preserve">Axon structural backbone is the hallmark of neurons and is maintained by numerous proteins, such as </w:t>
      </w:r>
      <w:r>
        <w:rPr>
          <w:rFonts w:cs="Arial" w:ascii="Arial" w:hAnsi="Arial"/>
          <w:i/>
          <w:sz w:val="18"/>
          <w:szCs w:val="18"/>
          <w:lang w:val="en-GB"/>
        </w:rPr>
        <w:t>Eb1</w:t>
      </w:r>
      <w:r>
        <w:rPr>
          <w:rFonts w:cs="Arial" w:ascii="Arial" w:hAnsi="Arial"/>
          <w:sz w:val="18"/>
          <w:szCs w:val="18"/>
          <w:lang w:val="en-GB"/>
        </w:rPr>
        <w:t xml:space="preserve">, </w:t>
      </w:r>
      <w:r>
        <w:rPr>
          <w:rFonts w:cs="Arial" w:ascii="Arial" w:hAnsi="Arial"/>
          <w:i/>
          <w:sz w:val="18"/>
          <w:szCs w:val="18"/>
          <w:lang w:val="en-GB"/>
        </w:rPr>
        <w:t>Msps</w:t>
      </w:r>
      <w:r>
        <w:rPr>
          <w:rFonts w:cs="Arial" w:ascii="Arial" w:hAnsi="Arial"/>
          <w:sz w:val="18"/>
          <w:szCs w:val="18"/>
          <w:lang w:val="en-GB"/>
        </w:rPr>
        <w:t xml:space="preserve"> and </w:t>
      </w:r>
      <w:r>
        <w:rPr>
          <w:rFonts w:cs="Arial" w:ascii="Arial" w:hAnsi="Arial"/>
          <w:i/>
          <w:sz w:val="18"/>
          <w:szCs w:val="18"/>
          <w:lang w:val="en-GB"/>
        </w:rPr>
        <w:t>tau</w:t>
      </w:r>
      <w:r>
        <w:rPr>
          <w:rFonts w:cs="Arial" w:ascii="Arial" w:hAnsi="Arial"/>
          <w:sz w:val="18"/>
          <w:szCs w:val="18"/>
          <w:lang w:val="en-GB"/>
        </w:rPr>
        <w:t>. Mutations affecting these genes cause MT disorganisation leading to axonal swelling, which disrupt the anterograde movement of motor proteins such as kinesins (</w:t>
      </w:r>
      <w:r>
        <w:rPr>
          <w:rFonts w:cs="Arial" w:ascii="Arial" w:hAnsi="Arial"/>
          <w:i/>
          <w:sz w:val="18"/>
          <w:szCs w:val="18"/>
          <w:lang w:val="en-GB"/>
        </w:rPr>
        <w:t>Khc</w:t>
      </w:r>
      <w:r>
        <w:rPr>
          <w:rFonts w:cs="Arial" w:ascii="Arial" w:hAnsi="Arial"/>
          <w:i/>
          <w:sz w:val="18"/>
          <w:szCs w:val="18"/>
          <w:vertAlign w:val="superscript"/>
          <w:lang w:val="en-GB"/>
        </w:rPr>
        <w:t>8</w:t>
      </w:r>
      <w:r>
        <w:rPr>
          <w:rFonts w:cs="Arial" w:ascii="Arial" w:hAnsi="Arial"/>
          <w:sz w:val="18"/>
          <w:szCs w:val="18"/>
          <w:lang w:val="en-GB"/>
        </w:rPr>
        <w:t xml:space="preserve"> or </w:t>
      </w:r>
      <w:r>
        <w:rPr>
          <w:rFonts w:cs="Arial" w:ascii="Arial" w:hAnsi="Arial"/>
          <w:i/>
          <w:sz w:val="18"/>
          <w:szCs w:val="18"/>
          <w:lang w:val="en-GB"/>
        </w:rPr>
        <w:t>imac</w:t>
      </w:r>
      <w:r>
        <w:rPr>
          <w:rFonts w:cs="Arial" w:ascii="Arial" w:hAnsi="Arial"/>
          <w:i/>
          <w:sz w:val="18"/>
          <w:szCs w:val="18"/>
          <w:vertAlign w:val="superscript"/>
          <w:lang w:val="en-GB"/>
        </w:rPr>
        <w:t>170</w:t>
      </w:r>
      <w:r>
        <w:rPr>
          <w:rFonts w:cs="Arial" w:ascii="Arial" w:hAnsi="Arial"/>
          <w:sz w:val="18"/>
          <w:szCs w:val="18"/>
          <w:lang w:val="en-GB"/>
        </w:rPr>
        <w:t xml:space="preserve">). Consequently, the transport of Rdl receptors is reduced to the dendritic area displaying a seizure-like phenotype in </w:t>
      </w:r>
      <w:r>
        <w:rPr>
          <w:rFonts w:cs="Arial" w:ascii="Arial" w:hAnsi="Arial"/>
          <w:i/>
          <w:sz w:val="18"/>
          <w:szCs w:val="18"/>
          <w:lang w:val="en-GB"/>
        </w:rPr>
        <w:t>Drosophila</w:t>
      </w:r>
      <w:r>
        <w:rPr>
          <w:rFonts w:cs="Arial" w:ascii="Arial" w:hAnsi="Arial"/>
          <w:sz w:val="18"/>
          <w:szCs w:val="18"/>
          <w:lang w:val="en-GB"/>
        </w:rPr>
        <w:t xml:space="preserve"> larvae third instar larvae. Adapted from </w:t>
      </w:r>
      <w:r>
        <w:fldChar w:fldCharType="begin"/>
      </w:r>
      <w:r>
        <w:rPr/>
        <w:instrText>ADDIN EN.CITE &lt;EndNote&gt;&lt;Cite&gt;&lt;Author&gt;Prokop&lt;/Author&gt;&lt;Year&gt;2016&lt;/Year&gt;&lt;RecNum&gt;115&lt;/RecNum&gt;&lt;DisplayText&gt;(Prokop, 2016)&lt;/DisplayText&gt;&lt;record&gt;&lt;rec-number&gt;115&lt;/rec-number&gt;&lt;foreign-keys&gt;&lt;key app="EN" db-id="vedta2ppje59fceprax5xvwqzxt2awx0xd99"&gt;115&lt;/key&gt;&lt;/foreign-keys&gt;&lt;ref-type name="Journal Article"&gt;17&lt;/ref-type&gt;&lt;contributors&gt;&lt;authors&gt;&lt;author&gt;Prokop, Andreas&lt;/author&gt;&lt;/authors&gt;&lt;/contributors&gt;&lt;titles&gt;&lt;title&gt;Fruit flies in biological research&lt;/title&gt;&lt;secondary-title&gt;Biological Sciences Review&lt;/secondary-title&gt;&lt;/titles&gt;&lt;periodical&gt;&lt;full-title&gt;Biological Sciences Review&lt;/full-title&gt;&lt;/periodical&gt;&lt;pages&gt;10-14&lt;/pages&gt;&lt;volume&gt;28&lt;/volume&gt;&lt;number&gt;4&lt;/number&gt;&lt;keywords&gt;&lt;keyword&gt;review&lt;/keyword&gt;&lt;keyword&gt;school article&lt;/keyword&gt;&lt;keyword&gt;schools&lt;/keyword&gt;&lt;keyword&gt;teachers&lt;/keyword&gt;&lt;keyword&gt;science communication&lt;/keyword&gt;&lt;keyword&gt;public outreach&lt;/keyword&gt;&lt;keyword&gt;public awareness&lt;/keyword&gt;&lt;keyword&gt;public education&lt;/keyword&gt;&lt;keyword&gt;public engagement&lt;/keyword&gt;&lt;/keywords&gt;&lt;dates&gt;&lt;year&gt;2016&lt;/year&gt;&lt;/dates&gt;&lt;label&gt;PDF in Andreas&lt;/label&gt;&lt;urls&gt;&lt;related-urls&gt;&lt;url&gt;https://tinyurl.com/ybvpoqmw&lt;/url&gt;&lt;url&gt;https://www.research.manchester.ac.uk/portal/en/publications/fruit-flies-in-biological-research(9addecf9-d08c-4950-9c5b-ded33f67f397).html&lt;/url&gt;&lt;url&gt;http://www.bsr.manchester.ac.uk/&lt;/url&gt;&lt;url&gt;https://www.researchgate.net/publication/295854585_Fruit_flies_in_biological_research&lt;/url&gt;&lt;url&gt;https://www.escholar.manchester.ac.uk/uk-ac-man-scw:277700&lt;/url&gt;&lt;url&gt;https://www.hoddereducation.co.uk/magazines/e-reviews/BiologicalSciences-eReviews&lt;/url&gt;&lt;/related-urls&gt;&lt;/urls&gt;&lt;/record&gt;&lt;/Cite&gt;&lt;/EndNote&gt;</w:instrText>
      </w:r>
      <w:r>
        <w:rPr/>
        <w:fldChar w:fldCharType="separate"/>
      </w:r>
      <w:bookmarkStart w:id="116" w:name="__Fieldmark__3604_4090835577"/>
      <w:r>
        <w:rPr/>
      </w:r>
      <w:r>
        <w:rPr>
          <w:rFonts w:cs="Arial" w:ascii="Arial" w:hAnsi="Arial"/>
          <w:sz w:val="18"/>
          <w:szCs w:val="18"/>
          <w:lang w:val="en-GB"/>
        </w:rPr>
        <w:t>(Prokop, 2016)</w:t>
      </w:r>
      <w:r>
        <w:rPr/>
      </w:r>
      <w:r>
        <w:rPr/>
        <w:fldChar w:fldCharType="end"/>
      </w:r>
      <w:hyperlink w:anchor="_ENREF_59" w:tgtFrame="Prokop, 2016 #115">
        <w:bookmarkEnd w:id="116"/>
        <w:r>
          <w:rPr>
            <w:rFonts w:cs="Arial" w:ascii="Arial" w:hAnsi="Arial"/>
            <w:sz w:val="18"/>
            <w:szCs w:val="18"/>
            <w:lang w:val="en-GB"/>
          </w:rPr>
          <w:t xml:space="preserve">. </w:t>
        </w:r>
      </w:hyperlink>
    </w:p>
    <w:p>
      <w:pPr>
        <w:pStyle w:val="ListParagraph"/>
        <w:numPr>
          <w:ilvl w:val="1"/>
          <w:numId w:val="3"/>
        </w:numPr>
        <w:spacing w:lineRule="auto" w:line="360"/>
        <w:ind w:left="0" w:hanging="0"/>
        <w:jc w:val="both"/>
        <w:rPr>
          <w:rFonts w:ascii="Arial" w:hAnsi="Arial" w:cs="Arial"/>
          <w:sz w:val="20"/>
          <w:szCs w:val="20"/>
          <w:u w:val="single"/>
          <w:lang w:val="en-GB"/>
        </w:rPr>
      </w:pPr>
      <w:r>
        <w:rPr>
          <w:rFonts w:cs="Arial" w:ascii="Arial" w:hAnsi="Arial"/>
          <w:sz w:val="20"/>
          <w:szCs w:val="20"/>
          <w:u w:val="single"/>
          <w:lang w:val="en-GB"/>
        </w:rPr>
        <w:t>Technical challenges of the electroshock assay</w:t>
      </w:r>
    </w:p>
    <w:p>
      <w:pPr>
        <w:pStyle w:val="Normal"/>
        <w:spacing w:lineRule="auto" w:line="360"/>
        <w:jc w:val="both"/>
        <w:rPr/>
      </w:pPr>
      <w:r>
        <w:rPr>
          <w:rFonts w:cs="Arial" w:ascii="Arial" w:hAnsi="Arial"/>
          <w:sz w:val="20"/>
          <w:szCs w:val="20"/>
          <w:lang w:val="en-GB"/>
        </w:rPr>
        <w:t xml:space="preserve">The sample size is an important factor to be taken into consideration and can be determined with statistical methods, such as a Power Test. However, no statistical test was done to </w:t>
      </w:r>
      <w:r>
        <w:rPr>
          <w:rFonts w:cs="Arial" w:ascii="Arial" w:hAnsi="Arial"/>
          <w:b/>
          <w:sz w:val="20"/>
          <w:szCs w:val="20"/>
          <w:lang w:val="en-GB"/>
        </w:rPr>
        <w:t xml:space="preserve"> </w:t>
      </w:r>
      <w:r>
        <w:rPr>
          <w:rFonts w:cs="Arial" w:ascii="Arial" w:hAnsi="Arial"/>
          <w:sz w:val="20"/>
          <w:szCs w:val="20"/>
          <w:lang w:val="en-GB"/>
        </w:rPr>
        <w:t xml:space="preserve">determine  the number of larvae from each genotype. The sample size of my experiments were based on previous studies done by Giachello and Baines, which also performed electroshock experiments with a sample size between 25 and 50 larvae. The actual probe employed during my experiments was not used for approximately one year. Thus, values could deviate from the previous experiments </w:t>
      </w:r>
      <w:r>
        <w:fldChar w:fldCharType="begin"/>
      </w:r>
      <w:r>
        <w:rPr/>
        <w:instrText>ADDIN EN.CITE &lt;EndNote&gt;&lt;Cite&gt;&lt;Author&gt;Petzold&lt;/Author&gt;&lt;Year&gt;2018&lt;/Year&gt;&lt;RecNum&gt;9782&lt;/RecNum&gt;&lt;DisplayText&gt;(Petzold, 2018)&lt;/DisplayText&gt;&lt;record&gt;&lt;rec-number&gt;9782&lt;/rec-number&gt;&lt;foreign-keys&gt;&lt;key app="EN" db-id="vwexp2xatx0fvxeff5rxex5pvw2vepptvvfs"&gt;9782&lt;/key&gt;&lt;/foreign-keys&gt;&lt;ref-type name="Thesis"&gt;32&lt;/ref-type&gt;&lt;contributors&gt;&lt;authors&gt;&lt;author&gt;Petzold, T.&lt;/author&gt;&lt;/authors&gt;&lt;/contributors&gt;&lt;titles&gt;&lt;title&gt;&lt;style face="normal" font="default" size="100%"&gt;Does axonal microtubule unbundling induce seizure-like behaviour in &lt;/style&gt;&lt;style face="italic" font="default" size="100%"&gt;Drosophila &lt;/style&gt;&lt;style face="normal" font="default" size="100%"&gt;and what is the mechanism for this?&lt;/style&gt;&lt;/title&gt;&lt;secondary-title&gt;Faculty of Biology, Health and Medicine&lt;/secondary-title&gt;&lt;/titles&gt;&lt;pages&gt;26&lt;/pages&gt;&lt;dates&gt;&lt;year&gt;2018&lt;/year&gt;&lt;/dates&gt;&lt;pub-location&gt;Manchester&lt;/pub-location&gt;&lt;publisher&gt;The University of Manchester&lt;/publisher&gt;&lt;work-type&gt;Final year undergraduate project&lt;/work-type&gt;&lt;urls&gt;&lt;/urls&gt;&lt;/record&gt;&lt;/Cite&gt;&lt;/EndNote&gt;</w:instrText>
      </w:r>
      <w:r>
        <w:rPr/>
        <w:fldChar w:fldCharType="separate"/>
      </w:r>
      <w:bookmarkStart w:id="117" w:name="__Fieldmark__3636_4090835577"/>
      <w:r>
        <w:rPr/>
      </w:r>
      <w:r>
        <w:rPr>
          <w:rFonts w:cs="Arial" w:ascii="Arial" w:hAnsi="Arial"/>
          <w:sz w:val="20"/>
          <w:szCs w:val="20"/>
          <w:lang w:val="en-GB"/>
        </w:rPr>
        <w:t>(Petzold, 2018)</w:t>
      </w:r>
      <w:r>
        <w:rPr/>
      </w:r>
      <w:r>
        <w:rPr/>
        <w:fldChar w:fldCharType="end"/>
      </w:r>
      <w:hyperlink w:anchor="_ENREF_57" w:tgtFrame="Petzold, 2018 #9782">
        <w:bookmarkEnd w:id="117"/>
        <w:r>
          <w:rPr>
            <w:rFonts w:cs="Arial" w:ascii="Arial" w:hAnsi="Arial"/>
            <w:sz w:val="20"/>
            <w:szCs w:val="20"/>
            <w:lang w:val="en-GB"/>
          </w:rPr>
          <w:t xml:space="preserve">. The probe contains two wires and the distance between those is variable and could influence the measures. The probe is very delicate and even slight deformation can have an influence on the results. Current propagation can be influenced also if the tissue is wet; for this reason the larval tissue should be dried before the electrical procedure and only third Instar larvae of consistent size should be collected. The </w:t>
        </w:r>
      </w:hyperlink>
      <w:r>
        <w:rPr>
          <w:rFonts w:cs="Arial" w:ascii="Arial" w:hAnsi="Arial"/>
          <w:b/>
          <w:sz w:val="20"/>
          <w:szCs w:val="20"/>
          <w:lang w:val="en-GB"/>
        </w:rPr>
        <w:t>T</w:t>
      </w:r>
      <w:r>
        <w:rPr>
          <w:rFonts w:cs="Arial" w:ascii="Arial" w:hAnsi="Arial"/>
          <w:b/>
          <w:sz w:val="20"/>
          <w:szCs w:val="20"/>
          <w:vertAlign w:val="subscript"/>
          <w:lang w:val="en-GB"/>
        </w:rPr>
        <w:t>Rec</w:t>
      </w:r>
      <w:r>
        <w:rPr>
          <w:rFonts w:cs="Arial" w:ascii="Arial" w:hAnsi="Arial"/>
          <w:sz w:val="20"/>
          <w:szCs w:val="20"/>
          <w:lang w:val="en-GB"/>
        </w:rPr>
        <w:t xml:space="preserve"> corresponds to the moment when the larvae re-start to have a continuous peristaltic movement from its posterior to the anterior part of the body </w:t>
      </w:r>
      <w:r>
        <w:fldChar w:fldCharType="begin"/>
      </w:r>
      <w:r>
        <w:rPr/>
        <w:instrText>ADDIN EN.CITE</w:instrText>
      </w:r>
      <w:r>
        <w:rPr/>
        <w:fldChar w:fldCharType="separate"/>
      </w:r>
      <w:bookmarkStart w:id="118" w:name="__Fieldmark__3669_4090835577"/>
      <w:r>
        <w:rPr/>
      </w:r>
      <w:r>
        <w:rPr/>
      </w:r>
      <w:r>
        <w:rPr/>
        <w:fldChar w:fldCharType="end"/>
      </w:r>
      <w:r>
        <w:fldChar w:fldCharType="begin"/>
      </w:r>
      <w:r>
        <w:rPr/>
        <w:instrText>ADDIN EN.CITE.DATA</w:instrText>
      </w:r>
      <w:r>
        <w:rPr/>
        <w:fldChar w:fldCharType="separate"/>
      </w:r>
      <w:bookmarkStart w:id="119" w:name="__Fieldmark__3668_4090835577"/>
      <w:bookmarkEnd w:id="118"/>
      <w:r>
        <w:rPr/>
      </w:r>
      <w:r>
        <w:rPr>
          <w:rFonts w:cs="Arial" w:ascii="Arial" w:hAnsi="Arial"/>
          <w:sz w:val="20"/>
          <w:szCs w:val="20"/>
          <w:lang w:val="en-GB"/>
        </w:rPr>
        <w:t>(Marley and Baines, 2011)</w:t>
      </w:r>
      <w:r>
        <w:rPr/>
      </w:r>
      <w:r>
        <w:rPr/>
        <w:fldChar w:fldCharType="end"/>
      </w:r>
      <w:hyperlink w:anchor="_ENREF_45" w:tgtFrame="Marley, 2011 #91">
        <w:bookmarkEnd w:id="119"/>
        <w:r>
          <w:rPr>
            <w:rFonts w:cs="Arial" w:ascii="Arial" w:hAnsi="Arial"/>
            <w:sz w:val="20"/>
            <w:szCs w:val="20"/>
            <w:lang w:val="en-GB"/>
          </w:rPr>
          <w:t>. However, it is sometimes difficult to determine this moment because some larvae can have just half of their body paralysed, or some contractions can appear during paralysis in a continuous and un-controlled manner. Thus, the electroshocking procedure is a very subjective and variable experiment. Other external factors can influence the results, such as the room, water, and microscope temperature. Indeed, larvae react badly to cold temperatures and can have a decreased locomotion when in presence of cold temperatures. Indeed, larvae react badly to cold temperatures and can have a decrease locomotion when in presence of cold temperatures. Larvae having locomotion deficiencies and not specific seizure-like phenotypes can present a prolonged T</w:t>
        </w:r>
      </w:hyperlink>
      <w:r>
        <w:rPr>
          <w:rFonts w:cs="Arial" w:ascii="Arial" w:hAnsi="Arial"/>
          <w:sz w:val="20"/>
          <w:szCs w:val="20"/>
          <w:vertAlign w:val="subscript"/>
          <w:lang w:val="en-GB"/>
        </w:rPr>
        <w:t>Rec</w:t>
      </w:r>
      <w:r>
        <w:rPr>
          <w:rFonts w:cs="Arial" w:ascii="Arial" w:hAnsi="Arial"/>
          <w:sz w:val="20"/>
          <w:szCs w:val="20"/>
          <w:lang w:val="en-GB"/>
        </w:rPr>
        <w:t>. For this reason, this assay has to be done with larvae having a well-defined genotype inducing seizure-like behaviour (Carlo Giachello personal statement). Furthermore, the procedure can be very time consuming. The T</w:t>
      </w:r>
      <w:r>
        <w:rPr>
          <w:rFonts w:cs="Arial" w:ascii="Arial" w:hAnsi="Arial"/>
          <w:sz w:val="20"/>
          <w:szCs w:val="20"/>
          <w:vertAlign w:val="subscript"/>
          <w:lang w:val="en-GB"/>
        </w:rPr>
        <w:t>Rec</w:t>
      </w:r>
      <w:r>
        <w:rPr>
          <w:rFonts w:cs="Arial" w:ascii="Arial" w:hAnsi="Arial"/>
          <w:sz w:val="20"/>
          <w:szCs w:val="20"/>
          <w:lang w:val="en-GB"/>
        </w:rPr>
        <w:t xml:space="preserve"> has to be measured for each larva and is generally difficult to be assessed. Moreover, as stated by Marley and Baines: “experimental validity of using </w:t>
      </w:r>
      <w:r>
        <w:rPr>
          <w:rFonts w:cs="Arial" w:ascii="Arial" w:hAnsi="Arial"/>
          <w:i/>
          <w:sz w:val="20"/>
          <w:szCs w:val="20"/>
          <w:lang w:val="en-GB"/>
        </w:rPr>
        <w:t>Drosophila</w:t>
      </w:r>
      <w:r>
        <w:rPr>
          <w:rFonts w:cs="Arial" w:ascii="Arial" w:hAnsi="Arial"/>
          <w:sz w:val="20"/>
          <w:szCs w:val="20"/>
          <w:lang w:val="en-GB"/>
        </w:rPr>
        <w:t xml:space="preserve"> for human epilepsy research is incomplete” because the exact molecular mechanism behind seizure-like models is not well defined </w:t>
      </w:r>
      <w:r>
        <w:fldChar w:fldCharType="begin"/>
      </w:r>
      <w:r>
        <w:rPr/>
        <w:instrText>ADDIN EN.CITE</w:instrText>
      </w:r>
      <w:r>
        <w:rPr/>
        <w:fldChar w:fldCharType="separate"/>
      </w:r>
      <w:bookmarkStart w:id="120" w:name="__Fieldmark__3710_4090835577"/>
      <w:r>
        <w:rPr/>
      </w:r>
      <w:r>
        <w:rPr/>
      </w:r>
      <w:r>
        <w:rPr/>
        <w:fldChar w:fldCharType="end"/>
      </w:r>
      <w:r>
        <w:fldChar w:fldCharType="begin"/>
      </w:r>
      <w:r>
        <w:rPr/>
        <w:instrText>ADDIN EN.CITE.DATA</w:instrText>
      </w:r>
      <w:r>
        <w:rPr/>
        <w:fldChar w:fldCharType="separate"/>
      </w:r>
      <w:bookmarkStart w:id="121" w:name="__Fieldmark__3709_4090835577"/>
      <w:bookmarkEnd w:id="120"/>
      <w:r>
        <w:rPr/>
      </w:r>
      <w:r>
        <w:rPr>
          <w:rFonts w:cs="Arial" w:ascii="Arial" w:hAnsi="Arial"/>
          <w:sz w:val="20"/>
          <w:szCs w:val="20"/>
          <w:lang w:val="en-GB"/>
        </w:rPr>
        <w:t>(Marley and Baines, 2011)</w:t>
      </w:r>
      <w:r>
        <w:rPr/>
      </w:r>
      <w:r>
        <w:rPr/>
        <w:fldChar w:fldCharType="end"/>
      </w:r>
      <w:hyperlink w:anchor="_ENREF_45" w:tgtFrame="Marley, 2011 #91">
        <w:bookmarkEnd w:id="121"/>
        <w:r>
          <w:rPr>
            <w:rFonts w:cs="Arial" w:ascii="Arial" w:hAnsi="Arial"/>
            <w:sz w:val="20"/>
            <w:szCs w:val="20"/>
            <w:lang w:val="en-GB"/>
          </w:rPr>
          <w:t xml:space="preserve">. For this reason, the fruit fly as a model cannot yet overcome this challenge.   </w:t>
        </w:r>
      </w:hyperlink>
    </w:p>
    <w:p>
      <w:pPr>
        <w:pStyle w:val="ListParagraph"/>
        <w:numPr>
          <w:ilvl w:val="1"/>
          <w:numId w:val="3"/>
        </w:numPr>
        <w:spacing w:lineRule="auto" w:line="360"/>
        <w:jc w:val="both"/>
        <w:rPr>
          <w:rFonts w:ascii="Arial" w:hAnsi="Arial" w:cs="Arial"/>
          <w:sz w:val="20"/>
          <w:szCs w:val="20"/>
          <w:u w:val="single"/>
          <w:lang w:val="en-GB"/>
        </w:rPr>
      </w:pPr>
      <w:r>
        <w:rPr>
          <w:rFonts w:cs="Arial" w:ascii="Arial" w:hAnsi="Arial"/>
          <w:sz w:val="20"/>
          <w:szCs w:val="20"/>
          <w:u w:val="single"/>
          <w:lang w:val="en-GB"/>
        </w:rPr>
        <w:t xml:space="preserve">To get a more accurate electroshock assay </w:t>
      </w:r>
    </w:p>
    <w:p>
      <w:pPr>
        <w:pStyle w:val="Normal"/>
        <w:spacing w:lineRule="auto" w:line="360"/>
        <w:jc w:val="both"/>
        <w:rPr/>
      </w:pPr>
      <w:r>
        <w:rPr>
          <w:rFonts w:cs="Arial" w:ascii="Arial" w:hAnsi="Arial"/>
          <w:sz w:val="20"/>
          <w:szCs w:val="20"/>
          <w:lang w:val="en-GB"/>
        </w:rPr>
        <w:t xml:space="preserve">Electroshock assays were implemented by other research groups using different model organisms, such as worms and mice </w:t>
      </w:r>
      <w:r>
        <w:fldChar w:fldCharType="begin"/>
      </w:r>
      <w:r>
        <w:rPr/>
        <w:instrText>ADDIN EN.CITE</w:instrText>
      </w:r>
      <w:r>
        <w:rPr/>
        <w:fldChar w:fldCharType="separate"/>
      </w:r>
      <w:bookmarkStart w:id="122" w:name="__Fieldmark__3727_4090835577"/>
      <w:r>
        <w:rPr/>
      </w:r>
      <w:r>
        <w:rPr/>
      </w:r>
      <w:r>
        <w:rPr/>
        <w:fldChar w:fldCharType="end"/>
      </w:r>
      <w:r>
        <w:fldChar w:fldCharType="begin"/>
      </w:r>
      <w:r>
        <w:rPr/>
        <w:instrText>ADDIN EN.CITE.DATA</w:instrText>
      </w:r>
      <w:r>
        <w:rPr/>
        <w:fldChar w:fldCharType="separate"/>
      </w:r>
      <w:bookmarkStart w:id="123" w:name="__Fieldmark__3726_4090835577"/>
      <w:bookmarkEnd w:id="122"/>
      <w:r>
        <w:rPr/>
      </w:r>
      <w:r>
        <w:rPr>
          <w:rFonts w:cs="Arial" w:ascii="Arial" w:hAnsi="Arial"/>
          <w:sz w:val="20"/>
          <w:szCs w:val="20"/>
          <w:lang w:val="en-GB"/>
        </w:rPr>
        <w:t>(Risley et al., 2016; Swinyard et al., 1952)</w:t>
      </w:r>
      <w:r>
        <w:rPr/>
      </w:r>
      <w:r>
        <w:rPr/>
        <w:fldChar w:fldCharType="end"/>
      </w:r>
      <w:hyperlink w:anchor="_ENREF_80" w:tgtFrame="Swinyard, 1952 #95">
        <w:bookmarkEnd w:id="123"/>
        <w:r>
          <w:rPr>
            <w:rFonts w:cs="Arial" w:ascii="Arial" w:hAnsi="Arial"/>
            <w:sz w:val="20"/>
            <w:szCs w:val="20"/>
            <w:lang w:val="en-GB"/>
          </w:rPr>
          <w:t xml:space="preserve"> and are also important in testing AED effectiveness </w:t>
        </w:r>
      </w:hyperlink>
      <w:r>
        <w:fldChar w:fldCharType="begin"/>
      </w:r>
      <w:r>
        <w:rPr/>
        <w:instrText>ADDIN EN.CITE &lt;EndNote&gt;&lt;Cite&gt;&lt;Author&gt;Brown&lt;/Author&gt;&lt;Year&gt;1953&lt;/Year&gt;&lt;RecNum&gt;94&lt;/RecNum&gt;&lt;DisplayText&gt;(Brown et al., 1953)&lt;/DisplayText&gt;&lt;record&gt;&lt;rec-number&gt;94&lt;/rec-number&gt;&lt;foreign-keys&gt;&lt;key app="EN" db-id="vedta2ppje59fceprax5xvwqzxt2awx0xd99"&gt;94&lt;/key&gt;&lt;/foreign-keys&gt;&lt;ref-type name="Journal Article"&gt;17&lt;/ref-type&gt;&lt;contributors&gt;&lt;authors&gt;&lt;author&gt;Brown, W. C.&lt;/author&gt;&lt;author&gt;Schiffman, D. O.&lt;/author&gt;&lt;author&gt;Swinyard, E. A.&lt;/author&gt;&lt;author&gt;Goodman, L. S.&lt;/author&gt;&lt;/authors&gt;&lt;/contributors&gt;&lt;titles&gt;&lt;title&gt;Comparative Assay of Antiepileptic Drugs by Psychomotor Seizure Test and Minimal Electroshock Threshold Test&lt;/title&gt;&lt;secondary-title&gt;Journal of Pharmacology and Experimental Therapeutics&lt;/secondary-title&gt;&lt;alt-title&gt;J Pharmacol Exp Ther&lt;/alt-title&gt;&lt;/titles&gt;&lt;periodical&gt;&lt;full-title&gt;Journal of Pharmacology and Experimental Therapeutics&lt;/full-title&gt;&lt;abbr-1&gt;J Pharmacol Exp Ther&lt;/abbr-1&gt;&lt;/periodical&gt;&lt;alt-periodical&gt;&lt;full-title&gt;Journal of Pharmacology and Experimental Therapeutics&lt;/full-title&gt;&lt;abbr-1&gt;J Pharmacol Exp Ther&lt;/abbr-1&gt;&lt;/alt-periodical&gt;&lt;pages&gt;273-283&lt;/pages&gt;&lt;volume&gt;107&lt;/volume&gt;&lt;number&gt;3&lt;/number&gt;&lt;dates&gt;&lt;year&gt;1953&lt;/year&gt;&lt;/dates&gt;&lt;isbn&gt;0022-3565&lt;/isbn&gt;&lt;accession-num&gt;ISI:A1953UH18800003&lt;/accession-num&gt;&lt;urls&gt;&lt;related-urls&gt;&lt;url&gt;&amp;lt;Go to ISI&amp;gt;://A1953UH18800003&lt;/url&gt;&lt;/related-urls&gt;&lt;/urls&gt;&lt;language&gt;English&lt;/language&gt;&lt;/record&gt;&lt;/Cite&gt;&lt;/EndNote&gt;</w:instrText>
      </w:r>
      <w:r>
        <w:rPr/>
        <w:fldChar w:fldCharType="separate"/>
      </w:r>
      <w:bookmarkStart w:id="124" w:name="__Fieldmark__3742_4090835577"/>
      <w:r>
        <w:rPr/>
      </w:r>
      <w:r>
        <w:rPr>
          <w:rFonts w:cs="Arial" w:ascii="Arial" w:hAnsi="Arial"/>
          <w:sz w:val="20"/>
          <w:szCs w:val="20"/>
          <w:lang w:val="en-GB"/>
        </w:rPr>
        <w:t>(Brown et al., 1953)</w:t>
      </w:r>
      <w:r>
        <w:rPr/>
      </w:r>
      <w:r>
        <w:rPr/>
        <w:fldChar w:fldCharType="end"/>
      </w:r>
      <w:hyperlink w:anchor="_ENREF_6" w:tgtFrame="Brown, 1953 #94">
        <w:bookmarkEnd w:id="124"/>
        <w:r>
          <w:rPr>
            <w:rFonts w:cs="Arial" w:ascii="Arial" w:hAnsi="Arial"/>
            <w:sz w:val="20"/>
            <w:szCs w:val="20"/>
            <w:lang w:val="en-GB"/>
          </w:rPr>
          <w:t xml:space="preserve">. Genetic tools can be used to create a more accurate and robust electroshock as described is previous works </w:t>
        </w:r>
      </w:hyperlink>
      <w:r>
        <w:fldChar w:fldCharType="begin"/>
      </w:r>
      <w:r>
        <w:rPr/>
        <w:instrText>ADDIN EN.CITE &lt;EndNote&gt;&lt;Cite&gt;&lt;Author&gt;Petzold&lt;/Author&gt;&lt;Year&gt;2018&lt;/Year&gt;&lt;RecNum&gt;9782&lt;/RecNum&gt;&lt;DisplayText&gt;(Petzold, 2018)&lt;/DisplayText&gt;&lt;record&gt;&lt;rec-number&gt;9782&lt;/rec-number&gt;&lt;foreign-keys&gt;&lt;key app="EN" db-id="vwexp2xatx0fvxeff5rxex5pvw2vepptvvfs"&gt;9782&lt;/key&gt;&lt;/foreign-keys&gt;&lt;ref-type name="Thesis"&gt;32&lt;/ref-type&gt;&lt;contributors&gt;&lt;authors&gt;&lt;author&gt;Petzold, T.&lt;/author&gt;&lt;/authors&gt;&lt;/contributors&gt;&lt;titles&gt;&lt;title&gt;&lt;style face="normal" font="default" size="100%"&gt;Does axonal microtubule unbundling induce seizure-like behaviour in &lt;/style&gt;&lt;style face="italic" font="default" size="100%"&gt;Drosophila &lt;/style&gt;&lt;style face="normal" font="default" size="100%"&gt;and what is the mechanism for this?&lt;/style&gt;&lt;/title&gt;&lt;secondary-title&gt;Faculty of Biology, Health and Medicine&lt;/secondary-title&gt;&lt;/titles&gt;&lt;pages&gt;26&lt;/pages&gt;&lt;dates&gt;&lt;year&gt;2018&lt;/year&gt;&lt;/dates&gt;&lt;pub-location&gt;Manchester&lt;/pub-location&gt;&lt;publisher&gt;The University of Manchester&lt;/publisher&gt;&lt;work-type&gt;Final year undergraduate project&lt;/work-type&gt;&lt;urls&gt;&lt;/urls&gt;&lt;/record&gt;&lt;/Cite&gt;&lt;/EndNote&gt;</w:instrText>
      </w:r>
      <w:r>
        <w:rPr/>
        <w:fldChar w:fldCharType="separate"/>
      </w:r>
      <w:bookmarkStart w:id="125" w:name="__Fieldmark__3759_4090835577"/>
      <w:r>
        <w:rPr/>
      </w:r>
      <w:r>
        <w:rPr>
          <w:rFonts w:cs="Arial" w:ascii="Arial" w:hAnsi="Arial"/>
          <w:sz w:val="20"/>
          <w:szCs w:val="20"/>
          <w:lang w:val="en-GB"/>
        </w:rPr>
        <w:t>(Petzold, 2018)</w:t>
      </w:r>
      <w:r>
        <w:rPr/>
      </w:r>
      <w:r>
        <w:rPr/>
        <w:fldChar w:fldCharType="end"/>
      </w:r>
      <w:hyperlink w:anchor="_ENREF_57" w:tgtFrame="Petzold, 2018 #9782">
        <w:bookmarkEnd w:id="125"/>
        <w:r>
          <w:rPr>
            <w:rFonts w:cs="Arial" w:ascii="Arial" w:hAnsi="Arial"/>
            <w:sz w:val="20"/>
            <w:szCs w:val="20"/>
            <w:lang w:val="en-GB"/>
          </w:rPr>
          <w:t xml:space="preserve">. Previous experiments that were confirmed in this work were based in </w:t>
        </w:r>
      </w:hyperlink>
      <w:r>
        <w:rPr>
          <w:rFonts w:cs="Arial" w:ascii="Arial" w:hAnsi="Arial"/>
          <w:i/>
          <w:sz w:val="20"/>
          <w:szCs w:val="20"/>
          <w:lang w:val="en-GB"/>
        </w:rPr>
        <w:t xml:space="preserve">Eb1 </w:t>
      </w:r>
      <w:r>
        <w:rPr>
          <w:rFonts w:cs="Arial" w:ascii="Arial" w:hAnsi="Arial"/>
          <w:sz w:val="20"/>
          <w:szCs w:val="20"/>
          <w:lang w:val="en-GB"/>
        </w:rPr>
        <w:t>knock-down</w:t>
      </w:r>
      <w:r>
        <w:rPr>
          <w:rFonts w:cs="Arial" w:ascii="Arial" w:hAnsi="Arial"/>
          <w:i/>
          <w:sz w:val="20"/>
          <w:szCs w:val="20"/>
          <w:lang w:val="en-GB"/>
        </w:rPr>
        <w:t xml:space="preserve"> </w:t>
      </w:r>
      <w:r>
        <w:rPr>
          <w:rFonts w:cs="Arial" w:ascii="Arial" w:hAnsi="Arial"/>
          <w:sz w:val="20"/>
          <w:szCs w:val="20"/>
          <w:lang w:val="en-GB"/>
        </w:rPr>
        <w:t xml:space="preserve">in three sets of neurones. The same experiment can be repeated by knocking-down others studied genes, </w:t>
      </w:r>
      <w:r>
        <w:rPr>
          <w:rFonts w:cs="Arial" w:ascii="Arial" w:hAnsi="Arial"/>
          <w:i/>
          <w:sz w:val="20"/>
          <w:szCs w:val="20"/>
          <w:lang w:val="en-GB"/>
        </w:rPr>
        <w:t>Msps</w:t>
      </w:r>
      <w:r>
        <w:rPr>
          <w:rFonts w:cs="Arial" w:ascii="Arial" w:hAnsi="Arial"/>
          <w:sz w:val="20"/>
          <w:szCs w:val="20"/>
          <w:lang w:val="en-GB"/>
        </w:rPr>
        <w:t xml:space="preserve"> and </w:t>
      </w:r>
      <w:r>
        <w:rPr>
          <w:rFonts w:cs="Arial" w:ascii="Arial" w:hAnsi="Arial"/>
          <w:i/>
          <w:sz w:val="20"/>
          <w:szCs w:val="20"/>
          <w:lang w:val="en-GB"/>
        </w:rPr>
        <w:t>tau</w:t>
      </w:r>
      <w:r>
        <w:rPr>
          <w:rFonts w:cs="Arial" w:ascii="Arial" w:hAnsi="Arial"/>
          <w:sz w:val="20"/>
          <w:szCs w:val="20"/>
          <w:lang w:val="en-GB"/>
        </w:rPr>
        <w:t xml:space="preserve"> using specific RNAi technique and see whether or not seizure-like phenotype is induced. Other genes important for MT regulation can also be tested on their ability of inducing seizure-like phenotype in </w:t>
      </w:r>
      <w:r>
        <w:rPr>
          <w:rFonts w:cs="Arial" w:ascii="Arial" w:hAnsi="Arial"/>
          <w:i/>
          <w:sz w:val="20"/>
          <w:szCs w:val="20"/>
          <w:lang w:val="en-GB"/>
        </w:rPr>
        <w:t>Drosophila</w:t>
      </w:r>
      <w:r>
        <w:rPr>
          <w:rFonts w:cs="Arial" w:ascii="Arial" w:hAnsi="Arial"/>
          <w:sz w:val="20"/>
          <w:szCs w:val="20"/>
          <w:lang w:val="en-GB"/>
        </w:rPr>
        <w:t xml:space="preserve"> when mutated. High precision genome editing can be applied, such as CRISPR-CAS9 </w:t>
      </w:r>
      <w:r>
        <w:fldChar w:fldCharType="begin"/>
      </w:r>
      <w:r>
        <w:rPr/>
        <w:instrText>ADDIN EN.CITE &lt;EndNote&gt;&lt;Cite&gt;&lt;Author&gt;Komor&lt;/Author&gt;&lt;Year&gt;2017&lt;/Year&gt;&lt;RecNum&gt;98&lt;/RecNum&gt;&lt;DisplayText&gt;(Komor et al., 2017)&lt;/DisplayText&gt;&lt;record&gt;&lt;rec-number&gt;98&lt;/rec-number&gt;&lt;foreign-keys&gt;&lt;key app="EN" db-id="vedta2ppje59fceprax5xvwqzxt2awx0xd99"&gt;98&lt;/key&gt;&lt;/foreign-keys&gt;&lt;ref-type name="Journal Article"&gt;17&lt;/ref-type&gt;&lt;contributors&gt;&lt;authors&gt;&lt;author&gt;Komor, A. C.&lt;/author&gt;&lt;author&gt;Badran, A. H.&lt;/author&gt;&lt;author&gt;Liu, D. R.&lt;/author&gt;&lt;/authors&gt;&lt;/contributors&gt;&lt;titles&gt;&lt;title&gt;CRISPR-Based Technologies for the Manipulation of Eukaryotic Genomes (vol 168, pg 20, 2017)&lt;/title&gt;&lt;secondary-title&gt;Cell&lt;/secondary-title&gt;&lt;alt-title&gt;Cell&lt;/alt-title&gt;&lt;/titles&gt;&lt;periodical&gt;&lt;full-title&gt;Cell&lt;/full-title&gt;&lt;abbr-1&gt;Cell&lt;/abbr-1&gt;&lt;/periodical&gt;&lt;alt-periodical&gt;&lt;full-title&gt;Cell&lt;/full-title&gt;&lt;abbr-1&gt;Cell&lt;/abbr-1&gt;&lt;/alt-periodical&gt;&lt;pages&gt;559-559&lt;/pages&gt;&lt;volume&gt;169&lt;/volume&gt;&lt;number&gt;3&lt;/number&gt;&lt;dates&gt;&lt;year&gt;2017&lt;/year&gt;&lt;pub-dates&gt;&lt;date&gt;Apr 20&lt;/date&gt;&lt;/pub-dates&gt;&lt;/dates&gt;&lt;isbn&gt;0092-8674&lt;/isbn&gt;&lt;accession-num&gt;ISI:000399560600019&lt;/accession-num&gt;&lt;urls&gt;&lt;related-urls&gt;&lt;url&gt;&amp;lt;Go to ISI&amp;gt;://000399560600019&lt;/url&gt;&lt;/related-urls&gt;&lt;/urls&gt;&lt;electronic-resource-num&gt;10.1016/j.cell.2017.04.005&lt;/electronic-resource-num&gt;&lt;language&gt;English&lt;/language&gt;&lt;/record&gt;&lt;/Cite&gt;&lt;/EndNote&gt;</w:instrText>
      </w:r>
      <w:r>
        <w:rPr/>
        <w:fldChar w:fldCharType="separate"/>
      </w:r>
      <w:bookmarkStart w:id="126" w:name="__Fieldmark__3789_4090835577"/>
      <w:r>
        <w:rPr/>
      </w:r>
      <w:r>
        <w:rPr>
          <w:rFonts w:cs="Arial" w:ascii="Arial" w:hAnsi="Arial"/>
          <w:sz w:val="20"/>
          <w:szCs w:val="20"/>
          <w:lang w:val="en-GB"/>
        </w:rPr>
        <w:t>(Komor et al., 2017)</w:t>
      </w:r>
      <w:r>
        <w:rPr/>
      </w:r>
      <w:r>
        <w:rPr/>
        <w:fldChar w:fldCharType="end"/>
      </w:r>
      <w:hyperlink w:anchor="_ENREF_34" w:tgtFrame="Komor, 2017 #98">
        <w:bookmarkEnd w:id="126"/>
        <w:r>
          <w:rPr>
            <w:rFonts w:cs="Arial" w:ascii="Arial" w:hAnsi="Arial"/>
            <w:sz w:val="20"/>
            <w:szCs w:val="20"/>
            <w:lang w:val="en-GB"/>
          </w:rPr>
          <w:t xml:space="preserve">, and the FLP/FRT </w:t>
        </w:r>
      </w:hyperlink>
      <w:r>
        <w:fldChar w:fldCharType="begin"/>
      </w:r>
      <w:r>
        <w:rPr/>
        <w:instrText>ADDIN EN.CITE &lt;EndNote&gt;&lt;Cite&gt;&lt;Author&gt;Golic&lt;/Author&gt;&lt;Year&gt;1989&lt;/Year&gt;&lt;RecNum&gt;99&lt;/RecNum&gt;&lt;DisplayText&gt;(Golic and Lindquist, 1989)&lt;/DisplayText&gt;&lt;record&gt;&lt;rec-number&gt;99&lt;/rec-number&gt;&lt;foreign-keys&gt;&lt;key app="EN" db-id="vedta2ppje59fceprax5xvwqzxt2awx0xd99"&gt;99&lt;/key&gt;&lt;/foreign-keys&gt;&lt;ref-type name="Journal Article"&gt;17&lt;/ref-type&gt;&lt;contributors&gt;&lt;authors&gt;&lt;author&gt;Golic, K. G.&lt;/author&gt;&lt;author&gt;Lindquist, S.&lt;/author&gt;&lt;/authors&gt;&lt;/contributors&gt;&lt;titles&gt;&lt;title&gt;The Flp Recombinase of Yeast Catalyzes Site-Specific Recombination in the Drosophila Genome&lt;/title&gt;&lt;secondary-title&gt;Cell&lt;/secondary-title&gt;&lt;alt-title&gt;Cell&lt;/alt-title&gt;&lt;/titles&gt;&lt;periodical&gt;&lt;full-title&gt;Cell&lt;/full-title&gt;&lt;abbr-1&gt;Cell&lt;/abbr-1&gt;&lt;/periodical&gt;&lt;alt-periodical&gt;&lt;full-title&gt;Cell&lt;/full-title&gt;&lt;abbr-1&gt;Cell&lt;/abbr-1&gt;&lt;/alt-periodical&gt;&lt;pages&gt;499-509&lt;/pages&gt;&lt;volume&gt;59&lt;/volume&gt;&lt;number&gt;3&lt;/number&gt;&lt;dates&gt;&lt;year&gt;1989&lt;/year&gt;&lt;pub-dates&gt;&lt;date&gt;Nov 3&lt;/date&gt;&lt;/pub-dates&gt;&lt;/dates&gt;&lt;isbn&gt;0092-8674&lt;/isbn&gt;&lt;accession-num&gt;ISI:A1989AY52800009&lt;/accession-num&gt;&lt;urls&gt;&lt;related-urls&gt;&lt;url&gt;&amp;lt;Go to ISI&amp;gt;://A1989AY52800009&lt;/url&gt;&lt;/related-urls&gt;&lt;/urls&gt;&lt;electronic-resource-num&gt;Doi 10.1016/0092-8674(89)90033-0&lt;/electronic-resource-num&gt;&lt;language&gt;English&lt;/language&gt;&lt;/record&gt;&lt;/Cite&gt;&lt;/EndNote&gt;</w:instrText>
      </w:r>
      <w:r>
        <w:rPr/>
        <w:fldChar w:fldCharType="separate"/>
      </w:r>
      <w:bookmarkStart w:id="127" w:name="__Fieldmark__3799_4090835577"/>
      <w:r>
        <w:rPr/>
      </w:r>
      <w:r>
        <w:rPr>
          <w:rFonts w:cs="Arial" w:ascii="Arial" w:hAnsi="Arial"/>
          <w:sz w:val="20"/>
          <w:szCs w:val="20"/>
          <w:lang w:val="en-GB"/>
        </w:rPr>
        <w:t>(Golic and Lindquist, 1989)</w:t>
      </w:r>
      <w:r>
        <w:rPr/>
      </w:r>
      <w:r>
        <w:rPr/>
        <w:fldChar w:fldCharType="end"/>
      </w:r>
      <w:hyperlink w:anchor="_ENREF_20" w:tgtFrame="Golic, 1989 #99">
        <w:bookmarkEnd w:id="127"/>
        <w:r>
          <w:rPr>
            <w:rFonts w:cs="Arial" w:ascii="Arial" w:hAnsi="Arial"/>
            <w:sz w:val="20"/>
            <w:szCs w:val="20"/>
            <w:lang w:val="en-GB"/>
          </w:rPr>
          <w:t xml:space="preserve"> technologies which target specific sites of the genome </w:t>
        </w:r>
      </w:hyperlink>
      <w:r>
        <w:fldChar w:fldCharType="begin"/>
      </w:r>
      <w:r>
        <w:rPr/>
        <w:instrText>ADDIN EN.CITE &lt;EndNote&gt;&lt;Cite&gt;&lt;Author&gt;Sigrist&lt;/Author&gt;&lt;Year&gt;2009&lt;/Year&gt;&lt;RecNum&gt;8607&lt;/RecNum&gt;&lt;DisplayText&gt;(Sigrist, 2009)&lt;/DisplayText&gt;&lt;record&gt;&lt;rec-number&gt;8607&lt;/rec-number&gt;&lt;foreign-keys&gt;&lt;key app="EN" db-id="vwexp2xatx0fvxeff5rxex5pvw2vepptvvfs"&gt;8607&lt;/key&gt;&lt;/foreign-keys&gt;&lt;ref-type name="Journal Article"&gt;17&lt;/ref-type&gt;&lt;contributors&gt;&lt;authors&gt;&lt;author&gt;Sigrist, S. J.&lt;/author&gt;&lt;/authors&gt;&lt;/contributors&gt;&lt;auth-address&gt;Genetics, Institute for Biology, Free University Berlin, Takustrasse 6, 14195 Berlin, Germany. stephan.sigrist@fu-berlin.de&lt;/auth-address&gt;&lt;titles&gt;&lt;title&gt;The Yin and Yang of synaptic active zone assembly&lt;/title&gt;&lt;secondary-title&gt;Sci Signal&lt;/secondary-title&gt;&lt;/titles&gt;&lt;pages&gt;pe32&lt;/pages&gt;&lt;volume&gt;2&lt;/volume&gt;&lt;number&gt;70&lt;/number&gt;&lt;edition&gt;2009/05/14&lt;/edition&gt;&lt;keywords&gt;&lt;keyword&gt;Animals&lt;/keyword&gt;&lt;keyword&gt;Caenorhabditis elegans/genetics/growth &amp;amp; development/*metabolism&lt;/keyword&gt;&lt;keyword&gt;Caenorhabditis elegans Proteins/genetics/*metabolism/physiology&lt;/keyword&gt;&lt;keyword&gt;Carrier Proteins/genetics/metabolism/physiology&lt;/keyword&gt;&lt;keyword&gt;Gene Expression Regulation, Developmental&lt;/keyword&gt;&lt;keyword&gt;Models, Biological&lt;/keyword&gt;&lt;keyword&gt;Motor Neurons/metabolism&lt;/keyword&gt;&lt;keyword&gt;Neurogenesis/genetics/physiology&lt;/keyword&gt;&lt;keyword&gt;Nuclear Proteins/genetics/metabolism&lt;/keyword&gt;&lt;keyword&gt;Phosphoproteins/genetics/metabolism/physiology&lt;/keyword&gt;&lt;keyword&gt;Presynaptic Terminals/*metabolism&lt;/keyword&gt;&lt;keyword&gt;Synapses/metabolism&lt;/keyword&gt;&lt;keyword&gt;synaptogenesis/synapse formation&lt;/keyword&gt;&lt;keyword&gt;synapse assembly&lt;/keyword&gt;&lt;keyword&gt;Review&lt;/keyword&gt;&lt;/keywords&gt;&lt;dates&gt;&lt;year&gt;2009&lt;/year&gt;&lt;pub-dates&gt;&lt;date&gt;May 12&lt;/date&gt;&lt;/pub-dates&gt;&lt;/dates&gt;&lt;isbn&gt;1937-9145 (Electronic)&amp;#xD;1945-0877 (Linking)&lt;/isbn&gt;&lt;accession-num&gt;19436057&lt;/accession-num&gt;&lt;label&gt;PDF&lt;/label&gt;&lt;urls&gt;&lt;related-urls&gt;&lt;url&gt;http://www.ncbi.nlm.nih.gov/pubmed/19436057&lt;/url&gt;&lt;/related-urls&gt;&lt;/urls&gt;&lt;electronic-resource-num&gt;10.1126/scisignal.270pe32&amp;#xD;scisignal.270pe32 [pii]&lt;/electronic-resource-num&gt;&lt;language&gt;eng&lt;/language&gt;&lt;/record&gt;&lt;/Cite&gt;&lt;/EndNote&gt;</w:instrText>
      </w:r>
      <w:r>
        <w:rPr/>
        <w:fldChar w:fldCharType="separate"/>
      </w:r>
      <w:bookmarkStart w:id="128" w:name="__Fieldmark__3809_4090835577"/>
      <w:r>
        <w:rPr/>
      </w:r>
      <w:r>
        <w:rPr>
          <w:rFonts w:cs="Arial" w:ascii="Arial" w:hAnsi="Arial"/>
          <w:sz w:val="20"/>
          <w:szCs w:val="20"/>
          <w:lang w:val="en-GB"/>
        </w:rPr>
        <w:t>(Sigrist, 2009)</w:t>
      </w:r>
      <w:r>
        <w:rPr/>
      </w:r>
      <w:r>
        <w:rPr/>
        <w:fldChar w:fldCharType="end"/>
      </w:r>
      <w:hyperlink w:anchor="_ENREF_76" w:tgtFrame="Sigrist, 2009 #8607">
        <w:bookmarkEnd w:id="128"/>
        <w:r>
          <w:rPr>
            <w:rFonts w:cs="Arial" w:ascii="Arial" w:hAnsi="Arial"/>
            <w:sz w:val="20"/>
            <w:szCs w:val="20"/>
            <w:lang w:val="en-GB"/>
          </w:rPr>
          <w:t xml:space="preserve">. </w:t>
        </w:r>
      </w:hyperlink>
    </w:p>
    <w:p>
      <w:pPr>
        <w:pStyle w:val="Normal"/>
        <w:spacing w:lineRule="auto" w:line="360"/>
        <w:jc w:val="both"/>
        <w:rPr/>
      </w:pPr>
      <w:r>
        <w:rPr>
          <w:rFonts w:cs="Arial" w:ascii="Arial" w:hAnsi="Arial"/>
          <w:sz w:val="20"/>
          <w:szCs w:val="20"/>
          <w:lang w:val="en-GB"/>
        </w:rPr>
        <w:t xml:space="preserve">Alzheimer disease (AD) and epilepsy are closely linked diseases, patients with AD have an increase likelihood to develop epilepsy </w:t>
      </w:r>
      <w:r>
        <w:fldChar w:fldCharType="begin"/>
      </w:r>
      <w:r>
        <w:rPr/>
        <w:instrText>ADDIN EN.CITE &lt;EndNote&gt;&lt;Cite&gt;&lt;Author&gt;Pandis&lt;/Author&gt;&lt;Year&gt;2012&lt;/Year&gt;&lt;RecNum&gt;9795&lt;/RecNum&gt;&lt;DisplayText&gt;(Pandis and Scarmeas, 2012)&lt;/DisplayText&gt;&lt;record&gt;&lt;rec-number&gt;9795&lt;/rec-number&gt;&lt;foreign-keys&gt;&lt;key app="EN" db-id="vwexp2xatx0fvxeff5rxex5pvw2vepptvvfs"&gt;9795&lt;/key&gt;&lt;/foreign-keys&gt;&lt;ref-type name="Journal Article"&gt;17&lt;/ref-type&gt;&lt;contributors&gt;&lt;authors&gt;&lt;author&gt;Pandis, Dionysios&lt;/author&gt;&lt;author&gt;Scarmeas, Nikolaos&lt;/author&gt;&lt;/authors&gt;&lt;/contributors&gt;&lt;titles&gt;&lt;title&gt;Seizures in Alzheimer disease: clinical and epidemiological data&lt;/title&gt;&lt;secondary-title&gt;Epilepsy currents&lt;/secondary-title&gt;&lt;alt-title&gt;Epilepsy Curr&lt;/alt-title&gt;&lt;/titles&gt;&lt;pages&gt;184-187&lt;/pages&gt;&lt;volume&gt;12&lt;/volume&gt;&lt;number&gt;5&lt;/number&gt;&lt;dates&gt;&lt;year&gt;2012&lt;/year&gt;&lt;pub-dates&gt;&lt;date&gt;Sep-Oct&lt;/date&gt;&lt;/pub-dates&gt;&lt;/dates&gt;&lt;publisher&gt;American Epilepsy Society&lt;/publisher&gt;&lt;isbn&gt;1535-7511&amp;#xD;1535-7597&lt;/isbn&gt;&lt;accession-num&gt;23118603&lt;/accession-num&gt;&lt;urls&gt;&lt;related-urls&gt;&lt;url&gt;https://www.ncbi.nlm.nih.gov/pubmed/23118603&lt;/url&gt;&lt;url&gt;https://www.ncbi.nlm.nih.gov/pmc/articles/PMC3482722/&lt;/url&gt;&lt;/related-urls&gt;&lt;/urls&gt;&lt;electronic-resource-num&gt;10.5698/1535-7511-12.5.184&lt;/electronic-resource-num&gt;&lt;remote-database-name&gt;PubMed&lt;/remote-database-name&gt;&lt;language&gt;eng&lt;/language&gt;&lt;/record&gt;&lt;/Cite&gt;&lt;/EndNote&gt;</w:instrText>
      </w:r>
      <w:r>
        <w:rPr/>
        <w:fldChar w:fldCharType="separate"/>
      </w:r>
      <w:bookmarkStart w:id="129" w:name="__Fieldmark__3821_4090835577"/>
      <w:r>
        <w:rPr/>
      </w:r>
      <w:r>
        <w:rPr>
          <w:rFonts w:cs="Arial" w:ascii="Arial" w:hAnsi="Arial"/>
          <w:sz w:val="20"/>
          <w:szCs w:val="20"/>
          <w:lang w:val="en-GB"/>
        </w:rPr>
        <w:t>(Pandis and Scarmeas, 2012)</w:t>
      </w:r>
      <w:r>
        <w:rPr/>
      </w:r>
      <w:r>
        <w:rPr/>
        <w:fldChar w:fldCharType="end"/>
      </w:r>
      <w:hyperlink w:anchor="_ENREF_54" w:tgtFrame="Pandis, 2012 #9795">
        <w:bookmarkEnd w:id="129"/>
        <w:r>
          <w:rPr>
            <w:rFonts w:cs="Arial" w:ascii="Arial" w:hAnsi="Arial"/>
            <w:sz w:val="20"/>
            <w:szCs w:val="20"/>
            <w:lang w:val="en-GB"/>
          </w:rPr>
          <w:t>. This can be due to physiological mechanisms shared by both diseases. Indeed, Tau is an important protein implicated in MT stabilisation and tau</w:t>
        </w:r>
      </w:hyperlink>
      <w:r>
        <w:rPr>
          <w:rFonts w:cs="Arial" w:ascii="Arial" w:hAnsi="Arial"/>
          <w:sz w:val="20"/>
          <w:szCs w:val="20"/>
          <w:vertAlign w:val="superscript"/>
          <w:lang w:val="en-GB"/>
        </w:rPr>
        <w:t>ko/ko</w:t>
      </w:r>
      <w:r>
        <w:rPr>
          <w:rFonts w:cs="Arial" w:ascii="Arial" w:hAnsi="Arial"/>
          <w:sz w:val="20"/>
          <w:szCs w:val="20"/>
          <w:lang w:val="en-GB"/>
        </w:rPr>
        <w:t xml:space="preserve"> mutants display a seizure-like phenotype. Mutations affecting Tau lead to diseases called tauopathies, such as AD </w:t>
      </w:r>
      <w:r>
        <w:fldChar w:fldCharType="begin"/>
      </w:r>
      <w:r>
        <w:rPr/>
        <w:instrText>ADDIN EN.CITE &lt;EndNote&gt;&lt;Cite&gt;&lt;Author&gt;Miranda&lt;/Author&gt;&lt;Year&gt;2014&lt;/Year&gt;&lt;RecNum&gt;9794&lt;/RecNum&gt;&lt;DisplayText&gt;(Miranda and Brucki, 2014)&lt;/DisplayText&gt;&lt;record&gt;&lt;rec-number&gt;9794&lt;/rec-number&gt;&lt;foreign-keys&gt;&lt;key app="EN" db-id="vwexp2xatx0fvxeff5rxex5pvw2vepptvvfs"&gt;9794&lt;/key&gt;&lt;/foreign-keys&gt;&lt;ref-type name="Journal Article"&gt;17&lt;/ref-type&gt;&lt;contributors&gt;&lt;authors&gt;&lt;author&gt;Miranda, Diane da Costa&lt;/author&gt;&lt;author&gt;Brucki, Sonia Maria Dozzi&lt;/author&gt;&lt;/authors&gt;&lt;/contributors&gt;&lt;titles&gt;&lt;title&gt;Epilepsy in patients with Alzheimer&amp;apos;s disease: A systematic review&lt;/title&gt;&lt;secondary-title&gt;Dementia &amp;amp; Neuropsychologia&lt;/secondary-title&gt;&lt;alt-title&gt;Dement Neuropsychol&lt;/alt-title&gt;&lt;/titles&gt;&lt;pages&gt;66-71&lt;/pages&gt;&lt;volume&gt;8&lt;/volume&gt;&lt;number&gt;1&lt;/number&gt;&lt;keywords&gt;&lt;keyword&gt;Alzheimer&amp;apos;s disease&lt;/keyword&gt;&lt;keyword&gt;antiepileptic drugs&lt;/keyword&gt;&lt;keyword&gt;dementia&lt;/keyword&gt;&lt;keyword&gt;epilepsy&lt;/keyword&gt;&lt;/keywords&gt;&lt;dates&gt;&lt;year&gt;2014&lt;/year&gt;&lt;pub-dates&gt;&lt;date&gt;Jan-Mar&lt;/date&gt;&lt;/pub-dates&gt;&lt;/dates&gt;&lt;publisher&gt;Associação de Neurologia Cognitiva e do Comportamento&lt;/publisher&gt;&lt;isbn&gt;1980-5764&lt;/isbn&gt;&lt;accession-num&gt;29213881&lt;/accession-num&gt;&lt;label&gt;PDF in others&lt;/label&gt;&lt;urls&gt;&lt;related-urls&gt;&lt;url&gt;https://www.ncbi.nlm.nih.gov/pubmed/29213881&lt;/url&gt;&lt;url&gt;https://www.ncbi.nlm.nih.gov/pmc/articles/PMC5619450/&lt;/url&gt;&lt;/related-urls&gt;&lt;/urls&gt;&lt;electronic-resource-num&gt;10.1590/s1980-57642014dn81000010&lt;/electronic-resource-num&gt;&lt;remote-database-name&gt;PubMed&lt;/remote-database-name&gt;&lt;language&gt;eng&lt;/language&gt;&lt;/record&gt;&lt;/Cite&gt;&lt;/EndNote&gt;</w:instrText>
      </w:r>
      <w:r>
        <w:rPr/>
        <w:fldChar w:fldCharType="separate"/>
      </w:r>
      <w:bookmarkStart w:id="130" w:name="__Fieldmark__3833_4090835577"/>
      <w:r>
        <w:rPr/>
      </w:r>
      <w:r>
        <w:rPr>
          <w:rFonts w:cs="Arial" w:ascii="Arial" w:hAnsi="Arial"/>
          <w:sz w:val="20"/>
          <w:szCs w:val="20"/>
          <w:lang w:val="en-GB"/>
        </w:rPr>
        <w:t>(Miranda and Brucki, 2014)</w:t>
      </w:r>
      <w:r>
        <w:rPr/>
      </w:r>
      <w:r>
        <w:rPr/>
        <w:fldChar w:fldCharType="end"/>
      </w:r>
      <w:hyperlink w:anchor="_ENREF_47" w:tgtFrame="Miranda, 2014 #9794">
        <w:bookmarkEnd w:id="130"/>
        <w:r>
          <w:rPr>
            <w:rFonts w:cs="Arial" w:ascii="Arial" w:hAnsi="Arial"/>
            <w:sz w:val="20"/>
            <w:szCs w:val="20"/>
            <w:lang w:val="en-GB"/>
          </w:rPr>
          <w:t>. I can hypothesise that MT destabilisation is a potential cause of epileptic-like phenotypes and AD.</w:t>
        </w:r>
      </w:hyperlink>
    </w:p>
    <w:p>
      <w:pPr>
        <w:pStyle w:val="ListParagraph"/>
        <w:numPr>
          <w:ilvl w:val="0"/>
          <w:numId w:val="3"/>
        </w:numPr>
        <w:spacing w:lineRule="auto" w:line="360"/>
        <w:jc w:val="both"/>
        <w:rPr>
          <w:rFonts w:ascii="Arial" w:hAnsi="Arial" w:cs="Arial"/>
          <w:b/>
          <w:b/>
          <w:sz w:val="20"/>
          <w:szCs w:val="20"/>
          <w:u w:val="single"/>
          <w:lang w:val="en-GB"/>
        </w:rPr>
      </w:pPr>
      <w:r>
        <w:rPr>
          <w:rFonts w:cs="Arial" w:ascii="Arial" w:hAnsi="Arial"/>
          <w:b/>
          <w:sz w:val="20"/>
          <w:szCs w:val="20"/>
          <w:u w:val="single"/>
          <w:lang w:val="en-GB"/>
        </w:rPr>
        <w:t>Conclusion and future directions:</w:t>
      </w:r>
    </w:p>
    <w:p>
      <w:pPr>
        <w:pStyle w:val="Normal"/>
        <w:spacing w:lineRule="auto" w:line="360"/>
        <w:jc w:val="both"/>
        <w:rPr/>
      </w:pPr>
      <w:r>
        <w:rPr>
          <w:rFonts w:cs="Arial" w:ascii="Arial" w:hAnsi="Arial"/>
          <w:sz w:val="20"/>
          <w:szCs w:val="20"/>
          <w:lang w:val="en-GB"/>
        </w:rPr>
        <w:t xml:space="preserve">Human epilepsy is complex to both diagnose and treat because it can results from multiple unknown causes </w:t>
      </w:r>
      <w:r>
        <w:fldChar w:fldCharType="begin"/>
      </w:r>
      <w:r>
        <w:rPr/>
        <w:instrText>ADDIN EN.CITE</w:instrText>
      </w:r>
      <w:r>
        <w:rPr/>
        <w:fldChar w:fldCharType="separate"/>
      </w:r>
      <w:bookmarkStart w:id="131" w:name="__Fieldmark__3852_4090835577"/>
      <w:r>
        <w:rPr/>
      </w:r>
      <w:r>
        <w:rPr/>
      </w:r>
      <w:r>
        <w:rPr/>
        <w:fldChar w:fldCharType="end"/>
      </w:r>
      <w:r>
        <w:fldChar w:fldCharType="begin"/>
      </w:r>
      <w:r>
        <w:rPr/>
        <w:instrText>ADDIN EN.CITE.DATA</w:instrText>
      </w:r>
      <w:r>
        <w:rPr/>
        <w:fldChar w:fldCharType="separate"/>
      </w:r>
      <w:bookmarkStart w:id="132" w:name="__Fieldmark__3851_4090835577"/>
      <w:bookmarkEnd w:id="131"/>
      <w:r>
        <w:rPr/>
      </w:r>
      <w:r>
        <w:rPr>
          <w:rFonts w:cs="Arial" w:ascii="Arial" w:hAnsi="Arial"/>
          <w:sz w:val="20"/>
          <w:szCs w:val="20"/>
          <w:lang w:val="en-GB"/>
        </w:rPr>
        <w:t>(Marley and Baines, 2011)</w:t>
      </w:r>
      <w:r>
        <w:rPr/>
      </w:r>
      <w:r>
        <w:rPr/>
        <w:fldChar w:fldCharType="end"/>
      </w:r>
      <w:hyperlink w:anchor="_ENREF_45" w:tgtFrame="Marley, 2011 #91">
        <w:bookmarkEnd w:id="132"/>
        <w:r>
          <w:rPr>
            <w:rFonts w:cs="Arial" w:ascii="Arial" w:hAnsi="Arial"/>
            <w:sz w:val="20"/>
            <w:szCs w:val="20"/>
            <w:lang w:val="en-GB"/>
          </w:rPr>
          <w:t xml:space="preserve">. </w:t>
        </w:r>
      </w:hyperlink>
      <w:r>
        <w:rPr>
          <w:rFonts w:cs="Arial" w:ascii="Arial" w:hAnsi="Arial"/>
          <w:i/>
          <w:sz w:val="20"/>
          <w:szCs w:val="20"/>
          <w:lang w:val="en-GB"/>
        </w:rPr>
        <w:t>Drosophila</w:t>
      </w:r>
      <w:r>
        <w:rPr>
          <w:rFonts w:cs="Arial" w:ascii="Arial" w:hAnsi="Arial"/>
          <w:sz w:val="20"/>
          <w:szCs w:val="20"/>
          <w:lang w:val="en-GB"/>
        </w:rPr>
        <w:t xml:space="preserve"> as an animal model because it is cheap to handle, stock and manipulate compare to mammals. Among the 75% of fly genes causing disease in humans when mutated </w:t>
      </w:r>
      <w:r>
        <w:fldChar w:fldCharType="begin"/>
      </w:r>
      <w:r>
        <w:rPr/>
        <w:instrText>ADDIN EN.CITE &lt;EndNote&gt;&lt;Cite&gt;&lt;Author&gt;von Bergen&lt;/Author&gt;&lt;Year&gt;2005&lt;/Year&gt;&lt;RecNum&gt;5439&lt;/RecNum&gt;&lt;DisplayText&gt;(Von Bergen et al., 2005)&lt;/DisplayText&gt;&lt;record&gt;&lt;rec-number&gt;5439&lt;/rec-number&gt;&lt;foreign-keys&gt;&lt;key app="EN" db-id="vwexp2xatx0fvxeff5rxex5pvw2vepptvvfs"&gt;5439&lt;/key&gt;&lt;/foreign-keys&gt;&lt;ref-type name="Journal Article"&gt;17&lt;/ref-type&gt;&lt;contributors&gt;&lt;authors&gt;&lt;author&gt;von Bergen, M.&lt;/author&gt;&lt;author&gt;Barghorn, S.&lt;/author&gt;&lt;author&gt;Biernat, J.&lt;/author&gt;&lt;author&gt;Mandelkow, E. M.&lt;/author&gt;&lt;author&gt;Mandelkow, E.&lt;/author&gt;&lt;/authors&gt;&lt;/contributors&gt;&lt;titles&gt;&lt;title&gt;Tau aggregation is driven by a transition from random coil to beta sheet structure&lt;/title&gt;&lt;secondary-title&gt;Biochim Biophys Acta&lt;/secondary-title&gt;&lt;/titles&gt;&lt;pages&gt;158-66&lt;/pages&gt;&lt;volume&gt;1739&lt;/volume&gt;&lt;number&gt;2-3&lt;/number&gt;&lt;keywords&gt;&lt;keyword&gt;Alzheimer Disease/*metabolism&lt;/keyword&gt;&lt;keyword&gt;Amino Acid Sequence&lt;/keyword&gt;&lt;keyword&gt;Brain Chemistry&lt;/keyword&gt;&lt;keyword&gt;Circular Dichroism&lt;/keyword&gt;&lt;keyword&gt;Humans&lt;/keyword&gt;&lt;keyword&gt;Models, Chemical&lt;/keyword&gt;&lt;keyword&gt;Molecular Sequence Data&lt;/keyword&gt;&lt;keyword&gt;Mutation&lt;/keyword&gt;&lt;keyword&gt;Protein Structure, Secondary&lt;/keyword&gt;&lt;keyword&gt;Spectroscopy, Fourier Transform Infrared&lt;/keyword&gt;&lt;keyword&gt;X-Ray Diffraction&lt;/keyword&gt;&lt;keyword&gt;tau Proteins/*chemistry&lt;/keyword&gt;&lt;keyword&gt;Review&lt;/keyword&gt;&lt;keyword&gt;microtubule&lt;/keyword&gt;&lt;keyword&gt;Review&lt;/keyword&gt;&lt;/keywords&gt;&lt;dates&gt;&lt;year&gt;2005&lt;/year&gt;&lt;pub-dates&gt;&lt;date&gt;Jan 3&lt;/date&gt;&lt;/pub-dates&gt;&lt;/dates&gt;&lt;accession-num&gt;15615635&lt;/accession-num&gt;&lt;label&gt;PDF in others&lt;/label&gt;&lt;urls&gt;&lt;related-urls&gt;&lt;url&gt;http://www.ncbi.nlm.nih.gov/entrez/query.fcgi?cmd=Retrieve&amp;amp;db=PubMed&amp;amp;dopt=Citation&amp;amp;list_uids=15615635&lt;/url&gt;&lt;/related-urls&gt;&lt;/urls&gt;&lt;/record&gt;&lt;/Cite&gt;&lt;/EndNote&gt;</w:instrText>
      </w:r>
      <w:r>
        <w:rPr/>
        <w:fldChar w:fldCharType="separate"/>
      </w:r>
      <w:bookmarkStart w:id="133" w:name="__Fieldmark__3864_4090835577"/>
      <w:r>
        <w:rPr/>
      </w:r>
      <w:r>
        <w:rPr>
          <w:rFonts w:cs="Arial" w:ascii="Arial" w:hAnsi="Arial"/>
          <w:sz w:val="20"/>
          <w:szCs w:val="20"/>
          <w:lang w:val="en-GB"/>
        </w:rPr>
        <w:t>(Von Bergen et al., 2005)</w:t>
      </w:r>
      <w:r>
        <w:rPr/>
      </w:r>
      <w:r>
        <w:rPr/>
        <w:fldChar w:fldCharType="end"/>
      </w:r>
      <w:hyperlink w:anchor="_ENREF_82" w:tgtFrame="von Bergen, 2005 #5439">
        <w:bookmarkEnd w:id="133"/>
        <w:r>
          <w:rPr>
            <w:rFonts w:cs="Arial" w:ascii="Arial" w:hAnsi="Arial"/>
            <w:sz w:val="20"/>
            <w:szCs w:val="20"/>
            <w:lang w:val="en-GB"/>
          </w:rPr>
          <w:t xml:space="preserve"> are genes displaying seizures </w:t>
        </w:r>
      </w:hyperlink>
      <w:r>
        <w:fldChar w:fldCharType="begin"/>
      </w:r>
      <w:r>
        <w:rPr/>
        <w:instrText>ADDIN EN.CITE</w:instrText>
      </w:r>
      <w:r>
        <w:rPr/>
        <w:fldChar w:fldCharType="separate"/>
      </w:r>
      <w:bookmarkStart w:id="134" w:name="__Fieldmark__3876_4090835577"/>
      <w:r>
        <w:rPr/>
      </w:r>
      <w:r>
        <w:rPr/>
      </w:r>
      <w:r>
        <w:rPr/>
        <w:fldChar w:fldCharType="end"/>
      </w:r>
      <w:r>
        <w:fldChar w:fldCharType="begin"/>
      </w:r>
      <w:r>
        <w:rPr/>
        <w:instrText>ADDIN EN.CITE.DATA</w:instrText>
      </w:r>
      <w:r>
        <w:rPr/>
        <w:fldChar w:fldCharType="separate"/>
      </w:r>
      <w:bookmarkStart w:id="135" w:name="__Fieldmark__3875_4090835577"/>
      <w:bookmarkEnd w:id="134"/>
      <w:r>
        <w:rPr/>
      </w:r>
      <w:r>
        <w:rPr>
          <w:rFonts w:cs="Arial" w:ascii="Arial" w:hAnsi="Arial"/>
          <w:sz w:val="20"/>
          <w:szCs w:val="20"/>
          <w:lang w:val="en-GB"/>
        </w:rPr>
        <w:t>(Jin et al., 2005)</w:t>
      </w:r>
      <w:r>
        <w:rPr/>
      </w:r>
      <w:r>
        <w:rPr/>
        <w:fldChar w:fldCharType="end"/>
      </w:r>
      <w:hyperlink w:anchor="_ENREF_33" w:tgtFrame="Jin, 2005 #7317">
        <w:bookmarkEnd w:id="135"/>
        <w:r>
          <w:rPr>
            <w:rFonts w:cs="Arial" w:ascii="Arial" w:hAnsi="Arial"/>
            <w:sz w:val="20"/>
            <w:szCs w:val="20"/>
            <w:lang w:val="en-GB"/>
          </w:rPr>
          <w:t xml:space="preserve">. A potential cause of seizure-like phenotype in </w:t>
        </w:r>
      </w:hyperlink>
      <w:r>
        <w:rPr>
          <w:rFonts w:cs="Arial" w:ascii="Arial" w:hAnsi="Arial"/>
          <w:i/>
          <w:iCs/>
          <w:sz w:val="20"/>
          <w:szCs w:val="20"/>
          <w:lang w:val="en-GB"/>
        </w:rPr>
        <w:t>Drosophila</w:t>
      </w:r>
      <w:r>
        <w:rPr>
          <w:rFonts w:cs="Arial" w:ascii="Arial" w:hAnsi="Arial"/>
          <w:sz w:val="20"/>
          <w:szCs w:val="20"/>
          <w:lang w:val="en-GB"/>
        </w:rPr>
        <w:t xml:space="preserve"> can be due to mutations affecting genes crucial for MTs bundling and organisation, resulting in an impaired transport of kinesins along MTs resulting in aberrant GABA-R localisation in the larval CNS. By extrapolation, idiopathic epilepsy in humans could also be caused by several mutations affecting MTs regulators proteins affecting RDL-transport proteins. This work provides initial information for future studies, which focus mostly on the potential mechanisms causing seizure-like behaviour in </w:t>
      </w:r>
      <w:r>
        <w:rPr>
          <w:rFonts w:cs="Arial" w:ascii="Arial" w:hAnsi="Arial"/>
          <w:i/>
          <w:sz w:val="20"/>
          <w:szCs w:val="20"/>
          <w:lang w:val="en-GB"/>
        </w:rPr>
        <w:t>Drosophila</w:t>
      </w:r>
      <w:r>
        <w:rPr>
          <w:rFonts w:cs="Arial" w:ascii="Arial" w:hAnsi="Arial"/>
          <w:sz w:val="20"/>
          <w:szCs w:val="20"/>
          <w:lang w:val="en-GB"/>
        </w:rPr>
        <w:t xml:space="preserve"> L3 larvae.  </w:t>
      </w:r>
    </w:p>
    <w:p>
      <w:pPr>
        <w:pStyle w:val="Normal"/>
        <w:spacing w:lineRule="auto" w:line="360"/>
        <w:jc w:val="both"/>
        <w:rPr>
          <w:rFonts w:ascii="Arial" w:hAnsi="Arial" w:cs="Arial"/>
          <w:sz w:val="20"/>
          <w:szCs w:val="20"/>
          <w:lang w:val="en-GB"/>
        </w:rPr>
      </w:pPr>
      <w:r>
        <w:rPr>
          <w:rFonts w:cs="Arial" w:ascii="Arial" w:hAnsi="Arial"/>
          <w:sz w:val="20"/>
          <w:szCs w:val="20"/>
          <w:lang w:val="en-GB"/>
        </w:rPr>
        <w:t xml:space="preserve">First, </w:t>
      </w:r>
      <w:r>
        <w:rPr>
          <w:rFonts w:cs="Arial" w:ascii="Arial" w:hAnsi="Arial"/>
          <w:i/>
          <w:sz w:val="20"/>
          <w:szCs w:val="20"/>
          <w:lang w:val="en-GB"/>
        </w:rPr>
        <w:t>Efa6</w:t>
      </w:r>
      <w:r>
        <w:rPr>
          <w:rFonts w:cs="Arial" w:ascii="Arial" w:hAnsi="Arial"/>
          <w:i/>
          <w:sz w:val="20"/>
          <w:szCs w:val="20"/>
          <w:vertAlign w:val="superscript"/>
          <w:lang w:val="en-GB"/>
        </w:rPr>
        <w:t>-/-</w:t>
      </w:r>
      <w:r>
        <w:rPr>
          <w:rFonts w:cs="Arial" w:ascii="Arial" w:hAnsi="Arial"/>
          <w:sz w:val="20"/>
          <w:szCs w:val="20"/>
          <w:lang w:val="en-GB"/>
        </w:rPr>
        <w:t xml:space="preserve"> mutant, </w:t>
      </w:r>
      <w:r>
        <w:rPr>
          <w:rFonts w:cs="Arial" w:ascii="Arial" w:hAnsi="Arial"/>
          <w:i/>
          <w:sz w:val="20"/>
          <w:szCs w:val="20"/>
          <w:lang w:val="en-GB"/>
        </w:rPr>
        <w:t>tau-RNAi</w:t>
      </w:r>
      <w:r>
        <w:rPr>
          <w:rFonts w:cs="Arial" w:ascii="Arial" w:hAnsi="Arial"/>
          <w:sz w:val="20"/>
          <w:szCs w:val="20"/>
          <w:lang w:val="en-GB"/>
        </w:rPr>
        <w:t xml:space="preserve">, </w:t>
      </w:r>
      <w:r>
        <w:rPr>
          <w:rFonts w:cs="Arial" w:ascii="Arial" w:hAnsi="Arial"/>
          <w:i/>
          <w:sz w:val="20"/>
          <w:szCs w:val="20"/>
          <w:lang w:val="en-GB"/>
        </w:rPr>
        <w:t>msps-RNAi</w:t>
      </w:r>
      <w:r>
        <w:rPr>
          <w:rFonts w:cs="Arial" w:ascii="Arial" w:hAnsi="Arial"/>
          <w:sz w:val="20"/>
          <w:szCs w:val="20"/>
          <w:lang w:val="en-GB"/>
        </w:rPr>
        <w:t xml:space="preserve"> and </w:t>
      </w:r>
      <w:r>
        <w:rPr>
          <w:rFonts w:cs="Arial" w:ascii="Arial" w:hAnsi="Arial"/>
          <w:i/>
          <w:sz w:val="20"/>
          <w:szCs w:val="20"/>
          <w:lang w:val="en-GB"/>
        </w:rPr>
        <w:t xml:space="preserve">Eb1-RNAi </w:t>
      </w:r>
      <w:r>
        <w:rPr>
          <w:rFonts w:cs="Arial" w:ascii="Arial" w:hAnsi="Arial"/>
          <w:sz w:val="20"/>
          <w:szCs w:val="20"/>
          <w:lang w:val="en-GB"/>
        </w:rPr>
        <w:t xml:space="preserve">larvae could be tested with the MT-stabilising drug Epothilone B to see if there is an improvement of seizure-like phenotype. If so, this would provide a more general statement that MTs play a role in seizure-like behaviour. In contrast, </w:t>
      </w:r>
      <w:r>
        <w:rPr>
          <w:rFonts w:cs="Arial" w:ascii="Arial" w:hAnsi="Arial"/>
          <w:i/>
          <w:sz w:val="20"/>
          <w:szCs w:val="20"/>
          <w:lang w:val="en-GB"/>
        </w:rPr>
        <w:t>Rdl-RNAi</w:t>
      </w:r>
      <w:r>
        <w:rPr>
          <w:rFonts w:cs="Arial" w:ascii="Arial" w:hAnsi="Arial"/>
          <w:sz w:val="20"/>
          <w:szCs w:val="20"/>
          <w:lang w:val="en-GB"/>
        </w:rPr>
        <w:t xml:space="preserve"> larvae could be tested as controls, since we would not expect a MT-stabilising drug to show any effect on this condition. </w:t>
      </w:r>
    </w:p>
    <w:p>
      <w:pPr>
        <w:pStyle w:val="Normal"/>
        <w:spacing w:lineRule="auto" w:line="360"/>
        <w:jc w:val="both"/>
        <w:rPr/>
      </w:pPr>
      <w:r>
        <w:rPr>
          <w:rFonts w:cs="Arial" w:ascii="Arial" w:hAnsi="Arial"/>
          <w:sz w:val="20"/>
          <w:szCs w:val="20"/>
          <w:lang w:val="en-GB"/>
        </w:rPr>
        <w:t xml:space="preserve">Mutations on genes encoding tubulin can have an effects on MTs polymerization and/or stability, but they can also have an influence on the interaction of MTBP – Microtubules Binding Proteins and transport proteins, such as kinesins </w:t>
      </w:r>
      <w:r>
        <w:fldChar w:fldCharType="begin"/>
      </w:r>
      <w:r>
        <w:rPr/>
        <w:instrText>ADDIN EN.CITE &lt;EndNote&gt;&lt;Cite&gt;&lt;Author&gt;Niwa&lt;/Author&gt;&lt;Year&gt;2013&lt;/Year&gt;&lt;RecNum&gt;81&lt;/RecNum&gt;&lt;DisplayText&gt;(Niwa et al., 2013)&lt;/DisplayText&gt;&lt;record&gt;&lt;rec-number&gt;81&lt;/rec-number&gt;&lt;foreign-keys&gt;&lt;key app="EN" db-id="vedta2ppje59fceprax5xvwqzxt2awx0xd99"&gt;81&lt;/key&gt;&lt;/foreign-keys&gt;&lt;ref-type name="Journal Article"&gt;17&lt;/ref-type&gt;&lt;contributors&gt;&lt;authors&gt;&lt;author&gt;Niwa, S.&lt;/author&gt;&lt;author&gt;Takahashi, H.&lt;/author&gt;&lt;author&gt;Hirokawa, N.&lt;/author&gt;&lt;/authors&gt;&lt;/contributors&gt;&lt;auth-address&gt;Univ Tokyo, Dept Cell Biol, Grad Sch Med, Tokyo 1130033, Japan&amp;#xD;King Abdulaziz Univ, Ctr Excellence Genome Med Res, Jeddah 21413, Saudi Arabia&lt;/auth-address&gt;&lt;titles&gt;&lt;title&gt;beta-Tubulin mutations that cause severe neuropathies disrupt axonal transport&lt;/title&gt;&lt;secondary-title&gt;Embo Journal&lt;/secondary-title&gt;&lt;alt-title&gt;Embo J&lt;/alt-title&gt;&lt;/titles&gt;&lt;alt-periodical&gt;&lt;full-title&gt;EMBO J&lt;/full-title&gt;&lt;/alt-periodical&gt;&lt;pages&gt;1352-1364&lt;/pages&gt;&lt;volume&gt;32&lt;/volume&gt;&lt;number&gt;10&lt;/number&gt;&lt;keywords&gt;&lt;keyword&gt;axonal transport&lt;/keyword&gt;&lt;keyword&gt;cfeom3&lt;/keyword&gt;&lt;keyword&gt;kinesin&lt;/keyword&gt;&lt;keyword&gt;tubb2&lt;/keyword&gt;&lt;keyword&gt;tubb3&lt;/keyword&gt;&lt;keyword&gt;kinesin heavy-chain&lt;/keyword&gt;&lt;keyword&gt;extraocular-muscles type-1&lt;/keyword&gt;&lt;keyword&gt;membranous organelles&lt;/keyword&gt;&lt;keyword&gt;targeted disruption&lt;/keyword&gt;&lt;keyword&gt;congenital fibrosis&lt;/keyword&gt;&lt;keyword&gt;motor protein&lt;/keyword&gt;&lt;keyword&gt;microtubule&lt;/keyword&gt;&lt;keyword&gt;binding&lt;/keyword&gt;&lt;keyword&gt;identification&lt;/keyword&gt;&lt;keyword&gt;mitochondrial&lt;/keyword&gt;&lt;/keywords&gt;&lt;dates&gt;&lt;year&gt;2013&lt;/year&gt;&lt;pub-dates&gt;&lt;date&gt;May 15&lt;/date&gt;&lt;/pub-dates&gt;&lt;/dates&gt;&lt;isbn&gt;0261-4189&lt;/isbn&gt;&lt;accession-num&gt;ISI:000319123500004&lt;/accession-num&gt;&lt;urls&gt;&lt;related-urls&gt;&lt;url&gt;&amp;lt;Go to ISI&amp;gt;://000319123500004&lt;/url&gt;&lt;/related-urls&gt;&lt;/urls&gt;&lt;electronic-resource-num&gt;10.1038/emboj.2013.59&lt;/electronic-resource-num&gt;&lt;language&gt;English&lt;/language&gt;&lt;/record&gt;&lt;/Cite&gt;&lt;/EndNote&gt;</w:instrText>
      </w:r>
      <w:r>
        <w:rPr/>
        <w:fldChar w:fldCharType="separate"/>
      </w:r>
      <w:bookmarkStart w:id="136" w:name="__Fieldmark__3909_4090835577"/>
      <w:r>
        <w:rPr/>
      </w:r>
      <w:r>
        <w:rPr>
          <w:rFonts w:cs="Arial" w:ascii="Arial" w:hAnsi="Arial"/>
          <w:sz w:val="20"/>
          <w:szCs w:val="20"/>
          <w:lang w:val="en-GB"/>
        </w:rPr>
        <w:t>(Niwa et al., 2013)</w:t>
      </w:r>
      <w:r>
        <w:rPr/>
      </w:r>
      <w:r>
        <w:rPr/>
        <w:fldChar w:fldCharType="end"/>
      </w:r>
      <w:hyperlink w:anchor="_ENREF_52" w:tgtFrame="Niwa, 2013 #81">
        <w:bookmarkEnd w:id="136"/>
        <w:r>
          <w:rPr>
            <w:rFonts w:cs="Arial" w:ascii="Arial" w:hAnsi="Arial"/>
            <w:sz w:val="20"/>
            <w:szCs w:val="20"/>
            <w:lang w:val="en-GB"/>
          </w:rPr>
          <w:t xml:space="preserve">. Indeed, one of the aim of this project is to determine if there are mutations in other genes than </w:t>
        </w:r>
      </w:hyperlink>
      <w:r>
        <w:rPr>
          <w:rFonts w:cs="Arial" w:ascii="Arial" w:hAnsi="Arial"/>
          <w:i/>
          <w:sz w:val="20"/>
          <w:szCs w:val="20"/>
          <w:lang w:val="en-GB"/>
        </w:rPr>
        <w:t>Eb1, msps, tau</w:t>
      </w:r>
      <w:r>
        <w:rPr>
          <w:rFonts w:cs="Arial" w:ascii="Arial" w:hAnsi="Arial"/>
          <w:sz w:val="20"/>
          <w:szCs w:val="20"/>
          <w:lang w:val="en-GB"/>
        </w:rPr>
        <w:t xml:space="preserve"> and </w:t>
      </w:r>
      <w:r>
        <w:rPr>
          <w:rFonts w:cs="Arial" w:ascii="Arial" w:hAnsi="Arial"/>
          <w:i/>
          <w:sz w:val="20"/>
          <w:szCs w:val="20"/>
          <w:lang w:val="en-GB"/>
        </w:rPr>
        <w:t>kinesin 1</w:t>
      </w:r>
      <w:r>
        <w:rPr>
          <w:rFonts w:cs="Arial" w:ascii="Arial" w:hAnsi="Arial"/>
          <w:sz w:val="20"/>
          <w:szCs w:val="20"/>
          <w:lang w:val="en-GB"/>
        </w:rPr>
        <w:t>, that can cause seizure-like phenotypes. Niwa et al. found mutations affecting tubulin genes, TUBB3</w:t>
      </w:r>
      <w:r>
        <w:rPr>
          <w:rFonts w:cs="Arial" w:ascii="Arial" w:hAnsi="Arial"/>
          <w:sz w:val="20"/>
          <w:szCs w:val="20"/>
          <w:vertAlign w:val="superscript"/>
          <w:lang w:val="en-GB"/>
        </w:rPr>
        <w:t>E410K</w:t>
      </w:r>
      <w:r>
        <w:rPr>
          <w:rFonts w:cs="Arial" w:ascii="Arial" w:hAnsi="Arial"/>
          <w:sz w:val="20"/>
          <w:szCs w:val="20"/>
          <w:lang w:val="en-GB"/>
        </w:rPr>
        <w:t xml:space="preserve"> and TUBB3</w:t>
      </w:r>
      <w:r>
        <w:rPr>
          <w:rFonts w:cs="Arial" w:ascii="Arial" w:hAnsi="Arial"/>
          <w:sz w:val="20"/>
          <w:szCs w:val="20"/>
          <w:vertAlign w:val="superscript"/>
          <w:lang w:val="en-GB"/>
        </w:rPr>
        <w:t xml:space="preserve">D417H </w:t>
      </w:r>
      <w:r>
        <w:rPr>
          <w:rFonts w:cs="Arial" w:ascii="Arial" w:hAnsi="Arial"/>
          <w:sz w:val="20"/>
          <w:szCs w:val="20"/>
          <w:lang w:val="en-GB"/>
        </w:rPr>
        <w:t xml:space="preserve">resulting in reduced ability of different types of kinesins to move along axons and transport cargoes. It could be interesting to find analogues of tubulin genes in drosophila producing the same phenotype when mutated. </w:t>
      </w:r>
    </w:p>
    <w:p>
      <w:pPr>
        <w:pStyle w:val="Normal"/>
        <w:spacing w:lineRule="auto" w:line="360"/>
        <w:jc w:val="both"/>
        <w:rPr/>
      </w:pPr>
      <w:r>
        <w:rPr>
          <w:rFonts w:cs="Arial" w:ascii="Arial" w:hAnsi="Arial"/>
          <w:sz w:val="20"/>
          <w:szCs w:val="20"/>
          <w:lang w:val="en-GB"/>
        </w:rPr>
        <w:t>Second, genetic interaction can be tested with other kinesins such as KIF21B, which is MT-associated motor highly expressed in the CNS. Experimental data suggests that KIF21B participates in the delivery of GABA</w:t>
      </w:r>
      <w:r>
        <w:rPr>
          <w:rFonts w:cs="Arial" w:ascii="Arial" w:hAnsi="Arial"/>
          <w:sz w:val="20"/>
          <w:szCs w:val="20"/>
          <w:vertAlign w:val="subscript"/>
          <w:lang w:val="en-GB"/>
        </w:rPr>
        <w:t>A</w:t>
      </w:r>
      <w:r>
        <w:rPr>
          <w:rFonts w:cs="Arial" w:ascii="Arial" w:hAnsi="Arial"/>
          <w:sz w:val="20"/>
          <w:szCs w:val="20"/>
          <w:lang w:val="en-GB"/>
        </w:rPr>
        <w:t xml:space="preserve">-R transport vesicles into dendrites </w:t>
      </w:r>
      <w:r>
        <w:fldChar w:fldCharType="begin"/>
      </w:r>
      <w:r>
        <w:rPr/>
        <w:instrText>ADDIN EN.CITE &lt;EndNote&gt;&lt;Cite&gt;&lt;Author&gt;Labonte&lt;/Author&gt;&lt;Year&gt;2014&lt;/Year&gt;&lt;RecNum&gt;105&lt;/RecNum&gt;&lt;DisplayText&gt;(Labonte et al., 2014)&lt;/DisplayText&gt;&lt;record&gt;&lt;rec-number&gt;105&lt;/rec-number&gt;&lt;foreign-keys&gt;&lt;key app="EN" db-id="vedta2ppje59fceprax5xvwqzxt2awx0xd99"&gt;105&lt;/key&gt;&lt;/foreign-keys&gt;&lt;ref-type name="Journal Article"&gt;17&lt;/ref-type&gt;&lt;contributors&gt;&lt;authors&gt;&lt;author&gt;Labonte, D.&lt;/author&gt;&lt;author&gt;Thies, E.&lt;/author&gt;&lt;author&gt;Kneussel, M.&lt;/author&gt;&lt;/authors&gt;&lt;/contributors&gt;&lt;auth-address&gt;University Medical Center Hamburg-Eppendorf, Center for Molecular Neurobiology, ZMNH, Falkenried 94, 20251 Hamburg, Germany.&amp;#xD;University Medical Center Hamburg-Eppendorf, Center for Molecular Neurobiology, ZMNH, Falkenried 94, 20251 Hamburg, Germany. Electronic address: matthias.kneussel@zmnh.uni-hamburg.de.&lt;/auth-address&gt;&lt;titles&gt;&lt;title&gt;The kinesin KIF21B participates in the cell surface delivery of gamma2 subunit-containing GABAA receptors&lt;/title&gt;&lt;secondary-title&gt;Eur J Cell Biol&lt;/secondary-title&gt;&lt;/titles&gt;&lt;periodical&gt;&lt;full-title&gt;Eur J Cell Biol&lt;/full-title&gt;&lt;/periodical&gt;&lt;pages&gt;338-46&lt;/pages&gt;&lt;volume&gt;93&lt;/volume&gt;&lt;number&gt;8-9&lt;/number&gt;&lt;edition&gt;2014/08/31&lt;/edition&gt;&lt;keywords&gt;&lt;keyword&gt;Animals&lt;/keyword&gt;&lt;keyword&gt;Cell Communication&lt;/keyword&gt;&lt;keyword&gt;Cell Membrane/*metabolism&lt;/keyword&gt;&lt;keyword&gt;Gene Knockdown Techniques&lt;/keyword&gt;&lt;keyword&gt;Hippocampus/cytology&lt;/keyword&gt;&lt;keyword&gt;Kinesin/genetics/*metabolism&lt;/keyword&gt;&lt;keyword&gt;Mice&lt;/keyword&gt;&lt;keyword&gt;Neurons/metabolism&lt;/keyword&gt;&lt;keyword&gt;Protein Subunits/metabolism&lt;/keyword&gt;&lt;keyword&gt;Rats&lt;/keyword&gt;&lt;keyword&gt;Receptors, GABA-A/*metabolism&lt;/keyword&gt;&lt;/keywords&gt;&lt;dates&gt;&lt;year&gt;2014&lt;/year&gt;&lt;pub-dates&gt;&lt;date&gt;Aug-Sep&lt;/date&gt;&lt;/pub-dates&gt;&lt;/dates&gt;&lt;isbn&gt;1618-1298 (Electronic)&amp;#xD;0171-9335 (Linking)&lt;/isbn&gt;&lt;accession-num&gt;25172774&lt;/accession-num&gt;&lt;urls&gt;&lt;related-urls&gt;&lt;url&gt;http://www.ncbi.nlm.nih.gov/pubmed/25172774&lt;/url&gt;&lt;/related-urls&gt;&lt;/urls&gt;&lt;electronic-resource-num&gt;10.1016/j.ejcb.2014.07.007&amp;#xD;S0171-9335(14)00103-4 [pii]&lt;/electronic-resource-num&gt;&lt;language&gt;eng&lt;/language&gt;&lt;/record&gt;&lt;/Cite&gt;&lt;/EndNote&gt;</w:instrText>
      </w:r>
      <w:r>
        <w:rPr/>
        <w:fldChar w:fldCharType="separate"/>
      </w:r>
      <w:bookmarkStart w:id="137" w:name="__Fieldmark__3935_4090835577"/>
      <w:r>
        <w:rPr/>
      </w:r>
      <w:r>
        <w:rPr>
          <w:rFonts w:cs="Arial" w:ascii="Arial" w:hAnsi="Arial"/>
          <w:sz w:val="20"/>
          <w:szCs w:val="20"/>
          <w:lang w:val="en-GB"/>
        </w:rPr>
        <w:t>(Labonte et al., 2014)</w:t>
      </w:r>
      <w:r>
        <w:rPr/>
      </w:r>
      <w:r>
        <w:rPr/>
        <w:fldChar w:fldCharType="end"/>
      </w:r>
      <w:hyperlink w:anchor="_ENREF_38" w:tgtFrame="Labonte, 2014 #105">
        <w:bookmarkEnd w:id="137"/>
        <w:r>
          <w:rPr>
            <w:rFonts w:cs="Arial" w:ascii="Arial" w:hAnsi="Arial"/>
            <w:sz w:val="20"/>
            <w:szCs w:val="20"/>
            <w:lang w:val="en-GB"/>
          </w:rPr>
          <w:t>. Thus, GABA</w:t>
        </w:r>
      </w:hyperlink>
      <w:r>
        <w:rPr>
          <w:rFonts w:cs="Arial" w:ascii="Arial" w:hAnsi="Arial"/>
          <w:sz w:val="20"/>
          <w:szCs w:val="20"/>
          <w:vertAlign w:val="subscript"/>
          <w:lang w:val="en-GB"/>
        </w:rPr>
        <w:t>A</w:t>
      </w:r>
      <w:r>
        <w:rPr>
          <w:rFonts w:cs="Arial" w:ascii="Arial" w:hAnsi="Arial"/>
          <w:sz w:val="20"/>
          <w:szCs w:val="20"/>
          <w:lang w:val="en-GB"/>
        </w:rPr>
        <w:t xml:space="preserve">-R should be quantified by immunohistochemistry in KIF21B-KO mutant larvae CNS, more specifically in dendritic area. KIF21B Genetic interaction can also be tested between KIF21B and </w:t>
      </w:r>
      <w:r>
        <w:rPr>
          <w:rFonts w:cs="Arial" w:ascii="Arial" w:hAnsi="Arial"/>
          <w:i/>
          <w:sz w:val="20"/>
          <w:szCs w:val="20"/>
          <w:lang w:val="en-GB"/>
        </w:rPr>
        <w:t>Eb1</w:t>
      </w:r>
      <w:r>
        <w:rPr>
          <w:rFonts w:cs="Arial" w:ascii="Arial" w:hAnsi="Arial"/>
          <w:sz w:val="20"/>
          <w:szCs w:val="20"/>
          <w:lang w:val="en-GB"/>
        </w:rPr>
        <w:t xml:space="preserve">, </w:t>
      </w:r>
      <w:r>
        <w:rPr>
          <w:rFonts w:cs="Arial" w:ascii="Arial" w:hAnsi="Arial"/>
          <w:i/>
          <w:sz w:val="20"/>
          <w:szCs w:val="20"/>
          <w:lang w:val="en-GB"/>
        </w:rPr>
        <w:t>msps</w:t>
      </w:r>
      <w:r>
        <w:rPr>
          <w:rFonts w:cs="Arial" w:ascii="Arial" w:hAnsi="Arial"/>
          <w:sz w:val="20"/>
          <w:szCs w:val="20"/>
          <w:lang w:val="en-GB"/>
        </w:rPr>
        <w:t xml:space="preserve">, </w:t>
      </w:r>
      <w:r>
        <w:rPr>
          <w:rFonts w:cs="Arial" w:ascii="Arial" w:hAnsi="Arial"/>
          <w:i/>
          <w:sz w:val="20"/>
          <w:szCs w:val="20"/>
          <w:lang w:val="en-GB"/>
        </w:rPr>
        <w:t>tau</w:t>
      </w:r>
      <w:r>
        <w:rPr>
          <w:rFonts w:cs="Arial" w:ascii="Arial" w:hAnsi="Arial"/>
          <w:sz w:val="20"/>
          <w:szCs w:val="20"/>
          <w:lang w:val="en-GB"/>
        </w:rPr>
        <w:t xml:space="preserve"> genes.</w:t>
      </w:r>
    </w:p>
    <w:p>
      <w:pPr>
        <w:pStyle w:val="Normal"/>
        <w:spacing w:lineRule="auto" w:line="360"/>
        <w:jc w:val="both"/>
        <w:rPr/>
      </w:pPr>
      <w:r>
        <w:rPr>
          <w:rFonts w:cs="Arial" w:ascii="Arial" w:hAnsi="Arial"/>
          <w:sz w:val="20"/>
          <w:szCs w:val="20"/>
          <w:lang w:val="en-GB"/>
        </w:rPr>
        <w:t xml:space="preserve">For a more accurate analysis of GABA system in the context of epilepsy, we can test Phenytoin and Valproate capacity of rescuing the seizure-like phenotype of </w:t>
      </w:r>
      <w:r>
        <w:rPr>
          <w:rFonts w:cs="Arial" w:ascii="Arial" w:hAnsi="Arial"/>
          <w:i/>
          <w:sz w:val="20"/>
          <w:szCs w:val="20"/>
          <w:lang w:val="en-GB"/>
        </w:rPr>
        <w:t>Rdl</w:t>
      </w:r>
      <w:r>
        <w:rPr>
          <w:rFonts w:cs="Arial" w:ascii="Arial" w:hAnsi="Arial"/>
          <w:i/>
          <w:sz w:val="20"/>
          <w:szCs w:val="20"/>
          <w:vertAlign w:val="superscript"/>
          <w:lang w:val="en-GB"/>
        </w:rPr>
        <w:t>1</w:t>
      </w:r>
      <w:r>
        <w:rPr>
          <w:rFonts w:cs="Arial" w:ascii="Arial" w:hAnsi="Arial"/>
          <w:sz w:val="20"/>
          <w:szCs w:val="20"/>
          <w:lang w:val="en-GB"/>
        </w:rPr>
        <w:t xml:space="preserve"> mutants. Because my initial hypothesis is about GABA-R transport to synaptic sites in dendrites, future research can be done to study specifically GABAergic systems. Phenobarbital, for example, blocks GABA</w:t>
      </w:r>
      <w:r>
        <w:rPr>
          <w:rFonts w:cs="Arial" w:ascii="Arial" w:hAnsi="Arial"/>
          <w:sz w:val="20"/>
          <w:szCs w:val="20"/>
          <w:vertAlign w:val="subscript"/>
          <w:lang w:val="en-GB"/>
        </w:rPr>
        <w:t>A</w:t>
      </w:r>
      <w:r>
        <w:rPr>
          <w:rFonts w:cs="Arial" w:ascii="Arial" w:hAnsi="Arial"/>
          <w:sz w:val="20"/>
          <w:szCs w:val="20"/>
          <w:lang w:val="en-GB"/>
        </w:rPr>
        <w:t xml:space="preserve"> receptors </w:t>
      </w:r>
      <w:r>
        <w:fldChar w:fldCharType="begin"/>
      </w:r>
      <w:r>
        <w:rPr/>
        <w:instrText>ADDIN EN.CITE &lt;EndNote&gt;&lt;Cite&gt;&lt;Author&gt;Rogawski&lt;/Author&gt;&lt;Year&gt;2004&lt;/Year&gt;&lt;RecNum&gt;19&lt;/RecNum&gt;&lt;DisplayText&gt;(Rogawski and Loscher, 2004a)&lt;/DisplayText&gt;&lt;record&gt;&lt;rec-number&gt;19&lt;/rec-number&gt;&lt;foreign-keys&gt;&lt;key app="EN" db-id="vedta2ppje59fceprax5xvwqzxt2awx0xd99"&gt;19&lt;/key&gt;&lt;/foreign-keys&gt;&lt;ref-type name="Journal Article"&gt;17&lt;/ref-type&gt;&lt;contributors&gt;&lt;authors&gt;&lt;author&gt;Rogawski, M. A.&lt;/author&gt;&lt;author&gt;Loscher, W.&lt;/author&gt;&lt;/authors&gt;&lt;/contributors&gt;&lt;auth-address&gt;NINDS, Epilepsy Res Stn, NIH, Bethesda, MD 20892 USA&amp;#xD;Univ Vet Med, Dept Pharmacol Toxicol &amp;amp; Pharm, D-30559 Hannover, Germany&amp;#xD;Ctr Syst Neurosci, D-30559 Hannover, Germany&lt;/auth-address&gt;&lt;titles&gt;&lt;title&gt;The neurobiology of antiepileptic drugs&lt;/title&gt;&lt;secondary-title&gt;Nature Reviews Neuroscience&lt;/secondary-title&gt;&lt;alt-title&gt;Nat Rev Neurosci&lt;/alt-title&gt;&lt;/titles&gt;&lt;periodical&gt;&lt;full-title&gt;Nature Reviews Neuroscience&lt;/full-title&gt;&lt;abbr-1&gt;Nat Rev Neurosci&lt;/abbr-1&gt;&lt;/periodical&gt;&lt;alt-periodical&gt;&lt;full-title&gt;Nature Reviews Neuroscience&lt;/full-title&gt;&lt;abbr-1&gt;Nat Rev Neurosci&lt;/abbr-1&gt;&lt;/alt-periodical&gt;&lt;pages&gt;553-564&lt;/pages&gt;&lt;volume&gt;5&lt;/volume&gt;&lt;number&gt;7&lt;/number&gt;&lt;keywords&gt;&lt;keyword&gt;idiopathic generalized epilepsy&lt;/keyword&gt;&lt;keyword&gt;childhood absence epilepsy&lt;/keyword&gt;&lt;keyword&gt;rat hippocampal-neurons&lt;/keyword&gt;&lt;keyword&gt;calcium-channel subunit&lt;/keyword&gt;&lt;keyword&gt;persistent na+ current&lt;/keyword&gt;&lt;keyword&gt;febrile seizures plus&lt;/keyword&gt;&lt;keyword&gt;voltage-gated na+&lt;/keyword&gt;&lt;keyword&gt;transmembrane segment ivs6&lt;/keyword&gt;&lt;keyword&gt;status epilepticus model&lt;/keyword&gt;&lt;keyword&gt;primary afferent neurons&lt;/keyword&gt;&lt;/keywords&gt;&lt;dates&gt;&lt;year&gt;2004&lt;/year&gt;&lt;pub-dates&gt;&lt;date&gt;Jul&lt;/date&gt;&lt;/pub-dates&gt;&lt;/dates&gt;&lt;isbn&gt;1471-003X&lt;/isbn&gt;&lt;accession-num&gt;ISI:000222435000014&lt;/accession-num&gt;&lt;urls&gt;&lt;related-urls&gt;&lt;url&gt;&amp;lt;Go to ISI&amp;gt;://000222435000014&lt;/url&gt;&lt;/related-urls&gt;&lt;/urls&gt;&lt;electronic-resource-num&gt;10.1038/nrn1430&lt;/electronic-resource-num&gt;&lt;language&gt;English&lt;/language&gt;&lt;/record&gt;&lt;/Cite&gt;&lt;/EndNote&gt;</w:instrText>
      </w:r>
      <w:r>
        <w:rPr/>
        <w:fldChar w:fldCharType="separate"/>
      </w:r>
      <w:bookmarkStart w:id="138" w:name="__Fieldmark__3966_4090835577"/>
      <w:r>
        <w:rPr/>
      </w:r>
      <w:r>
        <w:rPr>
          <w:rFonts w:cs="Arial" w:ascii="Arial" w:hAnsi="Arial"/>
          <w:sz w:val="20"/>
          <w:szCs w:val="20"/>
          <w:lang w:val="en-GB"/>
        </w:rPr>
        <w:t>(Rogawski and Loscher, 2004a)</w:t>
      </w:r>
      <w:r>
        <w:rPr/>
      </w:r>
      <w:r>
        <w:rPr/>
        <w:fldChar w:fldCharType="end"/>
      </w:r>
      <w:hyperlink w:anchor="_ENREF_68" w:tgtFrame="Rogawski, 2004 #19">
        <w:bookmarkEnd w:id="138"/>
        <w:r>
          <w:rPr>
            <w:rFonts w:cs="Arial" w:ascii="Arial" w:hAnsi="Arial"/>
            <w:sz w:val="20"/>
            <w:szCs w:val="20"/>
            <w:lang w:val="en-GB"/>
          </w:rPr>
          <w:t xml:space="preserve"> and act by enhancing GABA-R current. Vigabatrin and Tiagabine are GABA-mimetic drugs and inhibit GABA transaminase, an enzyme specialised in the degradation of GABA </w:t>
        </w:r>
      </w:hyperlink>
      <w:r>
        <w:fldChar w:fldCharType="begin"/>
      </w:r>
      <w:r>
        <w:rPr/>
        <w:instrText>ADDIN EN.CITE &lt;EndNote&gt;&lt;Cite&gt;&lt;Author&gt;Greenfield&lt;/Author&gt;&lt;Year&gt;2013&lt;/Year&gt;&lt;RecNum&gt;51&lt;/RecNum&gt;&lt;DisplayText&gt;(Greenfield, 2013)&lt;/DisplayText&gt;&lt;record&gt;&lt;rec-number&gt;51&lt;/rec-number&gt;&lt;foreign-keys&gt;&lt;key app="EN" db-id="vedta2ppje59fceprax5xvwqzxt2awx0xd99"&gt;51&lt;/key&gt;&lt;/foreign-keys&gt;&lt;ref-type name="Journal Article"&gt;17&lt;/ref-type&gt;&lt;contributors&gt;&lt;authors&gt;&lt;author&gt;Greenfield, L. J.&lt;/author&gt;&lt;/authors&gt;&lt;/contributors&gt;&lt;auth-address&gt;Univ Arkansas Med Sci, Dept Neurol, Little Rock, AR 72205 USA&lt;/auth-address&gt;&lt;titles&gt;&lt;title&gt;Molecular mechanisms of antiseizure drug activity at GABA(A) receptors&lt;/title&gt;&lt;secondary-title&gt;Seizure-European Journal of Epilepsy&lt;/secondary-title&gt;&lt;alt-title&gt;Seizure-Eur J Epilep&lt;/alt-title&gt;&lt;/titles&gt;&lt;periodical&gt;&lt;full-title&gt;Seizure-European Journal of Epilepsy&lt;/full-title&gt;&lt;abbr-1&gt;Seizure-Eur J Epilep&lt;/abbr-1&gt;&lt;/periodical&gt;&lt;alt-periodical&gt;&lt;full-title&gt;Seizure-European Journal of Epilepsy&lt;/full-title&gt;&lt;abbr-1&gt;Seizure-Eur J Epilep&lt;/abbr-1&gt;&lt;/alt-periodical&gt;&lt;pages&gt;589-600&lt;/pages&gt;&lt;volume&gt;22&lt;/volume&gt;&lt;number&gt;8&lt;/number&gt;&lt;keywords&gt;&lt;keyword&gt;inhibition&lt;/keyword&gt;&lt;keyword&gt;epilepsy&lt;/keyword&gt;&lt;keyword&gt;antiepileptic drugs&lt;/keyword&gt;&lt;keyword&gt;gaba receptor&lt;/keyword&gt;&lt;keyword&gt;seizures&lt;/keyword&gt;&lt;keyword&gt;chloride channel&lt;/keyword&gt;&lt;keyword&gt;gamma-aminobutyric-acid&lt;/keyword&gt;&lt;keyword&gt;subunit messenger-rna&lt;/keyword&gt;&lt;keyword&gt;childhood absence epilepsy&lt;/keyword&gt;&lt;keyword&gt;hippocampal dentate gyrus&lt;/keyword&gt;&lt;keyword&gt;mouse spinal neurons&lt;/keyword&gt;&lt;keyword&gt;methyl-d-aspartate&lt;/keyword&gt;&lt;keyword&gt;a-receptor&lt;/keyword&gt;&lt;keyword&gt;anticonvulsant tolerance&lt;/keyword&gt;&lt;keyword&gt;neurosteroid modulation&lt;/keyword&gt;&lt;keyword&gt;rat-brain&lt;/keyword&gt;&lt;/keywords&gt;&lt;dates&gt;&lt;year&gt;2013&lt;/year&gt;&lt;pub-dates&gt;&lt;date&gt;Oct&lt;/date&gt;&lt;/pub-dates&gt;&lt;/dates&gt;&lt;isbn&gt;1059-1311&lt;/isbn&gt;&lt;accession-num&gt;ISI:000327174400001&lt;/accession-num&gt;&lt;urls&gt;&lt;related-urls&gt;&lt;url&gt;&amp;lt;Go to ISI&amp;gt;://000327174400001&lt;/url&gt;&lt;/related-urls&gt;&lt;/urls&gt;&lt;electronic-resource-num&gt;10.1016/j.seizure.2013.04.015&lt;/electronic-resource-num&gt;&lt;language&gt;English&lt;/language&gt;&lt;/record&gt;&lt;/Cite&gt;&lt;/EndNote&gt;</w:instrText>
      </w:r>
      <w:r>
        <w:rPr/>
        <w:fldChar w:fldCharType="separate"/>
      </w:r>
      <w:bookmarkStart w:id="139" w:name="__Fieldmark__3976_4090835577"/>
      <w:r>
        <w:rPr/>
      </w:r>
      <w:r>
        <w:rPr>
          <w:rFonts w:cs="Arial" w:ascii="Arial" w:hAnsi="Arial"/>
          <w:sz w:val="20"/>
          <w:szCs w:val="20"/>
          <w:lang w:val="en-GB"/>
        </w:rPr>
        <w:t>(Greenfield, 2013)</w:t>
      </w:r>
      <w:r>
        <w:rPr/>
      </w:r>
      <w:r>
        <w:rPr/>
        <w:fldChar w:fldCharType="end"/>
      </w:r>
      <w:hyperlink w:anchor="_ENREF_21" w:tgtFrame="Greenfield, 2013 #51">
        <w:bookmarkEnd w:id="139"/>
        <w:r>
          <w:rPr>
            <w:rFonts w:cs="Arial" w:ascii="Arial" w:hAnsi="Arial"/>
            <w:sz w:val="20"/>
            <w:szCs w:val="20"/>
            <w:lang w:val="en-GB"/>
          </w:rPr>
          <w:t xml:space="preserve">. Moreover, BZs increases the GABA inhibitory capacity in post-synaptic clef </w:t>
        </w:r>
      </w:hyperlink>
      <w:r>
        <w:fldChar w:fldCharType="begin"/>
      </w:r>
      <w:r>
        <w:rPr/>
        <w:instrText>ADDIN EN.CITE &lt;EndNote&gt;&lt;Cite&gt;&lt;Author&gt;Greenfield&lt;/Author&gt;&lt;Year&gt;2013&lt;/Year&gt;&lt;RecNum&gt;51&lt;/RecNum&gt;&lt;DisplayText&gt;(Greenfield, 2013)&lt;/DisplayText&gt;&lt;record&gt;&lt;rec-number&gt;51&lt;/rec-number&gt;&lt;foreign-keys&gt;&lt;key app="EN" db-id="vedta2ppje59fceprax5xvwqzxt2awx0xd99"&gt;51&lt;/key&gt;&lt;/foreign-keys&gt;&lt;ref-type name="Journal Article"&gt;17&lt;/ref-type&gt;&lt;contributors&gt;&lt;authors&gt;&lt;author&gt;Greenfield, L. J.&lt;/author&gt;&lt;/authors&gt;&lt;/contributors&gt;&lt;auth-address&gt;Univ Arkansas Med Sci, Dept Neurol, Little Rock, AR 72205 USA&lt;/auth-address&gt;&lt;titles&gt;&lt;title&gt;Molecular mechanisms of antiseizure drug activity at GABA(A) receptors&lt;/title&gt;&lt;secondary-title&gt;Seizure-European Journal of Epilepsy&lt;/secondary-title&gt;&lt;alt-title&gt;Seizure-Eur J Epilep&lt;/alt-title&gt;&lt;/titles&gt;&lt;periodical&gt;&lt;full-title&gt;Seizure-European Journal of Epilepsy&lt;/full-title&gt;&lt;abbr-1&gt;Seizure-Eur J Epilep&lt;/abbr-1&gt;&lt;/periodical&gt;&lt;alt-periodical&gt;&lt;full-title&gt;Seizure-European Journal of Epilepsy&lt;/full-title&gt;&lt;abbr-1&gt;Seizure-Eur J Epilep&lt;/abbr-1&gt;&lt;/alt-periodical&gt;&lt;pages&gt;589-600&lt;/pages&gt;&lt;volume&gt;22&lt;/volume&gt;&lt;number&gt;8&lt;/number&gt;&lt;keywords&gt;&lt;keyword&gt;inhibition&lt;/keyword&gt;&lt;keyword&gt;epilepsy&lt;/keyword&gt;&lt;keyword&gt;antiepileptic drugs&lt;/keyword&gt;&lt;keyword&gt;gaba receptor&lt;/keyword&gt;&lt;keyword&gt;seizures&lt;/keyword&gt;&lt;keyword&gt;chloride channel&lt;/keyword&gt;&lt;keyword&gt;gamma-aminobutyric-acid&lt;/keyword&gt;&lt;keyword&gt;subunit messenger-rna&lt;/keyword&gt;&lt;keyword&gt;childhood absence epilepsy&lt;/keyword&gt;&lt;keyword&gt;hippocampal dentate gyrus&lt;/keyword&gt;&lt;keyword&gt;mouse spinal neurons&lt;/keyword&gt;&lt;keyword&gt;methyl-d-aspartate&lt;/keyword&gt;&lt;keyword&gt;a-receptor&lt;/keyword&gt;&lt;keyword&gt;anticonvulsant tolerance&lt;/keyword&gt;&lt;keyword&gt;neurosteroid modulation&lt;/keyword&gt;&lt;keyword&gt;rat-brain&lt;/keyword&gt;&lt;/keywords&gt;&lt;dates&gt;&lt;year&gt;2013&lt;/year&gt;&lt;pub-dates&gt;&lt;date&gt;Oct&lt;/date&gt;&lt;/pub-dates&gt;&lt;/dates&gt;&lt;isbn&gt;1059-1311&lt;/isbn&gt;&lt;accession-num&gt;ISI:000327174400001&lt;/accession-num&gt;&lt;urls&gt;&lt;related-urls&gt;&lt;url&gt;&amp;lt;Go to ISI&amp;gt;://000327174400001&lt;/url&gt;&lt;/related-urls&gt;&lt;/urls&gt;&lt;electronic-resource-num&gt;10.1016/j.seizure.2013.04.015&lt;/electronic-resource-num&gt;&lt;language&gt;English&lt;/language&gt;&lt;/record&gt;&lt;/Cite&gt;&lt;/EndNote&gt;</w:instrText>
      </w:r>
      <w:r>
        <w:rPr/>
        <w:fldChar w:fldCharType="separate"/>
      </w:r>
      <w:bookmarkStart w:id="140" w:name="__Fieldmark__3986_4090835577"/>
      <w:r>
        <w:rPr/>
      </w:r>
      <w:r>
        <w:rPr>
          <w:rFonts w:cs="Arial" w:ascii="Arial" w:hAnsi="Arial"/>
          <w:sz w:val="20"/>
          <w:szCs w:val="20"/>
          <w:lang w:val="en-GB"/>
        </w:rPr>
        <w:t>(Greenfield, 2013)</w:t>
      </w:r>
      <w:r>
        <w:rPr/>
      </w:r>
      <w:r>
        <w:rPr/>
        <w:fldChar w:fldCharType="end"/>
      </w:r>
      <w:hyperlink w:anchor="_ENREF_21" w:tgtFrame="Greenfield, 2013 #51">
        <w:bookmarkEnd w:id="140"/>
        <w:r>
          <w:rPr>
            <w:rFonts w:cs="Arial" w:ascii="Arial" w:hAnsi="Arial"/>
            <w:sz w:val="20"/>
            <w:szCs w:val="20"/>
            <w:lang w:val="en-GB"/>
          </w:rPr>
          <w:t xml:space="preserve">. Benzodiazepine is a commonly used anti-seizure drug acting in GABA-R </w:t>
        </w:r>
      </w:hyperlink>
      <w:r>
        <w:fldChar w:fldCharType="begin"/>
      </w:r>
      <w:r>
        <w:rPr/>
        <w:instrText>ADDIN EN.CITE &lt;EndNote&gt;&lt;Cite&gt;&lt;Author&gt;Rogawski&lt;/Author&gt;&lt;Year&gt;2004&lt;/Year&gt;&lt;RecNum&gt;19&lt;/RecNum&gt;&lt;DisplayText&gt;(Rogawski and Loscher, 2004a)&lt;/DisplayText&gt;&lt;record&gt;&lt;rec-number&gt;19&lt;/rec-number&gt;&lt;foreign-keys&gt;&lt;key app="EN" db-id="vedta2ppje59fceprax5xvwqzxt2awx0xd99"&gt;19&lt;/key&gt;&lt;/foreign-keys&gt;&lt;ref-type name="Journal Article"&gt;17&lt;/ref-type&gt;&lt;contributors&gt;&lt;authors&gt;&lt;author&gt;Rogawski, M. A.&lt;/author&gt;&lt;author&gt;Loscher, W.&lt;/author&gt;&lt;/authors&gt;&lt;/contributors&gt;&lt;auth-address&gt;NINDS, Epilepsy Res Stn, NIH, Bethesda, MD 20892 USA&amp;#xD;Univ Vet Med, Dept Pharmacol Toxicol &amp;amp; Pharm, D-30559 Hannover, Germany&amp;#xD;Ctr Syst Neurosci, D-30559 Hannover, Germany&lt;/auth-address&gt;&lt;titles&gt;&lt;title&gt;The neurobiology of antiepileptic drugs&lt;/title&gt;&lt;secondary-title&gt;Nature Reviews Neuroscience&lt;/secondary-title&gt;&lt;alt-title&gt;Nat Rev Neurosci&lt;/alt-title&gt;&lt;/titles&gt;&lt;periodical&gt;&lt;full-title&gt;Nature Reviews Neuroscience&lt;/full-title&gt;&lt;abbr-1&gt;Nat Rev Neurosci&lt;/abbr-1&gt;&lt;/periodical&gt;&lt;alt-periodical&gt;&lt;full-title&gt;Nature Reviews Neuroscience&lt;/full-title&gt;&lt;abbr-1&gt;Nat Rev Neurosci&lt;/abbr-1&gt;&lt;/alt-periodical&gt;&lt;pages&gt;553-564&lt;/pages&gt;&lt;volume&gt;5&lt;/volume&gt;&lt;number&gt;7&lt;/number&gt;&lt;keywords&gt;&lt;keyword&gt;idiopathic generalized epilepsy&lt;/keyword&gt;&lt;keyword&gt;childhood absence epilepsy&lt;/keyword&gt;&lt;keyword&gt;rat hippocampal-neurons&lt;/keyword&gt;&lt;keyword&gt;calcium-channel subunit&lt;/keyword&gt;&lt;keyword&gt;persistent na+ current&lt;/keyword&gt;&lt;keyword&gt;febrile seizures plus&lt;/keyword&gt;&lt;keyword&gt;voltage-gated na+&lt;/keyword&gt;&lt;keyword&gt;transmembrane segment ivs6&lt;/keyword&gt;&lt;keyword&gt;status epilepticus model&lt;/keyword&gt;&lt;keyword&gt;primary afferent neurons&lt;/keyword&gt;&lt;/keywords&gt;&lt;dates&gt;&lt;year&gt;2004&lt;/year&gt;&lt;pub-dates&gt;&lt;date&gt;Jul&lt;/date&gt;&lt;/pub-dates&gt;&lt;/dates&gt;&lt;isbn&gt;1471-003X&lt;/isbn&gt;&lt;accession-num&gt;ISI:000222435000014&lt;/accession-num&gt;&lt;urls&gt;&lt;related-urls&gt;&lt;url&gt;&amp;lt;Go to ISI&amp;gt;://000222435000014&lt;/url&gt;&lt;/related-urls&gt;&lt;/urls&gt;&lt;electronic-resource-num&gt;10.1038/nrn1430&lt;/electronic-resource-num&gt;&lt;language&gt;English&lt;/language&gt;&lt;/record&gt;&lt;/Cite&gt;&lt;/EndNote&gt;</w:instrText>
      </w:r>
      <w:r>
        <w:rPr/>
        <w:fldChar w:fldCharType="separate"/>
      </w:r>
      <w:bookmarkStart w:id="141" w:name="__Fieldmark__3996_4090835577"/>
      <w:r>
        <w:rPr/>
      </w:r>
      <w:r>
        <w:rPr>
          <w:rFonts w:cs="Arial" w:ascii="Arial" w:hAnsi="Arial"/>
          <w:sz w:val="20"/>
          <w:szCs w:val="20"/>
          <w:lang w:val="en-GB"/>
        </w:rPr>
        <w:t>(Rogawski and Loscher, 2004a)</w:t>
      </w:r>
      <w:r>
        <w:rPr/>
      </w:r>
      <w:r>
        <w:rPr/>
        <w:fldChar w:fldCharType="end"/>
      </w:r>
      <w:hyperlink w:anchor="_ENREF_68" w:tgtFrame="Rogawski, 2004 #19">
        <w:bookmarkEnd w:id="141"/>
        <w:r>
          <w:rPr>
            <w:rFonts w:cs="Arial" w:ascii="Arial" w:hAnsi="Arial"/>
            <w:sz w:val="20"/>
            <w:szCs w:val="20"/>
            <w:lang w:val="en-GB"/>
          </w:rPr>
          <w:t>. GAT1(GABA transporter) inhibitors or GABA reuptake inhibitors, such as Tiagabine, can be tested and their capacity to reduce T</w:t>
        </w:r>
      </w:hyperlink>
      <w:r>
        <w:rPr>
          <w:rFonts w:cs="Arial" w:ascii="Arial" w:hAnsi="Arial"/>
          <w:sz w:val="20"/>
          <w:szCs w:val="20"/>
          <w:vertAlign w:val="subscript"/>
          <w:lang w:val="en-GB"/>
        </w:rPr>
        <w:t>Rec</w:t>
      </w:r>
      <w:r>
        <w:rPr>
          <w:rFonts w:cs="Arial" w:ascii="Arial" w:hAnsi="Arial"/>
          <w:sz w:val="20"/>
          <w:szCs w:val="20"/>
          <w:lang w:val="en-GB"/>
        </w:rPr>
        <w:t xml:space="preserve"> assessed. If there is a significant improvement of seizure-like phenotype in </w:t>
      </w:r>
      <w:r>
        <w:rPr>
          <w:rFonts w:cs="Arial" w:ascii="Arial" w:hAnsi="Arial"/>
          <w:i/>
          <w:sz w:val="20"/>
          <w:szCs w:val="20"/>
          <w:lang w:val="en-GB"/>
        </w:rPr>
        <w:t>Drosophila</w:t>
      </w:r>
      <w:r>
        <w:rPr>
          <w:rFonts w:cs="Arial" w:ascii="Arial" w:hAnsi="Arial"/>
          <w:sz w:val="20"/>
          <w:szCs w:val="20"/>
          <w:lang w:val="en-GB"/>
        </w:rPr>
        <w:t xml:space="preserve"> larvae it can represent a very important step in the understanding of potential causes of epilepsy.</w:t>
      </w:r>
      <w:r>
        <w:rPr>
          <w:rFonts w:cs="Arial" w:ascii="Arial" w:hAnsi="Arial"/>
          <w:color w:val="C00000"/>
          <w:sz w:val="20"/>
          <w:szCs w:val="20"/>
          <w:lang w:val="en-GB"/>
        </w:rPr>
        <w:t xml:space="preserve"> </w:t>
      </w:r>
    </w:p>
    <w:p>
      <w:pPr>
        <w:pStyle w:val="Normal"/>
        <w:spacing w:lineRule="auto" w:line="360"/>
        <w:jc w:val="both"/>
        <w:rPr/>
      </w:pPr>
      <w:r>
        <w:rPr>
          <w:rFonts w:cs="Arial" w:ascii="Arial" w:hAnsi="Arial"/>
          <w:sz w:val="20"/>
          <w:szCs w:val="20"/>
          <w:lang w:val="en-GB"/>
        </w:rPr>
        <w:t xml:space="preserve">Moreover, seizure-like phenotype of </w:t>
      </w:r>
      <w:r>
        <w:rPr>
          <w:rFonts w:cs="Arial" w:ascii="Arial" w:hAnsi="Arial"/>
          <w:i/>
          <w:sz w:val="20"/>
          <w:szCs w:val="20"/>
          <w:lang w:val="en-GB"/>
        </w:rPr>
        <w:t>Efa6</w:t>
      </w:r>
      <w:r>
        <w:rPr>
          <w:rFonts w:cs="Arial" w:ascii="Arial" w:hAnsi="Arial"/>
          <w:i/>
          <w:sz w:val="20"/>
          <w:szCs w:val="20"/>
          <w:vertAlign w:val="superscript"/>
          <w:lang w:val="en-GB"/>
        </w:rPr>
        <w:t>-/-</w:t>
      </w:r>
      <w:r>
        <w:rPr>
          <w:rFonts w:cs="Arial" w:ascii="Arial" w:hAnsi="Arial"/>
          <w:sz w:val="20"/>
          <w:szCs w:val="20"/>
          <w:lang w:val="en-GB"/>
        </w:rPr>
        <w:t xml:space="preserve"> mutants can be due to the interaction between the mutated protein EFA6 with MTs but it can also be caused by the interaction that this protein has with a K+ channel called TWIK-1, which is found in humans and two similar genes in  </w:t>
      </w:r>
      <w:r>
        <w:rPr>
          <w:rFonts w:cs="Arial" w:ascii="Arial" w:hAnsi="Arial"/>
          <w:i/>
          <w:sz w:val="20"/>
          <w:szCs w:val="20"/>
          <w:lang w:val="en-GB"/>
        </w:rPr>
        <w:t>Drosophila</w:t>
      </w:r>
      <w:r>
        <w:rPr>
          <w:rFonts w:cs="Arial" w:ascii="Arial" w:hAnsi="Arial"/>
          <w:sz w:val="20"/>
          <w:szCs w:val="20"/>
          <w:lang w:val="en-GB"/>
        </w:rPr>
        <w:t xml:space="preserve"> </w:t>
      </w:r>
      <w:r>
        <w:fldChar w:fldCharType="begin"/>
      </w:r>
      <w:r>
        <w:rPr/>
        <w:instrText>ADDIN EN.CITE</w:instrText>
      </w:r>
      <w:r>
        <w:rPr/>
        <w:fldChar w:fldCharType="separate"/>
      </w:r>
      <w:bookmarkStart w:id="142" w:name="__Fieldmark__4030_4090835577"/>
      <w:r>
        <w:rPr/>
      </w:r>
      <w:r>
        <w:rPr/>
      </w:r>
      <w:r>
        <w:rPr/>
        <w:fldChar w:fldCharType="end"/>
      </w:r>
      <w:r>
        <w:fldChar w:fldCharType="begin"/>
      </w:r>
      <w:r>
        <w:rPr/>
        <w:instrText>ADDIN EN.CITE.DATA</w:instrText>
      </w:r>
      <w:r>
        <w:rPr/>
        <w:fldChar w:fldCharType="separate"/>
      </w:r>
      <w:bookmarkStart w:id="143" w:name="__Fieldmark__4029_4090835577"/>
      <w:bookmarkEnd w:id="142"/>
      <w:r>
        <w:rPr/>
      </w:r>
      <w:r>
        <w:rPr>
          <w:rFonts w:cs="Arial" w:ascii="Arial" w:hAnsi="Arial"/>
          <w:sz w:val="20"/>
          <w:szCs w:val="20"/>
          <w:lang w:val="en-GB"/>
        </w:rPr>
        <w:t>(Decressac et al., 2004; Döring et al., 2006)</w:t>
      </w:r>
      <w:r>
        <w:rPr/>
      </w:r>
      <w:r>
        <w:rPr/>
        <w:fldChar w:fldCharType="end"/>
      </w:r>
      <w:hyperlink w:anchor="_ENREF_12" w:tgtFrame="Döring, 2006 #4218">
        <w:bookmarkEnd w:id="143"/>
        <w:r>
          <w:rPr>
            <w:rFonts w:cs="Arial" w:ascii="Arial" w:hAnsi="Arial"/>
            <w:sz w:val="20"/>
            <w:szCs w:val="20"/>
            <w:lang w:val="en-GB"/>
          </w:rPr>
          <w:t xml:space="preserve">. EFA6 interacts with TWIK-1 only if this last one is in interaction with ARF6 and this interaction is important for the K+ channel recycling. It was shown that mutations affection TREK-1 mice make them be more susceptible to ischemia and epilepsy </w:t>
        </w:r>
      </w:hyperlink>
      <w:r>
        <w:fldChar w:fldCharType="begin"/>
      </w:r>
      <w:r>
        <w:rPr/>
        <w:instrText>ADDIN EN.CITE</w:instrText>
      </w:r>
      <w:r>
        <w:rPr/>
        <w:fldChar w:fldCharType="separate"/>
      </w:r>
      <w:bookmarkStart w:id="144" w:name="__Fieldmark__4050_4090835577"/>
      <w:r>
        <w:rPr/>
      </w:r>
      <w:r>
        <w:rPr/>
      </w:r>
      <w:r>
        <w:rPr/>
        <w:fldChar w:fldCharType="end"/>
      </w:r>
      <w:r>
        <w:fldChar w:fldCharType="begin"/>
      </w:r>
      <w:r>
        <w:rPr/>
        <w:instrText>ADDIN EN.CITE.DATA</w:instrText>
      </w:r>
      <w:r>
        <w:rPr/>
        <w:fldChar w:fldCharType="separate"/>
      </w:r>
      <w:bookmarkStart w:id="145" w:name="__Fieldmark__4049_4090835577"/>
      <w:bookmarkEnd w:id="144"/>
      <w:r>
        <w:rPr/>
      </w:r>
      <w:r>
        <w:rPr>
          <w:rFonts w:cs="Arial" w:ascii="Arial" w:hAnsi="Arial"/>
          <w:sz w:val="20"/>
          <w:szCs w:val="20"/>
          <w:lang w:val="en-GB"/>
        </w:rPr>
        <w:t>(Heurteaux et al., 2004)</w:t>
      </w:r>
      <w:r>
        <w:rPr/>
      </w:r>
      <w:r>
        <w:rPr/>
        <w:fldChar w:fldCharType="end"/>
      </w:r>
      <w:hyperlink w:anchor="_ENREF_28" w:tgtFrame="Heurteaux, 2004 #71">
        <w:bookmarkEnd w:id="145"/>
        <w:r>
          <w:rPr>
            <w:rFonts w:cs="Arial" w:ascii="Arial" w:hAnsi="Arial"/>
            <w:sz w:val="20"/>
            <w:szCs w:val="20"/>
            <w:lang w:val="en-GB"/>
          </w:rPr>
          <w:t xml:space="preserve">. It might therefore be that mutations affecting Efa6 have an impact on K+ channel leading to seizure-like phenotypes in </w:t>
        </w:r>
      </w:hyperlink>
      <w:r>
        <w:rPr>
          <w:rFonts w:cs="Arial" w:ascii="Arial" w:hAnsi="Arial"/>
          <w:i/>
          <w:sz w:val="20"/>
          <w:szCs w:val="20"/>
          <w:lang w:val="en-GB"/>
        </w:rPr>
        <w:t xml:space="preserve">Drosophila. </w:t>
      </w:r>
      <w:bookmarkStart w:id="146" w:name="_Hlk8216612"/>
      <w:bookmarkEnd w:id="146"/>
    </w:p>
    <w:p>
      <w:pPr>
        <w:pStyle w:val="Normal"/>
        <w:spacing w:lineRule="auto" w:line="360"/>
        <w:jc w:val="both"/>
        <w:rPr/>
      </w:pPr>
      <w:r>
        <w:rPr>
          <w:rFonts w:cs="Arial" w:ascii="Arial" w:hAnsi="Arial"/>
          <w:sz w:val="20"/>
          <w:szCs w:val="20"/>
          <w:lang w:val="en-GB"/>
        </w:rPr>
        <w:t xml:space="preserve">To conclude, epilepsy is a very common neurological disorder but difficult to treat and diagnose because of the number of causes, genetic or environmental, that can be the origin of the disease </w:t>
      </w:r>
      <w:r>
        <w:fldChar w:fldCharType="begin"/>
      </w:r>
      <w:r>
        <w:rPr/>
        <w:instrText>ADDIN EN.CITE</w:instrText>
      </w:r>
      <w:r>
        <w:rPr/>
        <w:fldChar w:fldCharType="separate"/>
      </w:r>
      <w:bookmarkStart w:id="147" w:name="__Fieldmark__4078_4090835577"/>
      <w:r>
        <w:rPr/>
      </w:r>
      <w:r>
        <w:rPr/>
      </w:r>
      <w:r>
        <w:rPr/>
        <w:fldChar w:fldCharType="end"/>
      </w:r>
      <w:r>
        <w:fldChar w:fldCharType="begin"/>
      </w:r>
      <w:r>
        <w:rPr/>
        <w:instrText>ADDIN EN.CITE.DATA</w:instrText>
      </w:r>
      <w:r>
        <w:rPr/>
        <w:fldChar w:fldCharType="separate"/>
      </w:r>
      <w:bookmarkStart w:id="148" w:name="__Fieldmark__4077_4090835577"/>
      <w:bookmarkEnd w:id="147"/>
      <w:r>
        <w:rPr/>
      </w:r>
      <w:r>
        <w:rPr>
          <w:rFonts w:cs="Arial" w:ascii="Arial" w:hAnsi="Arial"/>
          <w:sz w:val="20"/>
          <w:szCs w:val="20"/>
          <w:lang w:val="en-GB"/>
        </w:rPr>
        <w:t>(Marley and Baines, 2011)</w:t>
      </w:r>
      <w:r>
        <w:rPr/>
      </w:r>
      <w:r>
        <w:rPr/>
        <w:fldChar w:fldCharType="end"/>
      </w:r>
      <w:hyperlink w:anchor="_ENREF_45" w:tgtFrame="Marley, 2011 #91">
        <w:bookmarkEnd w:id="148"/>
        <w:r>
          <w:rPr>
            <w:rFonts w:cs="Arial" w:ascii="Arial" w:hAnsi="Arial"/>
            <w:sz w:val="20"/>
            <w:szCs w:val="20"/>
            <w:lang w:val="en-GB"/>
          </w:rPr>
          <w:t xml:space="preserve">. The molecular mechanisms of this disease are still insufficiently known. However, based on an electroshock assay, I could confirm that seizure-like phenotype in </w:t>
        </w:r>
      </w:hyperlink>
      <w:r>
        <w:rPr>
          <w:rFonts w:cs="Arial" w:ascii="Arial" w:hAnsi="Arial"/>
          <w:i/>
          <w:sz w:val="20"/>
          <w:szCs w:val="20"/>
          <w:lang w:val="en-GB"/>
        </w:rPr>
        <w:t>Drosophila</w:t>
      </w:r>
      <w:r>
        <w:rPr>
          <w:rFonts w:cs="Arial" w:ascii="Arial" w:hAnsi="Arial"/>
          <w:sz w:val="20"/>
          <w:szCs w:val="20"/>
          <w:lang w:val="en-GB"/>
        </w:rPr>
        <w:t xml:space="preserve"> third instar larvae are due to mutations affecting MT-regulators, which can be rescued by anti-epileptic or MT-stabiliser drugs. The affected genes are therefore potential candidates linked to seizures also in humans. The molecular mechanism involving Kinesins and Rdl remains to be elucidate. It is very difficult to have exact conclusion in studies about epilepsy because molecular mechanism all more closely linked than expected. Experimental evidence shows that one of the subunits of GABA-R encoded by </w:t>
      </w:r>
      <w:r>
        <w:rPr>
          <w:rFonts w:cs="Arial" w:ascii="Arial" w:hAnsi="Arial"/>
          <w:i/>
          <w:sz w:val="20"/>
          <w:szCs w:val="20"/>
          <w:lang w:val="en-GB"/>
        </w:rPr>
        <w:t xml:space="preserve">Rdl </w:t>
      </w:r>
      <w:r>
        <w:rPr>
          <w:rFonts w:cs="Arial" w:ascii="Arial" w:hAnsi="Arial"/>
          <w:sz w:val="20"/>
          <w:szCs w:val="20"/>
          <w:lang w:val="en-GB"/>
        </w:rPr>
        <w:t xml:space="preserve">is regulated by WAKE, which the circadian oscillator important to Rdl localisation in the plasma membrane </w:t>
      </w:r>
      <w:r>
        <w:fldChar w:fldCharType="begin"/>
      </w:r>
      <w:r>
        <w:rPr/>
        <w:instrText>ADDIN EN.CITE &lt;EndNote&gt;&lt;Cite&gt;&lt;Author&gt;MacDonald&lt;/Author&gt;&lt;Year&gt;2017&lt;/Year&gt;&lt;RecNum&gt;73&lt;/RecNum&gt;&lt;DisplayText&gt;(Macdonald and Rogers, 2017)&lt;/DisplayText&gt;&lt;record&gt;&lt;rec-number&gt;73&lt;/rec-number&gt;&lt;foreign-keys&gt;&lt;key app="EN" db-id="vedta2ppje59fceprax5xvwqzxt2awx0xd99"&gt;73&lt;/key&gt;&lt;/foreign-keys&gt;&lt;ref-type name="Journal Article"&gt;17&lt;/ref-type&gt;&lt;contributors&gt;&lt;authors&gt;&lt;author&gt;MacDonald, S.&lt;/author&gt;&lt;author&gt;Rogers, R. P.&lt;/author&gt;&lt;/authors&gt;&lt;/contributors&gt;&lt;auth-address&gt;Wentworth Inst Technol, Boston, MA USA&amp;#xD;Wentworth Inst Technol, Dept Sci, Boston, MA USA&lt;/auth-address&gt;&lt;titles&gt;&lt;title&gt;Rdl Expression Impacts Circadian Rhythm and Locomotion in Drosophila melanogaster&lt;/title&gt;&lt;secondary-title&gt;Faseb Journal&lt;/secondary-title&gt;&lt;alt-title&gt;Faseb J&lt;/alt-title&gt;&lt;/titles&gt;&lt;periodical&gt;&lt;full-title&gt;Faseb Journal&lt;/full-title&gt;&lt;abbr-1&gt;Faseb J&lt;/abbr-1&gt;&lt;/periodical&gt;&lt;alt-periodical&gt;&lt;full-title&gt;Faseb Journal&lt;/full-title&gt;&lt;abbr-1&gt;Faseb J&lt;/abbr-1&gt;&lt;/alt-periodical&gt;&lt;volume&gt;31&lt;/volume&gt;&lt;dates&gt;&lt;year&gt;2017&lt;/year&gt;&lt;pub-dates&gt;&lt;date&gt;Apr&lt;/date&gt;&lt;/pub-dates&gt;&lt;/dates&gt;&lt;isbn&gt;0892-6638&lt;/isbn&gt;&lt;accession-num&gt;ISI:000405461403627&lt;/accession-num&gt;&lt;urls&gt;&lt;related-urls&gt;&lt;url&gt;&amp;lt;Go to ISI&amp;gt;://000405461403627&lt;/url&gt;&lt;/related-urls&gt;&lt;/urls&gt;&lt;language&gt;English&lt;/language&gt;&lt;/record&gt;&lt;/Cite&gt;&lt;/EndNote&gt;</w:instrText>
      </w:r>
      <w:r>
        <w:rPr/>
        <w:fldChar w:fldCharType="separate"/>
      </w:r>
      <w:bookmarkStart w:id="149" w:name="__Fieldmark__4104_4090835577"/>
      <w:r>
        <w:rPr/>
      </w:r>
      <w:r>
        <w:rPr>
          <w:rFonts w:cs="Arial" w:ascii="Arial" w:hAnsi="Arial"/>
          <w:sz w:val="20"/>
          <w:szCs w:val="20"/>
          <w:lang w:val="en-GB"/>
        </w:rPr>
        <w:t>(Macdonald and Rogers, 2017)</w:t>
      </w:r>
      <w:r>
        <w:rPr/>
      </w:r>
      <w:r>
        <w:rPr/>
        <w:fldChar w:fldCharType="end"/>
      </w:r>
      <w:hyperlink w:anchor="_ENREF_43" w:tgtFrame="MacDonald, 2017 #73">
        <w:bookmarkEnd w:id="149"/>
        <w:r>
          <w:rPr>
            <w:rFonts w:cs="Arial" w:ascii="Arial" w:hAnsi="Arial"/>
            <w:sz w:val="20"/>
            <w:szCs w:val="20"/>
            <w:lang w:val="en-GB"/>
          </w:rPr>
          <w:t xml:space="preserve">. MacDonald and Rogers also determined that Rdl is implicated in a cascade with other elements: Rdl inhibits </w:t>
        </w:r>
      </w:hyperlink>
      <w:r>
        <w:rPr>
          <w:rFonts w:cs="Arial" w:ascii="Arial" w:hAnsi="Arial"/>
          <w:i/>
          <w:sz w:val="20"/>
          <w:szCs w:val="20"/>
          <w:lang w:val="en-GB"/>
        </w:rPr>
        <w:t>Kcc</w:t>
      </w:r>
      <w:r>
        <w:rPr>
          <w:rFonts w:cs="Arial" w:ascii="Arial" w:hAnsi="Arial"/>
          <w:sz w:val="20"/>
          <w:szCs w:val="20"/>
          <w:lang w:val="en-GB"/>
        </w:rPr>
        <w:t xml:space="preserve"> (a transmembrane transporter) which can supress </w:t>
      </w:r>
      <w:r>
        <w:rPr>
          <w:rFonts w:cs="Arial" w:ascii="Arial" w:hAnsi="Arial"/>
          <w:i/>
          <w:sz w:val="20"/>
          <w:szCs w:val="20"/>
          <w:lang w:val="en-GB"/>
        </w:rPr>
        <w:t xml:space="preserve">paralytic (para) </w:t>
      </w:r>
      <w:r>
        <w:rPr>
          <w:rFonts w:cs="Arial" w:ascii="Arial" w:hAnsi="Arial"/>
          <w:sz w:val="20"/>
          <w:szCs w:val="20"/>
          <w:lang w:val="en-GB"/>
        </w:rPr>
        <w:t xml:space="preserve">the gene mutated in the studied </w:t>
      </w:r>
      <w:r>
        <w:rPr>
          <w:rFonts w:cs="Arial" w:ascii="Arial" w:hAnsi="Arial"/>
          <w:i/>
          <w:sz w:val="20"/>
          <w:szCs w:val="20"/>
          <w:lang w:val="en-GB"/>
        </w:rPr>
        <w:t>para</w:t>
      </w:r>
      <w:r>
        <w:rPr>
          <w:rFonts w:cs="Arial" w:ascii="Arial" w:hAnsi="Arial"/>
          <w:i/>
          <w:sz w:val="20"/>
          <w:szCs w:val="20"/>
          <w:vertAlign w:val="superscript"/>
          <w:lang w:val="en-GB"/>
        </w:rPr>
        <w:t>bss1</w:t>
      </w:r>
      <w:r>
        <w:rPr>
          <w:rFonts w:cs="Arial" w:ascii="Arial" w:hAnsi="Arial"/>
          <w:sz w:val="20"/>
          <w:szCs w:val="20"/>
          <w:lang w:val="en-GB"/>
        </w:rPr>
        <w:t xml:space="preserve"> larvae, which encodes a voltage-gated sodium channels. Thus, I could hypothesise that mutations in genes important for MT regulation and bundling, such as </w:t>
      </w:r>
      <w:r>
        <w:rPr>
          <w:rFonts w:cs="Arial" w:ascii="Arial" w:hAnsi="Arial"/>
          <w:i/>
          <w:sz w:val="20"/>
          <w:szCs w:val="20"/>
          <w:lang w:val="en-GB"/>
        </w:rPr>
        <w:t>Eb1</w:t>
      </w:r>
      <w:r>
        <w:rPr>
          <w:rFonts w:cs="Arial" w:ascii="Arial" w:hAnsi="Arial"/>
          <w:sz w:val="20"/>
          <w:szCs w:val="20"/>
          <w:lang w:val="en-GB"/>
        </w:rPr>
        <w:t xml:space="preserve">, </w:t>
      </w:r>
      <w:r>
        <w:rPr>
          <w:rFonts w:cs="Arial" w:ascii="Arial" w:hAnsi="Arial"/>
          <w:i/>
          <w:sz w:val="20"/>
          <w:szCs w:val="20"/>
          <w:lang w:val="en-GB"/>
        </w:rPr>
        <w:t>Msps</w:t>
      </w:r>
      <w:r>
        <w:rPr>
          <w:rFonts w:cs="Arial" w:ascii="Arial" w:hAnsi="Arial"/>
          <w:sz w:val="20"/>
          <w:szCs w:val="20"/>
          <w:lang w:val="en-GB"/>
        </w:rPr>
        <w:t xml:space="preserve">, and </w:t>
      </w:r>
      <w:r>
        <w:rPr>
          <w:rFonts w:cs="Arial" w:ascii="Arial" w:hAnsi="Arial"/>
          <w:i/>
          <w:sz w:val="20"/>
          <w:szCs w:val="20"/>
          <w:lang w:val="en-GB"/>
        </w:rPr>
        <w:t>tau</w:t>
      </w:r>
      <w:r>
        <w:rPr>
          <w:rFonts w:cs="Arial" w:ascii="Arial" w:hAnsi="Arial"/>
          <w:sz w:val="20"/>
          <w:szCs w:val="20"/>
          <w:lang w:val="en-GB"/>
        </w:rPr>
        <w:t xml:space="preserve"> can have an effect on Rdl location leading to a disruption of this cascade, which is a potential cause of seizure-like phenotype in </w:t>
      </w:r>
      <w:r>
        <w:rPr>
          <w:rFonts w:cs="Arial" w:ascii="Arial" w:hAnsi="Arial"/>
          <w:i/>
          <w:sz w:val="20"/>
          <w:szCs w:val="20"/>
          <w:lang w:val="en-GB"/>
        </w:rPr>
        <w:t>Drosophila</w:t>
      </w:r>
      <w:r>
        <w:rPr>
          <w:rFonts w:cs="Arial" w:ascii="Arial" w:hAnsi="Arial"/>
          <w:sz w:val="20"/>
          <w:szCs w:val="20"/>
          <w:lang w:val="en-GB"/>
        </w:rPr>
        <w:t xml:space="preserve">. This study provides a framework to carry out future experiments in order to develop our understanding of the molecular mechanisms at the basis of seizure phenotypes. Extending information about the potential cellular, molecular and genetic causes is crucial for the development of therapies for the prevention and the cure of epilepsy </w:t>
      </w:r>
      <w:r>
        <w:fldChar w:fldCharType="begin"/>
      </w:r>
      <w:r>
        <w:rPr/>
        <w:instrText>ADDIN EN.CITE &lt;EndNote&gt;&lt;Cite&gt;&lt;Author&gt;Loscher&lt;/Author&gt;&lt;Year&gt;2002&lt;/Year&gt;&lt;RecNum&gt;27&lt;/RecNum&gt;&lt;DisplayText&gt;(Loscher, 2002)&lt;/DisplayText&gt;&lt;record&gt;&lt;rec-number&gt;27&lt;/rec-number&gt;&lt;foreign-keys&gt;&lt;key app="EN" db-id="vedta2ppje59fceprax5xvwqzxt2awx0xd99"&gt;27&lt;/key&gt;&lt;/foreign-keys&gt;&lt;ref-type name="Journal Article"&gt;17&lt;/ref-type&gt;&lt;contributors&gt;&lt;authors&gt;&lt;author&gt;Loscher, W.&lt;/author&gt;&lt;/authors&gt;&lt;/contributors&gt;&lt;auth-address&gt;Dept of Pharmacology, Toxicology and Pharmacy, School of Veterinary Medicine, Buenteweg 17, D-30551 Hannover, Germany. wolfgang.loescher@tiho-hannover.de&lt;/auth-address&gt;&lt;titles&gt;&lt;title&gt;Current status and future directions in the pharmacotherapy of epilepsy&lt;/title&gt;&lt;secondary-title&gt;Trends Pharmacol Sci&lt;/secondary-title&gt;&lt;/titles&gt;&lt;periodical&gt;&lt;full-title&gt;Trends Pharmacol Sci&lt;/full-title&gt;&lt;/periodical&gt;&lt;pages&gt;113-8&lt;/pages&gt;&lt;volume&gt;23&lt;/volume&gt;&lt;number&gt;3&lt;/number&gt;&lt;edition&gt;2002/03/07&lt;/edition&gt;&lt;keywords&gt;&lt;keyword&gt;ATP Binding Cassette Transporter, Subfamily B, Member 1/genetics&lt;/keyword&gt;&lt;keyword&gt;Anticonvulsants/*therapeutic use&lt;/keyword&gt;&lt;keyword&gt;Drug Design&lt;/keyword&gt;&lt;keyword&gt;Drug Resistance, Multiple&lt;/keyword&gt;&lt;keyword&gt;Epilepsy/*drug therapy/genetics/prevention &amp;amp; control&lt;/keyword&gt;&lt;keyword&gt;Humans&lt;/keyword&gt;&lt;keyword&gt;Mutation&lt;/keyword&gt;&lt;/keywords&gt;&lt;dates&gt;&lt;year&gt;2002&lt;/year&gt;&lt;pub-dates&gt;&lt;date&gt;Mar&lt;/date&gt;&lt;/pub-dates&gt;&lt;/dates&gt;&lt;isbn&gt;0165-6147 (Print)&amp;#xD;0165-6147 (Linking)&lt;/isbn&gt;&lt;accession-num&gt;11879677&lt;/accession-num&gt;&lt;urls&gt;&lt;related-urls&gt;&lt;url&gt;http://www.ncbi.nlm.nih.gov/pubmed/11879677&lt;/url&gt;&lt;/related-urls&gt;&lt;/urls&gt;&lt;electronic-resource-num&gt;S0165-6147(00)01974-X [pii]&amp;#xD;10.1016/S0165-6147(00)01974-X&lt;/electronic-resource-num&gt;&lt;language&gt;eng&lt;/language&gt;&lt;/record&gt;&lt;/Cite&gt;&lt;/EndNote&gt;</w:instrText>
      </w:r>
      <w:r>
        <w:rPr/>
        <w:fldChar w:fldCharType="separate"/>
      </w:r>
      <w:bookmarkStart w:id="150" w:name="__Fieldmark__4153_4090835577"/>
      <w:r>
        <w:rPr/>
      </w:r>
      <w:r>
        <w:rPr>
          <w:rFonts w:cs="Arial" w:ascii="Arial" w:hAnsi="Arial"/>
          <w:sz w:val="20"/>
          <w:szCs w:val="20"/>
          <w:lang w:val="en-GB"/>
        </w:rPr>
        <w:t>(Loscher, 2002)</w:t>
      </w:r>
      <w:r>
        <w:rPr/>
      </w:r>
      <w:r>
        <w:rPr/>
        <w:fldChar w:fldCharType="end"/>
      </w:r>
      <w:hyperlink w:anchor="_ENREF_41" w:tgtFrame="Loscher, 2002 #27">
        <w:bookmarkEnd w:id="150"/>
        <w:r>
          <w:rPr>
            <w:rFonts w:cs="Arial" w:ascii="Arial" w:hAnsi="Arial"/>
            <w:sz w:val="20"/>
            <w:szCs w:val="20"/>
            <w:lang w:val="en-GB"/>
          </w:rPr>
          <w:t xml:space="preserve">. New AEDs are being developed meeting safety and effectiveness criteria and tested in their capacity to reduce epileptogenesis </w:t>
        </w:r>
      </w:hyperlink>
      <w:r>
        <w:fldChar w:fldCharType="begin"/>
      </w:r>
      <w:r>
        <w:rPr/>
        <w:instrText>ADDIN EN.CITE &lt;EndNote&gt;&lt;Cite&gt;&lt;Author&gt;Hernandez&lt;/Author&gt;&lt;Year&gt;1997&lt;/Year&gt;&lt;RecNum&gt;30&lt;/RecNum&gt;&lt;DisplayText&gt;(Hernandez, 1997)&lt;/DisplayText&gt;&lt;record&gt;&lt;rec-number&gt;30&lt;/rec-number&gt;&lt;foreign-keys&gt;&lt;key app="EN" db-id="vedta2ppje59fceprax5xvwqzxt2awx0xd99"&gt;30&lt;/key&gt;&lt;/foreign-keys&gt;&lt;ref-type name="Journal Article"&gt;17&lt;/ref-type&gt;&lt;contributors&gt;&lt;authors&gt;&lt;author&gt;Hernandez, T. D.&lt;/author&gt;&lt;/authors&gt;&lt;/contributors&gt;&lt;auth-address&gt;Department of Psychology, University of Colorado, Boulder 80309, USA.&lt;/auth-address&gt;&lt;titles&gt;&lt;title&gt;Preventing post-traumatic epilepsy after brain injury: weighing the costs and benefits of anticonvulsant prophylaxis&lt;/title&gt;&lt;secondary-title&gt;Trends Pharmacol Sci&lt;/secondary-title&gt;&lt;/titles&gt;&lt;periodical&gt;&lt;full-title&gt;Trends Pharmacol Sci&lt;/full-title&gt;&lt;/periodical&gt;&lt;pages&gt;59-62&lt;/pages&gt;&lt;volume&gt;18&lt;/volume&gt;&lt;number&gt;2&lt;/number&gt;&lt;edition&gt;1997/02/01&lt;/edition&gt;&lt;keywords&gt;&lt;keyword&gt;Animals&lt;/keyword&gt;&lt;keyword&gt;Anticonvulsants/administration &amp;amp; dosage/adverse effects/*therapeutic use&lt;/keyword&gt;&lt;keyword&gt;Brain Injuries/complications/*drug therapy/physiopathology&lt;/keyword&gt;&lt;keyword&gt;Cost-Benefit Analysis&lt;/keyword&gt;&lt;keyword&gt;Disease Models, Animal&lt;/keyword&gt;&lt;keyword&gt;Epilepsy, Post-Traumatic/economics/epidemiology/*prevention &amp;amp; control&lt;/keyword&gt;&lt;keyword&gt;Humans&lt;/keyword&gt;&lt;keyword&gt;Incidence&lt;/keyword&gt;&lt;keyword&gt;Neuroprotective Agents/administration &amp;amp; dosage/pharmacology/*therapeutic use&lt;/keyword&gt;&lt;keyword&gt;Rats&lt;/keyword&gt;&lt;keyword&gt;Synaptic Transmission/drug effects&lt;/keyword&gt;&lt;keyword&gt;Treatment Outcome&lt;/keyword&gt;&lt;/keywords&gt;&lt;dates&gt;&lt;year&gt;1997&lt;/year&gt;&lt;pub-dates&gt;&lt;date&gt;Feb&lt;/date&gt;&lt;/pub-dates&gt;&lt;/dates&gt;&lt;isbn&gt;0165-6147 (Print)&amp;#xD;0165-6147 (Linking)&lt;/isbn&gt;&lt;accession-num&gt;9090312&lt;/accession-num&gt;&lt;urls&gt;&lt;related-urls&gt;&lt;url&gt;http://www.ncbi.nlm.nih.gov/pubmed/9090312&lt;/url&gt;&lt;/related-urls&gt;&lt;/urls&gt;&lt;electronic-resource-num&gt;S0165-6147(97)89801-X [pii]&lt;/electronic-resource-num&gt;&lt;language&gt;eng&lt;/language&gt;&lt;/record&gt;&lt;/Cite&gt;&lt;/EndNote&gt;</w:instrText>
      </w:r>
      <w:r>
        <w:rPr/>
        <w:fldChar w:fldCharType="separate"/>
      </w:r>
      <w:bookmarkStart w:id="151" w:name="__Fieldmark__4166_4090835577"/>
      <w:r>
        <w:rPr/>
      </w:r>
      <w:r>
        <w:rPr>
          <w:rFonts w:cs="Arial" w:ascii="Arial" w:hAnsi="Arial"/>
          <w:sz w:val="20"/>
          <w:szCs w:val="20"/>
          <w:lang w:val="en-GB"/>
        </w:rPr>
        <w:t>(Hernandez, 1997)</w:t>
      </w:r>
      <w:r>
        <w:rPr/>
      </w:r>
      <w:r>
        <w:rPr/>
        <w:fldChar w:fldCharType="end"/>
      </w:r>
      <w:hyperlink w:anchor="_ENREF_26" w:tgtFrame="Hernandez, 1997 #30">
        <w:bookmarkEnd w:id="151"/>
        <w:r>
          <w:rPr>
            <w:rFonts w:cs="Arial" w:ascii="Arial" w:hAnsi="Arial"/>
            <w:sz w:val="20"/>
            <w:szCs w:val="20"/>
            <w:lang w:val="en-GB"/>
          </w:rPr>
          <w:t xml:space="preserve">. In the future this study can have experiments dedicated in the use of other AEDs to test their efficacy in reducing seizure-like phenotype and their safety. </w:t>
        </w:r>
      </w:hyperlink>
    </w:p>
    <w:p>
      <w:pPr>
        <w:pStyle w:val="Normal"/>
        <w:spacing w:lineRule="auto" w:line="360"/>
        <w:jc w:val="both"/>
        <w:rPr>
          <w:rFonts w:ascii="Arial" w:hAnsi="Arial" w:cs="Arial"/>
          <w:sz w:val="20"/>
          <w:szCs w:val="20"/>
          <w:lang w:val="en-GB"/>
        </w:rPr>
      </w:pPr>
      <w:r>
        <w:rPr>
          <w:rFonts w:cs="Arial" w:ascii="Arial" w:hAnsi="Arial"/>
          <w:sz w:val="20"/>
          <w:szCs w:val="20"/>
          <w:u w:val="single"/>
          <w:lang w:val="en-GB"/>
        </w:rPr>
        <w:t xml:space="preserve">Acknowledgements </w:t>
      </w:r>
    </w:p>
    <w:p>
      <w:pPr>
        <w:pStyle w:val="Normal"/>
        <w:spacing w:lineRule="auto" w:line="360" w:before="120" w:after="0"/>
        <w:jc w:val="both"/>
        <w:rPr>
          <w:rFonts w:ascii="Arial" w:hAnsi="Arial" w:cs="Arial"/>
          <w:sz w:val="20"/>
          <w:szCs w:val="20"/>
          <w:lang w:val="en-GB"/>
        </w:rPr>
      </w:pPr>
      <w:r>
        <w:rPr>
          <w:rFonts w:cs="Arial" w:ascii="Arial" w:hAnsi="Arial"/>
          <w:sz w:val="20"/>
          <w:szCs w:val="20"/>
          <w:lang w:val="en-GB"/>
        </w:rPr>
        <w:t xml:space="preserve">I would like to express my deep gratitude to Professor Andreas Prokop, who allowed me to realise this project and for his patient guidance, encouragement and useful critiques of this research work. I would also like to thanks Dr. Ines Hans for her guidance from the beginning to the end of this project, her patient and assistance in keeping my progress on schedule. My grateful thanks are also for the members of the Prokop laboratory, who have been super welcoming, for their advice and enthusiasm. Moreover, I would like to extend my thanks to the Manchester fly facilities members, particularly Sanjai Patel for his patient, motivation, and support on working with Drosophila. Finally, I would like to thanks Dr. Carlo Giachello for his advice and additional information concerning the electroshock procedure, Natalia Sanchez Soriano, for her suggestions and for the Epothilone B drug; The Blooming Stock, Richard Baines, H. Ohkura, and L. Partdridge for fly stocks.    </w:t>
      </w:r>
    </w:p>
    <w:p>
      <w:pPr>
        <w:pStyle w:val="Normal"/>
        <w:spacing w:lineRule="auto" w:line="360" w:before="120" w:after="0"/>
        <w:jc w:val="both"/>
        <w:rPr>
          <w:rFonts w:ascii="Arial" w:hAnsi="Arial" w:cs="Arial"/>
          <w:sz w:val="20"/>
          <w:szCs w:val="20"/>
          <w:lang w:val="en-GB"/>
        </w:rPr>
      </w:pPr>
      <w:r>
        <w:rPr>
          <w:rFonts w:cs="Arial" w:ascii="Arial" w:hAnsi="Arial"/>
          <w:b/>
          <w:sz w:val="20"/>
          <w:szCs w:val="20"/>
          <w:u w:val="single"/>
          <w:lang w:val="en-GB"/>
        </w:rPr>
        <w:t>References</w:t>
      </w:r>
    </w:p>
    <w:p>
      <w:pPr>
        <w:pStyle w:val="Normal"/>
        <w:spacing w:before="120" w:after="0"/>
        <w:jc w:val="both"/>
        <w:rPr>
          <w:rFonts w:ascii="Arial" w:hAnsi="Arial" w:cs="Arial"/>
          <w:b/>
          <w:b/>
          <w:sz w:val="20"/>
          <w:szCs w:val="20"/>
          <w:u w:val="single"/>
          <w:lang w:val="en-GB"/>
        </w:rPr>
      </w:pPr>
      <w:r>
        <w:rPr>
          <w:rFonts w:cs="Arial" w:ascii="Arial" w:hAnsi="Arial"/>
          <w:b/>
          <w:sz w:val="20"/>
          <w:szCs w:val="20"/>
          <w:u w:val="single"/>
          <w:lang w:val="en-GB"/>
        </w:rPr>
      </w:r>
    </w:p>
    <w:p>
      <w:pPr>
        <w:pStyle w:val="EndNoteBibliography"/>
        <w:spacing w:before="0" w:after="0"/>
        <w:ind w:left="720" w:hanging="720"/>
        <w:rPr/>
      </w:pPr>
      <w:r>
        <w:fldChar w:fldCharType="begin"/>
      </w:r>
      <w:r>
        <w:rPr/>
        <w:instrText>ADDIN EN.REFLIST</w:instrText>
      </w:r>
      <w:r>
        <w:rPr/>
        <w:fldChar w:fldCharType="separate"/>
      </w:r>
      <w:bookmarkStart w:id="152" w:name="__Fieldmark__4180_4090835577"/>
      <w:r>
        <w:rPr/>
        <w:t>A</w:t>
      </w:r>
      <w:bookmarkStart w:id="153" w:name="_ENREF_1"/>
      <w:r>
        <w:rPr/>
        <w:t xml:space="preserve">ridon, P., Marini, C., Di Resta, C., Brilli, E., De Fusco, M., Politi, F., Parrini, E., Manfredi, I., Pisano, T., Pruna, D., Curia, G., Cianchetti, C., Pasqualetti, M., Becchetti, A., Guerrini, R. &amp; Casari, G. (2006). 'Increased sensitivity of the neuronal nicotinic receptor alpha 2 subunit causes familial epilepsy with nocturnal wandering and ictal fear', </w:t>
      </w:r>
      <w:r>
        <w:rPr>
          <w:i/>
        </w:rPr>
        <w:t>Am J Hum Genet,</w:t>
      </w:r>
      <w:r>
        <w:rPr/>
        <w:t xml:space="preserve"> 79(2), pp. 342-50.</w:t>
      </w:r>
      <w:r>
        <w:rPr/>
      </w:r>
      <w:r>
        <w:rPr/>
        <w:fldChar w:fldCharType="end"/>
      </w:r>
      <w:bookmarkEnd w:id="152"/>
      <w:bookmarkEnd w:id="153"/>
    </w:p>
    <w:p>
      <w:pPr>
        <w:pStyle w:val="EndNoteBibliography"/>
        <w:spacing w:before="0" w:after="0"/>
        <w:ind w:left="720" w:hanging="720"/>
        <w:rPr/>
      </w:pPr>
      <w:bookmarkStart w:id="154" w:name="_ENREF_2"/>
      <w:r>
        <w:rPr/>
        <w:t xml:space="preserve">Baines, R. A., Giachello, C.N.G. and Lin W-H. (2017). 'Drosophila', in Asla Pitkänen, P. B., DVM, PhD, Aristea S Galanopoulou, Solomon L. Moshé (ed.) </w:t>
      </w:r>
      <w:r>
        <w:rPr>
          <w:i/>
        </w:rPr>
        <w:t xml:space="preserve">Models of Seizures and Epilepsy. </w:t>
      </w:r>
      <w:r>
        <w:rPr/>
        <w:t>Second Edition ed: Elsevierpp. 345-355.</w:t>
      </w:r>
      <w:bookmarkEnd w:id="154"/>
    </w:p>
    <w:p>
      <w:pPr>
        <w:pStyle w:val="EndNoteBibliography"/>
        <w:spacing w:before="0" w:after="0"/>
        <w:ind w:left="720" w:hanging="720"/>
        <w:rPr/>
      </w:pPr>
      <w:bookmarkStart w:id="155" w:name="_ENREF_3"/>
      <w:r>
        <w:rPr/>
        <w:t xml:space="preserve">Ballough, G. P. H., Martin, L. J., Cann, F. J., Graham, J. S., Smith, C. D., Kling, C. E., Forster, J. S., Phann, S. &amp; Filbert, M. G. (1995). 'Microtubule-Associated Protein 2(Map-2) - a Sensitive Marker of Seizure-Related Brain-Damage', </w:t>
      </w:r>
      <w:r>
        <w:rPr>
          <w:i/>
        </w:rPr>
        <w:t>Journal of Neuroscience Methods,</w:t>
      </w:r>
      <w:r>
        <w:rPr/>
        <w:t xml:space="preserve"> 61(1-2), pp. 23-32.</w:t>
      </w:r>
      <w:bookmarkEnd w:id="155"/>
    </w:p>
    <w:p>
      <w:pPr>
        <w:pStyle w:val="EndNoteBibliography"/>
        <w:spacing w:before="0" w:after="0"/>
        <w:ind w:left="720" w:hanging="720"/>
        <w:rPr/>
      </w:pPr>
      <w:bookmarkStart w:id="156" w:name="_ENREF_4"/>
      <w:r>
        <w:rPr/>
        <w:t xml:space="preserve">Bellen, H. J., Tong, C. &amp; Tsuda, H. (2010). '100 years of </w:t>
      </w:r>
      <w:r>
        <w:rPr>
          <w:i/>
        </w:rPr>
        <w:t xml:space="preserve">Drosophila </w:t>
      </w:r>
      <w:r>
        <w:rPr/>
        <w:t xml:space="preserve">research and its impact on vertebrate neuroscience: a history lesson for the future', </w:t>
      </w:r>
      <w:r>
        <w:rPr>
          <w:i/>
        </w:rPr>
        <w:t>Nat Rev Neurosci,</w:t>
      </w:r>
      <w:r>
        <w:rPr/>
        <w:t xml:space="preserve"> 11(7), pp. 514-522.</w:t>
      </w:r>
      <w:bookmarkEnd w:id="156"/>
    </w:p>
    <w:p>
      <w:pPr>
        <w:pStyle w:val="EndNoteBibliography"/>
        <w:spacing w:before="0" w:after="0"/>
        <w:ind w:left="720" w:hanging="720"/>
        <w:rPr/>
      </w:pPr>
      <w:bookmarkStart w:id="157" w:name="_ENREF_5"/>
      <w:r>
        <w:rPr/>
        <w:t xml:space="preserve">Bonello, M., Michael, B. D. &amp; Solomon, T. (2015). 'Infective Causes of Epilepsy', </w:t>
      </w:r>
      <w:r>
        <w:rPr>
          <w:i/>
        </w:rPr>
        <w:t>Semin Neurol,</w:t>
      </w:r>
      <w:r>
        <w:rPr/>
        <w:t xml:space="preserve"> 35(3), pp. 235-44.</w:t>
      </w:r>
      <w:bookmarkEnd w:id="157"/>
    </w:p>
    <w:p>
      <w:pPr>
        <w:pStyle w:val="EndNoteBibliography"/>
        <w:spacing w:before="0" w:after="0"/>
        <w:ind w:left="720" w:hanging="720"/>
        <w:rPr/>
      </w:pPr>
      <w:bookmarkStart w:id="158" w:name="_ENREF_6"/>
      <w:r>
        <w:rPr/>
        <w:t xml:space="preserve">Brown, W. C., Schiffman, D. O., Swinyard, E. A. &amp; Goodman, L. S. (1953). 'Comparative Assay of Antiepileptic Drugs by Psychomotor Seizure Test and Minimal Electroshock Threshold Test', </w:t>
      </w:r>
      <w:r>
        <w:rPr>
          <w:i/>
        </w:rPr>
        <w:t>Journal of Pharmacology and Experimental Therapeutics,</w:t>
      </w:r>
      <w:r>
        <w:rPr/>
        <w:t xml:space="preserve"> 107(3), pp. 273-283.</w:t>
      </w:r>
      <w:bookmarkEnd w:id="158"/>
    </w:p>
    <w:p>
      <w:pPr>
        <w:pStyle w:val="EndNoteBibliography"/>
        <w:spacing w:before="0" w:after="0"/>
        <w:ind w:left="720" w:hanging="720"/>
        <w:rPr/>
      </w:pPr>
      <w:bookmarkStart w:id="159" w:name="_ENREF_7"/>
      <w:r>
        <w:rPr/>
        <w:t xml:space="preserve">Burnouf, S., Gronke, S., Augustin, H., Dols, J., Gorsky, M. K., Werner, J., Kerr, F., Alic, N., Martinez, P. &amp; Partridge, L. (2016). 'Deletion of endogenous Tau proteins is not detrimental in Drosophila', </w:t>
      </w:r>
      <w:r>
        <w:rPr>
          <w:i/>
        </w:rPr>
        <w:t>Scientific Reports,</w:t>
      </w:r>
      <w:r>
        <w:rPr/>
        <w:t xml:space="preserve"> 6.</w:t>
      </w:r>
      <w:bookmarkEnd w:id="159"/>
    </w:p>
    <w:p>
      <w:pPr>
        <w:pStyle w:val="EndNoteBibliography"/>
        <w:spacing w:before="0" w:after="0"/>
        <w:ind w:left="720" w:hanging="720"/>
        <w:rPr/>
      </w:pPr>
      <w:bookmarkStart w:id="160" w:name="_ENREF_8"/>
      <w:r>
        <w:rPr/>
        <w:t xml:space="preserve">Castro, L. M., Gallant, M. &amp; Niles, L. P. (2005). 'Novel targets for valproic acid: up-regulation of melatonin receptors and neurotrophic factors in C6 glioma cells', </w:t>
      </w:r>
      <w:r>
        <w:rPr>
          <w:i/>
        </w:rPr>
        <w:t>J Neurochem,</w:t>
      </w:r>
      <w:r>
        <w:rPr/>
        <w:t xml:space="preserve"> 95(5), pp. 1227-36.</w:t>
      </w:r>
      <w:bookmarkEnd w:id="160"/>
    </w:p>
    <w:p>
      <w:pPr>
        <w:pStyle w:val="EndNoteBibliography"/>
        <w:spacing w:before="0" w:after="0"/>
        <w:ind w:left="720" w:hanging="720"/>
        <w:rPr/>
      </w:pPr>
      <w:bookmarkStart w:id="161" w:name="_ENREF_9"/>
      <w:r>
        <w:rPr/>
        <w:t xml:space="preserve">Charlier, C., Singh, N. A., Ryan, S. G., Lewis, T. B., Reus, B. E., Leach, R. J. &amp; Leppert, M. (1998). 'A pore mutation in a novel KQT-like potassium channel gene in an idiopathic epilepsy family', </w:t>
      </w:r>
      <w:r>
        <w:rPr>
          <w:i/>
        </w:rPr>
        <w:t>Nat Genet,</w:t>
      </w:r>
      <w:r>
        <w:rPr/>
        <w:t xml:space="preserve"> 18(1), pp. 53-5.</w:t>
      </w:r>
      <w:bookmarkEnd w:id="161"/>
    </w:p>
    <w:p>
      <w:pPr>
        <w:pStyle w:val="EndNoteBibliography"/>
        <w:spacing w:before="0" w:after="0"/>
        <w:ind w:left="720" w:hanging="720"/>
        <w:rPr/>
      </w:pPr>
      <w:bookmarkStart w:id="162" w:name="_ENREF_10"/>
      <w:r>
        <w:rPr/>
        <w:t xml:space="preserve">Cobb, S. (1932). 'CAUSES OF EPILEPSY', </w:t>
      </w:r>
      <w:r>
        <w:rPr>
          <w:i/>
        </w:rPr>
        <w:t>Archives of Neurology &amp; Psychiatry,</w:t>
      </w:r>
      <w:r>
        <w:rPr/>
        <w:t xml:space="preserve"> 27(5), pp. 1245-1263.</w:t>
      </w:r>
      <w:bookmarkEnd w:id="162"/>
    </w:p>
    <w:p>
      <w:pPr>
        <w:pStyle w:val="EndNoteBibliography"/>
        <w:spacing w:before="0" w:after="0"/>
        <w:ind w:left="720" w:hanging="720"/>
        <w:rPr/>
      </w:pPr>
      <w:bookmarkStart w:id="163" w:name="_ENREF_11"/>
      <w:r>
        <w:rPr/>
        <w:t xml:space="preserve">Decressac, S., Franco, M., Bendahhou, S., Warth, R., Knauer, S., Barhanin, J., Lazdunski, M. &amp; Lesage, F. (2004). 'ARF6-dependent interaction of the TWIK1 K+ channel with EFA6, a GDP/GTP exchange factor for ARF6', </w:t>
      </w:r>
      <w:r>
        <w:rPr>
          <w:i/>
        </w:rPr>
        <w:t>EMBO Rep,</w:t>
      </w:r>
      <w:r>
        <w:rPr/>
        <w:t xml:space="preserve"> 5(12), pp. 1171-5.</w:t>
      </w:r>
      <w:bookmarkEnd w:id="163"/>
    </w:p>
    <w:p>
      <w:pPr>
        <w:pStyle w:val="EndNoteBibliography"/>
        <w:spacing w:before="0" w:after="0"/>
        <w:ind w:left="720" w:hanging="720"/>
        <w:rPr/>
      </w:pPr>
      <w:bookmarkStart w:id="164" w:name="_ENREF_12"/>
      <w:r>
        <w:rPr/>
        <w:t xml:space="preserve">Döring, F., Scholz, H., Kühnlein, R. P., Karschin, A. &amp; Wischmeyer, E. (2006). 'Novel </w:t>
      </w:r>
      <w:r>
        <w:rPr>
          <w:i/>
        </w:rPr>
        <w:t xml:space="preserve">Drosophila </w:t>
      </w:r>
      <w:r>
        <w:rPr/>
        <w:t xml:space="preserve">two-pore domain K+ channels: rescue of channel function by heteromeric assembly', </w:t>
      </w:r>
      <w:r>
        <w:rPr>
          <w:i/>
        </w:rPr>
        <w:t>Europ J Neurosci,</w:t>
      </w:r>
      <w:r>
        <w:rPr/>
        <w:t xml:space="preserve"> 24(8), pp. 2264-74.</w:t>
      </w:r>
      <w:bookmarkEnd w:id="164"/>
    </w:p>
    <w:p>
      <w:pPr>
        <w:pStyle w:val="EndNoteBibliography"/>
        <w:spacing w:before="0" w:after="0"/>
        <w:ind w:left="720" w:hanging="720"/>
        <w:rPr/>
      </w:pPr>
      <w:bookmarkStart w:id="165" w:name="_ENREF_13"/>
      <w:r>
        <w:rPr/>
        <w:t xml:space="preserve">Duffy, J. B. (2002). 'GAL4 system in </w:t>
      </w:r>
      <w:r>
        <w:rPr>
          <w:i/>
        </w:rPr>
        <w:t>Drosophila</w:t>
      </w:r>
      <w:r>
        <w:rPr/>
        <w:t xml:space="preserve">: a fly geneticist's Swiss army knife', </w:t>
      </w:r>
      <w:r>
        <w:rPr>
          <w:i/>
        </w:rPr>
        <w:t>Genesis,</w:t>
      </w:r>
      <w:r>
        <w:rPr/>
        <w:t xml:space="preserve"> 34(1-2), pp. 1-15.</w:t>
      </w:r>
      <w:bookmarkEnd w:id="165"/>
    </w:p>
    <w:p>
      <w:pPr>
        <w:pStyle w:val="EndNoteBibliography"/>
        <w:spacing w:before="0" w:after="0"/>
        <w:ind w:left="720" w:hanging="720"/>
        <w:rPr/>
      </w:pPr>
      <w:bookmarkStart w:id="166" w:name="_ENREF_14"/>
      <w:r>
        <w:rPr/>
        <w:t xml:space="preserve">Duncan, J. E., Lytle, N. K., Zuniga, A. &amp; Goldstein, L. S. (2013). 'The microtubule regulatory protein Stathmin is required to maintain the integrity of axonal microtubules in </w:t>
      </w:r>
      <w:r>
        <w:rPr>
          <w:i/>
        </w:rPr>
        <w:t>Drosophila</w:t>
      </w:r>
      <w:r>
        <w:rPr/>
        <w:t xml:space="preserve">', </w:t>
      </w:r>
      <w:r>
        <w:rPr>
          <w:i/>
        </w:rPr>
        <w:t>PLoS One,</w:t>
      </w:r>
      <w:r>
        <w:rPr/>
        <w:t xml:space="preserve"> 8(6), p. e68324.</w:t>
      </w:r>
      <w:bookmarkEnd w:id="166"/>
    </w:p>
    <w:p>
      <w:pPr>
        <w:pStyle w:val="EndNoteBibliography"/>
        <w:spacing w:before="0" w:after="0"/>
        <w:ind w:left="720" w:hanging="720"/>
        <w:rPr/>
      </w:pPr>
      <w:bookmarkStart w:id="167" w:name="_ENREF_15"/>
      <w:r>
        <w:rPr/>
        <w:t xml:space="preserve">Ejsmont, R. &amp; Hassan, B. (2014). 'The little fly that could: wizardry and artistry of </w:t>
      </w:r>
      <w:r>
        <w:rPr>
          <w:i/>
        </w:rPr>
        <w:t>Drosophila</w:t>
      </w:r>
      <w:r>
        <w:rPr/>
        <w:t xml:space="preserve"> genomics', </w:t>
      </w:r>
      <w:r>
        <w:rPr>
          <w:i/>
        </w:rPr>
        <w:t>Genes,</w:t>
      </w:r>
      <w:r>
        <w:rPr/>
        <w:t xml:space="preserve"> 5(2), pp. 385-414.</w:t>
      </w:r>
      <w:bookmarkEnd w:id="167"/>
    </w:p>
    <w:p>
      <w:pPr>
        <w:pStyle w:val="EndNoteBibliography"/>
        <w:spacing w:before="0" w:after="0"/>
        <w:ind w:left="720" w:hanging="720"/>
        <w:rPr/>
      </w:pPr>
      <w:bookmarkStart w:id="168" w:name="_ENREF_16"/>
      <w:r>
        <w:rPr/>
        <w:t xml:space="preserve">Elliott, S. L., Cullen, C. F., Wrobel, N., Kernan, M. J. &amp; Ohkura, H. (2005). 'EB1 is essential during Drosophila development and plays a crucial role in the integrity of chordotonal mechanosensory organs', </w:t>
      </w:r>
      <w:r>
        <w:rPr>
          <w:i/>
        </w:rPr>
        <w:t>Molecular Biology of the Cell,</w:t>
      </w:r>
      <w:r>
        <w:rPr/>
        <w:t xml:space="preserve"> 16(2), pp. 891-901.</w:t>
      </w:r>
      <w:bookmarkEnd w:id="168"/>
    </w:p>
    <w:p>
      <w:pPr>
        <w:pStyle w:val="EndNoteBibliography"/>
        <w:spacing w:before="0" w:after="0"/>
        <w:ind w:left="720" w:hanging="720"/>
        <w:rPr/>
      </w:pPr>
      <w:bookmarkStart w:id="169" w:name="_ENREF_17"/>
      <w:r>
        <w:rPr/>
        <w:t xml:space="preserve">Enell, L., Hamasaka, Y., Kolodziejczyk, A. &amp; Nassel, D. R. (2007). 'gamma-Aminobutyric acid (GABA) signaling components in Drosophila: immunocytochemical localization of GABA(B) receptors in relation to the GABA(A) receptor subunit RDL and a vesicular GABA transporter', </w:t>
      </w:r>
      <w:r>
        <w:rPr>
          <w:i/>
        </w:rPr>
        <w:t>J Comp Neurol,</w:t>
      </w:r>
      <w:r>
        <w:rPr/>
        <w:t xml:space="preserve"> 505(1), pp. 18-31.</w:t>
      </w:r>
      <w:bookmarkEnd w:id="169"/>
    </w:p>
    <w:p>
      <w:pPr>
        <w:pStyle w:val="EndNoteBibliography"/>
        <w:spacing w:before="0" w:after="0"/>
        <w:ind w:left="720" w:hanging="720"/>
        <w:rPr/>
      </w:pPr>
      <w:bookmarkStart w:id="170" w:name="_ENREF_18"/>
      <w:r>
        <w:rPr/>
        <w:t xml:space="preserve">Galanopoulou, A. S. (2008). 'GABA(A) receptors in normal development and seizures: friends or foes?', </w:t>
      </w:r>
      <w:r>
        <w:rPr>
          <w:i/>
        </w:rPr>
        <w:t>Curr Neuropharmacol,</w:t>
      </w:r>
      <w:r>
        <w:rPr/>
        <w:t xml:space="preserve"> 6(1), pp. 1-20.</w:t>
      </w:r>
      <w:bookmarkEnd w:id="170"/>
    </w:p>
    <w:p>
      <w:pPr>
        <w:pStyle w:val="EndNoteBibliography"/>
        <w:spacing w:before="0" w:after="0"/>
        <w:ind w:left="720" w:hanging="720"/>
        <w:rPr/>
      </w:pPr>
      <w:bookmarkStart w:id="171" w:name="_ENREF_19"/>
      <w:r>
        <w:rPr/>
        <w:t xml:space="preserve">Gardiner, J. &amp; Marc, J. (2009). 'Disruption of normal cytoskeletal dynamics may play a key role in the pathogenesis of epilepsy', </w:t>
      </w:r>
      <w:r>
        <w:rPr>
          <w:i/>
        </w:rPr>
        <w:t>Neuroscientist</w:t>
      </w:r>
      <w:r>
        <w:rPr/>
        <w:t>.</w:t>
      </w:r>
      <w:bookmarkEnd w:id="171"/>
    </w:p>
    <w:p>
      <w:pPr>
        <w:pStyle w:val="EndNoteBibliography"/>
        <w:spacing w:before="0" w:after="0"/>
        <w:ind w:left="720" w:hanging="720"/>
        <w:rPr/>
      </w:pPr>
      <w:bookmarkStart w:id="172" w:name="_ENREF_20"/>
      <w:r>
        <w:rPr>
          <w:lang w:val="pt-PT"/>
        </w:rPr>
        <w:t xml:space="preserve">Golic, K. G. &amp; Lindquist, S. (1989). </w:t>
      </w:r>
      <w:r>
        <w:rPr/>
        <w:t xml:space="preserve">'The Flp Recombinase of Yeast Catalyzes Site-Specific Recombination in the Drosophila Genome', </w:t>
      </w:r>
      <w:r>
        <w:rPr>
          <w:i/>
        </w:rPr>
        <w:t>Cell,</w:t>
      </w:r>
      <w:r>
        <w:rPr/>
        <w:t xml:space="preserve"> 59(3), pp. 499-509.</w:t>
      </w:r>
      <w:bookmarkEnd w:id="172"/>
    </w:p>
    <w:p>
      <w:pPr>
        <w:pStyle w:val="EndNoteBibliography"/>
        <w:spacing w:before="0" w:after="0"/>
        <w:ind w:left="720" w:hanging="720"/>
        <w:rPr/>
      </w:pPr>
      <w:bookmarkStart w:id="173" w:name="_ENREF_21"/>
      <w:r>
        <w:rPr/>
        <w:t xml:space="preserve">Greenfield, L. J. (2013). 'Molecular mechanisms of antiseizure drug activity at GABA(A) receptors', </w:t>
      </w:r>
      <w:r>
        <w:rPr>
          <w:i/>
        </w:rPr>
        <w:t>Seizure-European Journal of Epilepsy,</w:t>
      </w:r>
      <w:r>
        <w:rPr/>
        <w:t xml:space="preserve"> 22(8), pp. 589-600.</w:t>
      </w:r>
      <w:bookmarkEnd w:id="173"/>
    </w:p>
    <w:p>
      <w:pPr>
        <w:pStyle w:val="EndNoteBibliography"/>
        <w:spacing w:before="0" w:after="0"/>
        <w:ind w:left="720" w:hanging="720"/>
        <w:rPr/>
      </w:pPr>
      <w:bookmarkStart w:id="174" w:name="_ENREF_22"/>
      <w:r>
        <w:rPr/>
        <w:t xml:space="preserve">Gunawardena, S. &amp; Goldstein, L. S. (2001). 'Disruption of axonal transport and neuronal viability by amyloid precursor protein mutations in Drosophila', </w:t>
      </w:r>
      <w:r>
        <w:rPr>
          <w:i/>
        </w:rPr>
        <w:t>Neuron,</w:t>
      </w:r>
      <w:r>
        <w:rPr/>
        <w:t xml:space="preserve"> 32(3), pp. 389-401.</w:t>
      </w:r>
      <w:bookmarkEnd w:id="174"/>
    </w:p>
    <w:p>
      <w:pPr>
        <w:pStyle w:val="EndNoteBibliography"/>
        <w:spacing w:before="0" w:after="0"/>
        <w:ind w:left="720" w:hanging="720"/>
        <w:rPr/>
      </w:pPr>
      <w:bookmarkStart w:id="175" w:name="_ENREF_23"/>
      <w:r>
        <w:rPr>
          <w:lang w:val="fr-FR"/>
        </w:rPr>
        <w:t xml:space="preserve">Hahn, I., Ronshaugen, M., Sánchez-Soriano, N. &amp; Prokop, A. (2016). </w:t>
      </w:r>
      <w:r>
        <w:rPr/>
        <w:t xml:space="preserve">'Functional and genetic analysis of spectraplakins in </w:t>
      </w:r>
      <w:r>
        <w:rPr>
          <w:i/>
        </w:rPr>
        <w:t>Drosophila</w:t>
      </w:r>
      <w:r>
        <w:rPr/>
        <w:t xml:space="preserve">', </w:t>
      </w:r>
      <w:r>
        <w:rPr>
          <w:i/>
        </w:rPr>
        <w:t>Methods Enzymol,</w:t>
      </w:r>
      <w:r>
        <w:rPr/>
        <w:t xml:space="preserve"> 569, pp. 373-405.</w:t>
      </w:r>
      <w:bookmarkEnd w:id="175"/>
    </w:p>
    <w:p>
      <w:pPr>
        <w:pStyle w:val="EndNoteBibliography"/>
        <w:spacing w:before="0" w:after="0"/>
        <w:ind w:left="720" w:hanging="720"/>
        <w:rPr/>
      </w:pPr>
      <w:bookmarkStart w:id="176" w:name="_ENREF_24"/>
      <w:r>
        <w:rPr/>
        <w:t xml:space="preserve">Hahn, I., Voelzmann, A., Liew, Y.-T., Costa-Gomes, B. &amp; Prokop, A. (2019). 'The model of local axon homeostasis - explaining the role and regulation of microtubule bundles in axon maintenance and pathology ', </w:t>
      </w:r>
      <w:r>
        <w:rPr>
          <w:i/>
        </w:rPr>
        <w:t>bioRxiv</w:t>
      </w:r>
      <w:r>
        <w:rPr/>
        <w:t xml:space="preserve">, p. 10.1101/577320 </w:t>
      </w:r>
      <w:bookmarkEnd w:id="176"/>
    </w:p>
    <w:p>
      <w:pPr>
        <w:pStyle w:val="EndNoteBibliography"/>
        <w:spacing w:before="0" w:after="0"/>
        <w:ind w:left="720" w:hanging="720"/>
        <w:rPr/>
      </w:pPr>
      <w:bookmarkStart w:id="177" w:name="_ENREF_25"/>
      <w:r>
        <w:rPr>
          <w:lang w:val="fr-FR"/>
        </w:rPr>
        <w:t xml:space="preserve">Halfon, M. S., Gisselbrecht, S., Lu, J., Estrada, B., Keshishian, H. &amp; Michelson, A. M. (2002). </w:t>
      </w:r>
      <w:r>
        <w:rPr/>
        <w:t xml:space="preserve">'New fluorescent protein reporters for use with the Drosophila Gal4 expression system and for vital detection of balancer chromosomes', </w:t>
      </w:r>
      <w:r>
        <w:rPr>
          <w:i/>
        </w:rPr>
        <w:t>Genesis,</w:t>
      </w:r>
      <w:r>
        <w:rPr/>
        <w:t xml:space="preserve"> 34(1-2), pp. 135-8.</w:t>
      </w:r>
      <w:bookmarkEnd w:id="177"/>
    </w:p>
    <w:p>
      <w:pPr>
        <w:pStyle w:val="EndNoteBibliography"/>
        <w:spacing w:before="0" w:after="0"/>
        <w:ind w:left="720" w:hanging="720"/>
        <w:rPr/>
      </w:pPr>
      <w:bookmarkStart w:id="178" w:name="_ENREF_26"/>
      <w:r>
        <w:rPr/>
        <w:t xml:space="preserve">Hernandez, T. D. (1997). 'Preventing post-traumatic epilepsy after brain injury: weighing the costs and benefits of anticonvulsant prophylaxis', </w:t>
      </w:r>
      <w:r>
        <w:rPr>
          <w:i/>
        </w:rPr>
        <w:t>Trends Pharmacol Sci,</w:t>
      </w:r>
      <w:r>
        <w:rPr/>
        <w:t xml:space="preserve"> 18(2), pp. 59-62.</w:t>
      </w:r>
      <w:bookmarkEnd w:id="178"/>
    </w:p>
    <w:p>
      <w:pPr>
        <w:pStyle w:val="EndNoteBibliography"/>
        <w:spacing w:before="0" w:after="0"/>
        <w:ind w:left="720" w:hanging="720"/>
        <w:rPr/>
      </w:pPr>
      <w:bookmarkStart w:id="179" w:name="_ENREF_27"/>
      <w:r>
        <w:rPr/>
        <w:t xml:space="preserve">Heron, S. E., Scheffer, I. E., Berkovic, S. F., Dibbens, L. M. &amp; Mulley, J. C. (2007). 'Channelopathies in idiopathic epilepsy', </w:t>
      </w:r>
      <w:r>
        <w:rPr>
          <w:i/>
        </w:rPr>
        <w:t>Neurotherapeutics,</w:t>
      </w:r>
      <w:r>
        <w:rPr/>
        <w:t xml:space="preserve"> 4(2), pp. 295-304.</w:t>
      </w:r>
      <w:bookmarkEnd w:id="179"/>
    </w:p>
    <w:p>
      <w:pPr>
        <w:pStyle w:val="EndNoteBibliography"/>
        <w:spacing w:before="0" w:after="0"/>
        <w:ind w:left="720" w:hanging="720"/>
        <w:rPr/>
      </w:pPr>
      <w:bookmarkStart w:id="180" w:name="_ENREF_28"/>
      <w:r>
        <w:rPr/>
        <w:t xml:space="preserve">Heurteaux, C., Guy, N., Laigle, C., Blondeau, N., Duprat, F., Mazzuca, M., Lang-Lazdunski, L., Widmann, C., Zanzouri, M., Romey, G. &amp; Lazdunski, M. (2004). 'TREK-1, a K+ channel involved in neuroprotection and general anesthesia', </w:t>
      </w:r>
      <w:r>
        <w:rPr>
          <w:i/>
        </w:rPr>
        <w:t>EMBO J,</w:t>
      </w:r>
      <w:r>
        <w:rPr/>
        <w:t xml:space="preserve"> 23(13), pp. 2684-95.</w:t>
      </w:r>
      <w:bookmarkEnd w:id="180"/>
    </w:p>
    <w:p>
      <w:pPr>
        <w:pStyle w:val="EndNoteBibliography"/>
        <w:spacing w:before="0" w:after="0"/>
        <w:ind w:left="720" w:hanging="720"/>
        <w:rPr/>
      </w:pPr>
      <w:bookmarkStart w:id="181" w:name="_ENREF_29"/>
      <w:r>
        <w:rPr/>
        <w:t xml:space="preserve">Holth, J. K., Bomben, V. C., Reed, J. G., Inoue, T., Younkin, L., Younkin, S. G., Pautler, R. G., Botas, J. &amp; Noebels, J. L. (2013). 'Tau loss attenuates neuronal network hyperexcitability in mouse and </w:t>
      </w:r>
      <w:r>
        <w:rPr>
          <w:i/>
        </w:rPr>
        <w:t xml:space="preserve">Drosophila </w:t>
      </w:r>
      <w:r>
        <w:rPr/>
        <w:t xml:space="preserve">genetic models of epilepsy', </w:t>
      </w:r>
      <w:r>
        <w:rPr>
          <w:i/>
        </w:rPr>
        <w:t>J Neurosci,</w:t>
      </w:r>
      <w:r>
        <w:rPr/>
        <w:t xml:space="preserve"> 33(4), pp. 1651-9.</w:t>
      </w:r>
      <w:bookmarkEnd w:id="181"/>
    </w:p>
    <w:p>
      <w:pPr>
        <w:pStyle w:val="EndNoteBibliography"/>
        <w:spacing w:before="0" w:after="0"/>
        <w:ind w:left="720" w:hanging="720"/>
        <w:rPr/>
      </w:pPr>
      <w:bookmarkStart w:id="182" w:name="_ENREF_30"/>
      <w:r>
        <w:rPr/>
        <w:t xml:space="preserve">Howlett, I. C., Rusan, Z. M., Parker, L. &amp; Tanouye, M. A. (2013). 'Drosophila as a Model for Intractable Epilepsy: Gilgamesh Suppresses Seizures in para(bss1) Heterozygote Flies', </w:t>
      </w:r>
      <w:r>
        <w:rPr>
          <w:i/>
        </w:rPr>
        <w:t>G3-Genes Genomes Genetics,</w:t>
      </w:r>
      <w:r>
        <w:rPr/>
        <w:t xml:space="preserve"> 3(8), pp. 1399-1407.</w:t>
      </w:r>
      <w:bookmarkEnd w:id="182"/>
    </w:p>
    <w:p>
      <w:pPr>
        <w:pStyle w:val="EndNoteBibliography"/>
        <w:spacing w:before="0" w:after="0"/>
        <w:ind w:left="720" w:hanging="720"/>
        <w:rPr/>
      </w:pPr>
      <w:bookmarkStart w:id="183" w:name="_ENREF_31"/>
      <w:r>
        <w:rPr/>
        <w:t xml:space="preserve">Hurd, D. D., Stern, M. &amp; Saxton, W. M. (1996). 'Mutation of the axonal transport motor kinesin enhances </w:t>
      </w:r>
      <w:r>
        <w:rPr>
          <w:i/>
        </w:rPr>
        <w:t>paralytic</w:t>
      </w:r>
      <w:r>
        <w:rPr/>
        <w:t xml:space="preserve"> and suppresses </w:t>
      </w:r>
      <w:r>
        <w:rPr>
          <w:i/>
        </w:rPr>
        <w:t xml:space="preserve">Shaker </w:t>
      </w:r>
      <w:r>
        <w:rPr/>
        <w:t xml:space="preserve">in </w:t>
      </w:r>
      <w:r>
        <w:rPr>
          <w:i/>
        </w:rPr>
        <w:t>Drosophila</w:t>
      </w:r>
      <w:r>
        <w:rPr/>
        <w:t xml:space="preserve">', </w:t>
      </w:r>
      <w:r>
        <w:rPr>
          <w:i/>
        </w:rPr>
        <w:t>Genetics,</w:t>
      </w:r>
      <w:r>
        <w:rPr/>
        <w:t xml:space="preserve"> 142(1), pp. 195-204.</w:t>
      </w:r>
      <w:bookmarkEnd w:id="183"/>
    </w:p>
    <w:p>
      <w:pPr>
        <w:pStyle w:val="EndNoteBibliography"/>
        <w:spacing w:before="0" w:after="0"/>
        <w:ind w:left="720" w:hanging="720"/>
        <w:rPr/>
      </w:pPr>
      <w:bookmarkStart w:id="184" w:name="_ENREF_32"/>
      <w:r>
        <w:rPr/>
        <w:t xml:space="preserve">Iqbal, K., Alonso, A. D. C., Chen, S., Chohan, M. O., El-Akkad, E., Gong, C. X., Khatoon, S., Li, B., Liu, F., Rahman, A., Tanimukai, H. &amp; Grundke-Iqbal, I. (2005). 'Tau pathology in Alzheimer disease and other tauopathies', </w:t>
      </w:r>
      <w:r>
        <w:rPr>
          <w:i/>
        </w:rPr>
        <w:t>Biochimica Et Biophysica Acta-Molecular Basis of Disease,</w:t>
      </w:r>
      <w:r>
        <w:rPr/>
        <w:t xml:space="preserve"> 1739(2-3), pp. 198-210.</w:t>
      </w:r>
      <w:bookmarkEnd w:id="184"/>
    </w:p>
    <w:p>
      <w:pPr>
        <w:pStyle w:val="EndNoteBibliography"/>
        <w:spacing w:before="0" w:after="0"/>
        <w:ind w:left="720" w:hanging="720"/>
        <w:rPr/>
      </w:pPr>
      <w:bookmarkStart w:id="185" w:name="_ENREF_33"/>
      <w:r>
        <w:rPr>
          <w:lang w:val="fr-FR"/>
        </w:rPr>
        <w:t xml:space="preserve">Jin, X., Sun, X. &amp; Song, Q. (2005). </w:t>
      </w:r>
      <w:r>
        <w:rPr/>
        <w:t xml:space="preserve">'Woc gene mutation causes 20E-dependent alpha-tubulin detyrosination in </w:t>
      </w:r>
      <w:r>
        <w:rPr>
          <w:i/>
        </w:rPr>
        <w:t>Drosophila melanogaster</w:t>
      </w:r>
      <w:r>
        <w:rPr/>
        <w:t xml:space="preserve">', </w:t>
      </w:r>
      <w:r>
        <w:rPr>
          <w:i/>
        </w:rPr>
        <w:t>Arch Insect Biochem Physiol,</w:t>
      </w:r>
      <w:r>
        <w:rPr/>
        <w:t xml:space="preserve"> 60(3), pp. 116-29.</w:t>
      </w:r>
      <w:bookmarkEnd w:id="185"/>
    </w:p>
    <w:p>
      <w:pPr>
        <w:pStyle w:val="EndNoteBibliography"/>
        <w:spacing w:before="0" w:after="0"/>
        <w:ind w:left="720" w:hanging="720"/>
        <w:rPr/>
      </w:pPr>
      <w:bookmarkStart w:id="186" w:name="_ENREF_34"/>
      <w:r>
        <w:rPr/>
        <w:t xml:space="preserve">Komor, A. C., Badran, A. H. &amp; Liu, D. R. (2017). 'CRISPR-Based Technologies for the Manipulation of Eukaryotic Genomes (vol 168, pg 20, 2017)', </w:t>
      </w:r>
      <w:r>
        <w:rPr>
          <w:i/>
        </w:rPr>
        <w:t>Cell,</w:t>
      </w:r>
      <w:r>
        <w:rPr/>
        <w:t xml:space="preserve"> 169(3), pp. 559-559.</w:t>
      </w:r>
      <w:bookmarkEnd w:id="186"/>
    </w:p>
    <w:p>
      <w:pPr>
        <w:pStyle w:val="EndNoteBibliography"/>
        <w:spacing w:before="0" w:after="0"/>
        <w:ind w:left="720" w:hanging="720"/>
        <w:rPr/>
      </w:pPr>
      <w:bookmarkStart w:id="187" w:name="_ENREF_35"/>
      <w:r>
        <w:rPr/>
        <w:t xml:space="preserve">Kristiansen, L. V. &amp; Hortsch, M. (2010). 'Fasciclin II: the NCAM ortholog in Drosophila melanogaster', </w:t>
      </w:r>
      <w:r>
        <w:rPr>
          <w:i/>
        </w:rPr>
        <w:t>Adv Exp Med Biol,</w:t>
      </w:r>
      <w:r>
        <w:rPr/>
        <w:t xml:space="preserve"> 663, pp. 387-401.</w:t>
      </w:r>
      <w:bookmarkEnd w:id="187"/>
    </w:p>
    <w:p>
      <w:pPr>
        <w:pStyle w:val="EndNoteBibliography"/>
        <w:spacing w:before="0" w:after="0"/>
        <w:ind w:left="720" w:hanging="720"/>
        <w:rPr/>
      </w:pPr>
      <w:bookmarkStart w:id="188" w:name="_ENREF_36"/>
      <w:r>
        <w:rPr>
          <w:lang w:val="pt-PT"/>
        </w:rPr>
        <w:t xml:space="preserve">Kroll, J. R., Saras, A. &amp; Tanouye, M. A. (2015). </w:t>
      </w:r>
      <w:r>
        <w:rPr/>
        <w:t>'</w:t>
      </w:r>
      <w:r>
        <w:rPr>
          <w:i/>
        </w:rPr>
        <w:t xml:space="preserve">Drosophila </w:t>
      </w:r>
      <w:r>
        <w:rPr/>
        <w:t xml:space="preserve">sodium channel mutations: Contributions to seizure-susceptibility', </w:t>
      </w:r>
      <w:r>
        <w:rPr>
          <w:i/>
        </w:rPr>
        <w:t>Exp Neurol,</w:t>
      </w:r>
      <w:r>
        <w:rPr/>
        <w:t xml:space="preserve"> 274(Pt A), pp. 80-7.</w:t>
      </w:r>
      <w:bookmarkEnd w:id="188"/>
    </w:p>
    <w:p>
      <w:pPr>
        <w:pStyle w:val="EndNoteBibliography"/>
        <w:spacing w:before="0" w:after="0"/>
        <w:ind w:left="720" w:hanging="720"/>
        <w:rPr/>
      </w:pPr>
      <w:bookmarkStart w:id="189" w:name="_ENREF_37"/>
      <w:r>
        <w:rPr/>
        <w:t xml:space="preserve">Kwan, P. &amp; Brodie, M. J. (2000). 'Early identification of refractory epilepsy.', </w:t>
      </w:r>
      <w:r>
        <w:rPr>
          <w:i/>
        </w:rPr>
        <w:t>New England Journal of Medicine,</w:t>
      </w:r>
      <w:r>
        <w:rPr/>
        <w:t xml:space="preserve"> 342(5), pp. 314-319.</w:t>
      </w:r>
      <w:bookmarkEnd w:id="189"/>
    </w:p>
    <w:p>
      <w:pPr>
        <w:pStyle w:val="EndNoteBibliography"/>
        <w:spacing w:before="0" w:after="0"/>
        <w:ind w:left="720" w:hanging="720"/>
        <w:rPr/>
      </w:pPr>
      <w:bookmarkStart w:id="190" w:name="_ENREF_38"/>
      <w:r>
        <w:rPr/>
        <w:t xml:space="preserve">Labonte, D., Thies, E. &amp; Kneussel, M. (2014). 'The kinesin KIF21B participates in the cell surface delivery of gamma2 subunit-containing GABAA receptors', </w:t>
      </w:r>
      <w:r>
        <w:rPr>
          <w:i/>
        </w:rPr>
        <w:t>Eur J Cell Biol,</w:t>
      </w:r>
      <w:r>
        <w:rPr/>
        <w:t xml:space="preserve"> 93(8-9), pp. 338-46.</w:t>
      </w:r>
      <w:bookmarkEnd w:id="190"/>
    </w:p>
    <w:p>
      <w:pPr>
        <w:pStyle w:val="EndNoteBibliography"/>
        <w:spacing w:before="0" w:after="0"/>
        <w:ind w:left="720" w:hanging="720"/>
        <w:rPr/>
      </w:pPr>
      <w:bookmarkStart w:id="191" w:name="_ENREF_39"/>
      <w:r>
        <w:rPr>
          <w:lang w:val="fr-FR"/>
        </w:rPr>
        <w:t xml:space="preserve">Landgraf, M., Sanchez-Soriano, N., Technau, G. M., Urban, J. &amp; Prokop, A. (2003). </w:t>
      </w:r>
      <w:r>
        <w:rPr/>
        <w:t xml:space="preserve">'Charting the Drosophila neuropile: a strategy for the standardised characterisation of genetically amenable neurites', </w:t>
      </w:r>
      <w:r>
        <w:rPr>
          <w:i/>
        </w:rPr>
        <w:t>Dev Biol,</w:t>
      </w:r>
      <w:r>
        <w:rPr/>
        <w:t xml:space="preserve"> 260(1), pp. 207-25.</w:t>
      </w:r>
      <w:bookmarkEnd w:id="191"/>
    </w:p>
    <w:p>
      <w:pPr>
        <w:pStyle w:val="EndNoteBibliography"/>
        <w:spacing w:before="0" w:after="0"/>
        <w:ind w:left="720" w:hanging="720"/>
        <w:rPr/>
      </w:pPr>
      <w:bookmarkStart w:id="192" w:name="_ENREF_40"/>
      <w:r>
        <w:rPr/>
        <w:t xml:space="preserve">Leal, S. M. &amp; Neckameyer, W. S. (2002). 'Pharmacological evidence for GABAergic regulation of specific behaviors in </w:t>
      </w:r>
      <w:r>
        <w:rPr>
          <w:i/>
        </w:rPr>
        <w:t>Drosophila melanogaster</w:t>
      </w:r>
      <w:r>
        <w:rPr/>
        <w:t xml:space="preserve">', </w:t>
      </w:r>
      <w:r>
        <w:rPr>
          <w:i/>
        </w:rPr>
        <w:t>J. Neurobiol.,</w:t>
      </w:r>
      <w:r>
        <w:rPr/>
        <w:t xml:space="preserve"> 50(3), pp. 245-261.</w:t>
      </w:r>
      <w:bookmarkEnd w:id="192"/>
    </w:p>
    <w:p>
      <w:pPr>
        <w:pStyle w:val="EndNoteBibliography"/>
        <w:spacing w:before="0" w:after="0"/>
        <w:ind w:left="720" w:hanging="720"/>
        <w:rPr/>
      </w:pPr>
      <w:bookmarkStart w:id="193" w:name="_ENREF_41"/>
      <w:r>
        <w:rPr/>
        <w:t xml:space="preserve">Loscher, W. (2002). 'Current status and future directions in the pharmacotherapy of epilepsy', </w:t>
      </w:r>
      <w:r>
        <w:rPr>
          <w:i/>
        </w:rPr>
        <w:t>Trends Pharmacol Sci,</w:t>
      </w:r>
      <w:r>
        <w:rPr/>
        <w:t xml:space="preserve"> 23(3), pp. 113-8.</w:t>
      </w:r>
      <w:bookmarkEnd w:id="193"/>
    </w:p>
    <w:p>
      <w:pPr>
        <w:pStyle w:val="EndNoteBibliography"/>
        <w:spacing w:before="0" w:after="0"/>
        <w:ind w:left="720" w:hanging="720"/>
        <w:rPr/>
      </w:pPr>
      <w:bookmarkStart w:id="194" w:name="_ENREF_42"/>
      <w:r>
        <w:rPr/>
        <w:t xml:space="preserve">Luo, L., Liao, Y. J., Jan, L. Y. &amp; Jan, Y. N. (1994). 'Distinct morphogenetic functions of similar small GTPases: Drosophila Drac1 is involved in axonal outgrowth and myoblast fusion', </w:t>
      </w:r>
      <w:r>
        <w:rPr>
          <w:i/>
        </w:rPr>
        <w:t>Genes Dev,</w:t>
      </w:r>
      <w:r>
        <w:rPr/>
        <w:t xml:space="preserve"> 8(15), pp. 1787-802.</w:t>
      </w:r>
      <w:bookmarkEnd w:id="194"/>
    </w:p>
    <w:p>
      <w:pPr>
        <w:pStyle w:val="EndNoteBibliography"/>
        <w:spacing w:before="0" w:after="0"/>
        <w:ind w:left="720" w:hanging="720"/>
        <w:rPr/>
      </w:pPr>
      <w:bookmarkStart w:id="195" w:name="_ENREF_43"/>
      <w:r>
        <w:rPr/>
        <w:t xml:space="preserve">MacDonald, S. &amp; Rogers, R. P. (2017). 'Rdl Expression Impacts Circadian Rhythm and Locomotion in Drosophila melanogaster', </w:t>
      </w:r>
      <w:r>
        <w:rPr>
          <w:i/>
        </w:rPr>
        <w:t>Faseb Journal,</w:t>
      </w:r>
      <w:r>
        <w:rPr/>
        <w:t xml:space="preserve"> 31.</w:t>
      </w:r>
      <w:bookmarkEnd w:id="195"/>
    </w:p>
    <w:p>
      <w:pPr>
        <w:pStyle w:val="EndNoteBibliography"/>
        <w:spacing w:before="0" w:after="0"/>
        <w:ind w:left="720" w:hanging="720"/>
        <w:rPr/>
      </w:pPr>
      <w:bookmarkStart w:id="196" w:name="_ENREF_44"/>
      <w:r>
        <w:rPr/>
        <w:t xml:space="preserve">Mani, R., Onge, R. P. S., Hartman, J. L., Giaever, G. &amp; Roth, F. P. (2008). 'Defining genetic interaction', </w:t>
      </w:r>
      <w:r>
        <w:rPr>
          <w:i/>
        </w:rPr>
        <w:t>Proceedings of the National Academy of Sciences of the United States of America,</w:t>
      </w:r>
      <w:r>
        <w:rPr/>
        <w:t xml:space="preserve"> 105(9), pp. 3461-3466.</w:t>
      </w:r>
      <w:bookmarkEnd w:id="196"/>
    </w:p>
    <w:p>
      <w:pPr>
        <w:pStyle w:val="EndNoteBibliography"/>
        <w:spacing w:before="0" w:after="0"/>
        <w:ind w:left="720" w:hanging="720"/>
        <w:rPr/>
      </w:pPr>
      <w:bookmarkStart w:id="197" w:name="_ENREF_45"/>
      <w:r>
        <w:rPr/>
        <w:t xml:space="preserve">Marley, R. &amp; Baines, R. A. (2011). 'Increased persistent Na+ current contributes to seizure in the slamdance bang-sensitive Drosophila mutant', </w:t>
      </w:r>
      <w:r>
        <w:rPr>
          <w:i/>
        </w:rPr>
        <w:t>J Neurophysiol,</w:t>
      </w:r>
      <w:r>
        <w:rPr/>
        <w:t xml:space="preserve"> 106(1), pp. 18-29.</w:t>
      </w:r>
      <w:bookmarkEnd w:id="197"/>
    </w:p>
    <w:p>
      <w:pPr>
        <w:pStyle w:val="EndNoteBibliography"/>
        <w:spacing w:before="0" w:after="0"/>
        <w:ind w:left="720" w:hanging="720"/>
        <w:rPr/>
      </w:pPr>
      <w:bookmarkStart w:id="198" w:name="_ENREF_46"/>
      <w:r>
        <w:rPr>
          <w:lang w:val="fr-FR"/>
        </w:rPr>
        <w:t xml:space="preserve">McGonigle, I. &amp; Lummis, S. C. (2009). </w:t>
      </w:r>
      <w:r>
        <w:rPr/>
        <w:t xml:space="preserve">'RDL receptors', </w:t>
      </w:r>
      <w:r>
        <w:rPr>
          <w:i/>
        </w:rPr>
        <w:t>Biochem Soc Trans,</w:t>
      </w:r>
      <w:r>
        <w:rPr/>
        <w:t xml:space="preserve"> 37(Pt 6), pp. 1404-6.</w:t>
      </w:r>
      <w:bookmarkEnd w:id="198"/>
    </w:p>
    <w:p>
      <w:pPr>
        <w:pStyle w:val="EndNoteBibliography"/>
        <w:spacing w:before="0" w:after="0"/>
        <w:ind w:left="720" w:hanging="720"/>
        <w:rPr/>
      </w:pPr>
      <w:bookmarkStart w:id="199" w:name="_ENREF_47"/>
      <w:r>
        <w:rPr>
          <w:lang w:val="pt-PT"/>
        </w:rPr>
        <w:t xml:space="preserve">Miranda, D. d. C. &amp; Brucki, S. M. D. (2014). </w:t>
      </w:r>
      <w:r>
        <w:rPr/>
        <w:t xml:space="preserve">'Epilepsy in patients with Alzheimer's disease: A systematic review', </w:t>
      </w:r>
      <w:r>
        <w:rPr>
          <w:i/>
        </w:rPr>
        <w:t>Dementia &amp; Neuropsychologia,</w:t>
      </w:r>
      <w:r>
        <w:rPr/>
        <w:t xml:space="preserve"> 8(1), pp. 66-71.</w:t>
      </w:r>
      <w:bookmarkEnd w:id="199"/>
    </w:p>
    <w:p>
      <w:pPr>
        <w:pStyle w:val="EndNoteBibliography"/>
        <w:spacing w:before="0" w:after="0"/>
        <w:ind w:left="720" w:hanging="720"/>
        <w:rPr/>
      </w:pPr>
      <w:bookmarkStart w:id="200" w:name="_ENREF_48"/>
      <w:r>
        <w:rPr/>
        <w:t xml:space="preserve">Mudher, A. &amp; Newman, T. A. (eds.) (2007). </w:t>
      </w:r>
      <w:r>
        <w:rPr>
          <w:i/>
        </w:rPr>
        <w:t xml:space="preserve">Drosophila: a toolbox for the study of neurodegenerative disease, </w:t>
      </w:r>
      <w:r>
        <w:rPr/>
        <w:t>New York: Taylor &amp; Francis.</w:t>
      </w:r>
      <w:bookmarkEnd w:id="200"/>
    </w:p>
    <w:p>
      <w:pPr>
        <w:pStyle w:val="EndNoteBibliography"/>
        <w:spacing w:before="0" w:after="0"/>
        <w:ind w:left="720" w:hanging="720"/>
        <w:rPr/>
      </w:pPr>
      <w:bookmarkStart w:id="201" w:name="_ENREF_49"/>
      <w:r>
        <w:rPr/>
        <w:t xml:space="preserve">Nabors, L. B., Surboeck, B. &amp; Grisold, W. (2016). 'Complications from pharmacotherapy', </w:t>
      </w:r>
      <w:r>
        <w:rPr>
          <w:i/>
        </w:rPr>
        <w:t>Handb Clin Neurol,</w:t>
      </w:r>
      <w:r>
        <w:rPr/>
        <w:t xml:space="preserve"> 134, pp. 235-50.</w:t>
      </w:r>
      <w:bookmarkEnd w:id="201"/>
    </w:p>
    <w:p>
      <w:pPr>
        <w:pStyle w:val="EndNoteBibliography"/>
        <w:spacing w:before="0" w:after="0"/>
        <w:ind w:left="720" w:hanging="720"/>
        <w:rPr/>
      </w:pPr>
      <w:bookmarkStart w:id="202" w:name="_ENREF_50"/>
      <w:r>
        <w:rPr/>
        <w:t>Nakajima, K., Yin, X., Takei, Y., Seog, D.-H., Homma, N. &amp; Hirokawa, N. (2012). 'Molecular motor KIF5A is essential for GABA</w:t>
      </w:r>
      <w:r>
        <w:rPr>
          <w:vertAlign w:val="subscript"/>
        </w:rPr>
        <w:t>A</w:t>
      </w:r>
      <w:r>
        <w:rPr/>
        <w:t xml:space="preserve"> receptor transport, and KIF5A deletion causes epilepsy', </w:t>
      </w:r>
      <w:r>
        <w:rPr>
          <w:i/>
        </w:rPr>
        <w:t>Neuron,</w:t>
      </w:r>
      <w:r>
        <w:rPr/>
        <w:t xml:space="preserve"> 76(5), pp. 945-961.</w:t>
      </w:r>
      <w:bookmarkEnd w:id="202"/>
    </w:p>
    <w:p>
      <w:pPr>
        <w:pStyle w:val="EndNoteBibliography"/>
        <w:spacing w:before="0" w:after="0"/>
        <w:ind w:left="720" w:hanging="720"/>
        <w:rPr/>
      </w:pPr>
      <w:bookmarkStart w:id="203" w:name="_ENREF_51"/>
      <w:r>
        <w:rPr/>
        <w:t xml:space="preserve">Nakajima, K., Yin, X. L., Takei, Y., Seog, D. H., Homma, N. &amp; Hirokawa, N. (2012). 'Molecular Motor KIF5A Is Essential for GABA(A) Receptor Transport, and KIF5A Deletion Causes Epilepsy', </w:t>
      </w:r>
      <w:r>
        <w:rPr>
          <w:i/>
        </w:rPr>
        <w:t>Neuron,</w:t>
      </w:r>
      <w:r>
        <w:rPr/>
        <w:t xml:space="preserve"> 76(5), pp. 945-961.</w:t>
      </w:r>
      <w:bookmarkEnd w:id="203"/>
    </w:p>
    <w:p>
      <w:pPr>
        <w:pStyle w:val="EndNoteBibliography"/>
        <w:spacing w:before="0" w:after="0"/>
        <w:ind w:left="720" w:hanging="720"/>
        <w:rPr/>
      </w:pPr>
      <w:bookmarkStart w:id="204" w:name="_ENREF_52"/>
      <w:r>
        <w:rPr/>
        <w:t xml:space="preserve">Niwa, S., Takahashi, H. &amp; Hirokawa, N. (2013). 'beta-Tubulin mutations that cause severe neuropathies disrupt axonal transport', </w:t>
      </w:r>
      <w:r>
        <w:rPr>
          <w:i/>
        </w:rPr>
        <w:t>Embo Journal,</w:t>
      </w:r>
      <w:r>
        <w:rPr/>
        <w:t xml:space="preserve"> 32(10), pp. 1352-1364.</w:t>
      </w:r>
      <w:bookmarkEnd w:id="204"/>
    </w:p>
    <w:p>
      <w:pPr>
        <w:pStyle w:val="EndNoteBibliography"/>
        <w:spacing w:before="0" w:after="0"/>
        <w:ind w:left="720" w:hanging="720"/>
        <w:rPr/>
      </w:pPr>
      <w:bookmarkStart w:id="205" w:name="_ENREF_53"/>
      <w:r>
        <w:rPr/>
        <w:t xml:space="preserve">Pack-Chung, E., Kurshan, P. T., Dickman, D. K. &amp; Schwarz, T. L. (2007). 'A Drosophila kinesin required for synaptic bouton formation and synaptic vesicle transport', </w:t>
      </w:r>
      <w:r>
        <w:rPr>
          <w:i/>
        </w:rPr>
        <w:t>Nat Neurosci,</w:t>
      </w:r>
      <w:r>
        <w:rPr/>
        <w:t xml:space="preserve"> 10(8), pp. 980-9.</w:t>
      </w:r>
      <w:bookmarkEnd w:id="205"/>
    </w:p>
    <w:p>
      <w:pPr>
        <w:pStyle w:val="EndNoteBibliography"/>
        <w:spacing w:before="0" w:after="0"/>
        <w:ind w:left="720" w:hanging="720"/>
        <w:rPr/>
      </w:pPr>
      <w:bookmarkStart w:id="206" w:name="_ENREF_54"/>
      <w:r>
        <w:rPr/>
        <w:t xml:space="preserve">Pandis, D. &amp; Scarmeas, N. (2012). 'Seizures in Alzheimer disease: clinical and epidemiological data', </w:t>
      </w:r>
      <w:r>
        <w:rPr>
          <w:i/>
        </w:rPr>
        <w:t>Epilepsy currents,</w:t>
      </w:r>
      <w:r>
        <w:rPr/>
        <w:t xml:space="preserve"> 12(5), pp. 184-187.</w:t>
      </w:r>
      <w:bookmarkEnd w:id="206"/>
    </w:p>
    <w:p>
      <w:pPr>
        <w:pStyle w:val="EndNoteBibliography"/>
        <w:spacing w:before="0" w:after="0"/>
        <w:ind w:left="720" w:hanging="720"/>
        <w:rPr/>
      </w:pPr>
      <w:bookmarkStart w:id="207" w:name="_ENREF_55"/>
      <w:r>
        <w:rPr>
          <w:lang w:val="fr-FR"/>
        </w:rPr>
        <w:t xml:space="preserve">Parker, L., Padilla, M., Du, Y. Z., Dong, K. &amp; Tanouye, M. A. (2011). </w:t>
      </w:r>
      <w:r>
        <w:rPr/>
        <w:t xml:space="preserve">'Drosophila as a Model for Epilepsy: bss Is a Gain-of-Function Mutation in the Para Sodium Channel Gene That Leads to Seizures', </w:t>
      </w:r>
      <w:r>
        <w:rPr>
          <w:i/>
        </w:rPr>
        <w:t>Genetics,</w:t>
      </w:r>
      <w:r>
        <w:rPr/>
        <w:t xml:space="preserve"> 187(2), pp. 523-U221.</w:t>
      </w:r>
      <w:bookmarkEnd w:id="207"/>
    </w:p>
    <w:p>
      <w:pPr>
        <w:pStyle w:val="EndNoteBibliography"/>
        <w:spacing w:before="0" w:after="0"/>
        <w:ind w:left="720" w:hanging="720"/>
        <w:rPr/>
      </w:pPr>
      <w:bookmarkStart w:id="208" w:name="_ENREF_56"/>
      <w:r>
        <w:rPr/>
        <w:t xml:space="preserve">Perucca, E. (2002). 'Pharmacological and therapeutic properties of valproate: a summary after 35 years of clinical experience', </w:t>
      </w:r>
      <w:r>
        <w:rPr>
          <w:i/>
        </w:rPr>
        <w:t>CNS Drugs,</w:t>
      </w:r>
      <w:r>
        <w:rPr/>
        <w:t xml:space="preserve"> 16(10), pp. 695-714.</w:t>
      </w:r>
      <w:bookmarkEnd w:id="208"/>
    </w:p>
    <w:p>
      <w:pPr>
        <w:pStyle w:val="EndNoteBibliography"/>
        <w:spacing w:before="0" w:after="0"/>
        <w:ind w:left="720" w:hanging="720"/>
        <w:rPr/>
      </w:pPr>
      <w:bookmarkStart w:id="209" w:name="_ENREF_57"/>
      <w:r>
        <w:rPr/>
        <w:t xml:space="preserve">Petzold, T. (2018). </w:t>
      </w:r>
      <w:r>
        <w:rPr>
          <w:i/>
        </w:rPr>
        <w:t>Does axonal microtubule unbundling induce seizure-like behaviour in Drosophila and what is the mechanism for this?</w:t>
      </w:r>
      <w:r>
        <w:rPr/>
        <w:t xml:space="preserve"> Final year undergraduate project, The University of Manchester, Manchester</w:t>
      </w:r>
      <w:bookmarkEnd w:id="209"/>
    </w:p>
    <w:p>
      <w:pPr>
        <w:pStyle w:val="EndNoteBibliography"/>
        <w:spacing w:before="0" w:after="0"/>
        <w:ind w:left="720" w:hanging="720"/>
        <w:rPr/>
      </w:pPr>
      <w:bookmarkStart w:id="210" w:name="_ENREF_58"/>
      <w:r>
        <w:rPr/>
        <w:t xml:space="preserve">Prokop, A. (2013). 'The intricate relationship between microtubules and their associated motor proteins during axon growth and maintenance', </w:t>
      </w:r>
      <w:r>
        <w:rPr>
          <w:i/>
        </w:rPr>
        <w:t>Neural Dev,</w:t>
      </w:r>
      <w:r>
        <w:rPr/>
        <w:t xml:space="preserve"> 8, p. 17.</w:t>
      </w:r>
      <w:bookmarkEnd w:id="210"/>
    </w:p>
    <w:p>
      <w:pPr>
        <w:pStyle w:val="EndNoteBibliography"/>
        <w:spacing w:before="0" w:after="0"/>
        <w:ind w:left="720" w:hanging="720"/>
        <w:rPr/>
      </w:pPr>
      <w:bookmarkStart w:id="211" w:name="_ENREF_59"/>
      <w:r>
        <w:rPr/>
        <w:t xml:space="preserve">Prokop, A. (2016). 'Fruit flies in biological research', </w:t>
      </w:r>
      <w:r>
        <w:rPr>
          <w:i/>
        </w:rPr>
        <w:t>Biological Sciences Review,</w:t>
      </w:r>
      <w:r>
        <w:rPr/>
        <w:t xml:space="preserve"> 28(4), pp. 10-14.</w:t>
      </w:r>
      <w:bookmarkEnd w:id="211"/>
    </w:p>
    <w:p>
      <w:pPr>
        <w:pStyle w:val="EndNoteBibliography"/>
        <w:spacing w:before="0" w:after="0"/>
        <w:ind w:left="720" w:hanging="720"/>
        <w:rPr/>
      </w:pPr>
      <w:bookmarkStart w:id="212" w:name="_ENREF_60"/>
      <w:r>
        <w:rPr/>
        <w:t xml:space="preserve">Prokop, A. (2018). 'Why funding fruit fly research is important for the biomedical sciences', </w:t>
      </w:r>
      <w:r>
        <w:rPr>
          <w:i/>
        </w:rPr>
        <w:t>Open Access Govern,</w:t>
      </w:r>
      <w:r>
        <w:rPr/>
        <w:t xml:space="preserve"> 20, pp. 198-201.</w:t>
      </w:r>
      <w:bookmarkEnd w:id="212"/>
    </w:p>
    <w:p>
      <w:pPr>
        <w:pStyle w:val="EndNoteBibliography"/>
        <w:spacing w:before="0" w:after="0"/>
        <w:ind w:left="720" w:hanging="720"/>
        <w:rPr/>
      </w:pPr>
      <w:bookmarkStart w:id="213" w:name="_ENREF_61"/>
      <w:r>
        <w:rPr>
          <w:lang w:val="fr-FR"/>
        </w:rPr>
        <w:t xml:space="preserve">Prokop, A., Beaven, R., Qu, Y. &amp; Sanchez-Soriano, N. (2013). </w:t>
      </w:r>
      <w:r>
        <w:rPr/>
        <w:t xml:space="preserve">'Using fly genetics to dissect the cytoskeletal machinery of neurons during axonal growth and maintenance', </w:t>
      </w:r>
      <w:r>
        <w:rPr>
          <w:i/>
        </w:rPr>
        <w:t>Journal of Cell Science,</w:t>
      </w:r>
      <w:r>
        <w:rPr/>
        <w:t xml:space="preserve"> 126(11), pp. 2331-2341.</w:t>
      </w:r>
      <w:bookmarkEnd w:id="213"/>
    </w:p>
    <w:p>
      <w:pPr>
        <w:pStyle w:val="EndNoteBibliography"/>
        <w:spacing w:before="0" w:after="0"/>
        <w:ind w:left="720" w:hanging="720"/>
        <w:rPr/>
      </w:pPr>
      <w:bookmarkStart w:id="214" w:name="_ENREF_62"/>
      <w:r>
        <w:rPr>
          <w:lang w:val="fr-FR"/>
        </w:rPr>
        <w:t xml:space="preserve">Prokop, A., Beaven, R., Qu, Y. &amp; Sánchez-Soriano, N. (2013). </w:t>
      </w:r>
      <w:r>
        <w:rPr/>
        <w:t xml:space="preserve">'Using fly genetics to dissect the cytoskeletal machinery of neurons during axonal growth and maintenance', </w:t>
      </w:r>
      <w:r>
        <w:rPr>
          <w:i/>
        </w:rPr>
        <w:t>J. Cell Sci.,</w:t>
      </w:r>
      <w:r>
        <w:rPr/>
        <w:t xml:space="preserve"> 126(11), pp. 2331-41.</w:t>
      </w:r>
      <w:bookmarkEnd w:id="214"/>
    </w:p>
    <w:p>
      <w:pPr>
        <w:pStyle w:val="EndNoteBibliography"/>
        <w:spacing w:before="0" w:after="0"/>
        <w:ind w:left="720" w:hanging="720"/>
        <w:rPr/>
      </w:pPr>
      <w:bookmarkStart w:id="215" w:name="_ENREF_63"/>
      <w:r>
        <w:rPr/>
        <w:t xml:space="preserve">Qu, Y., Hahn, I., Lees, M., Parkin, J., Voelzmann, A., Dorey, K., Rathbone, A., Friel, C., Allan, V., Ramos, O. P., Sanchez-Soriano, N. &amp; Prokop, A. (2018). 'Efa6 regulates axon growth, branching and maintenance by eliminating off-track microtubules at the cortex', </w:t>
      </w:r>
      <w:r>
        <w:rPr>
          <w:i/>
        </w:rPr>
        <w:t>bioRxiv</w:t>
      </w:r>
      <w:r>
        <w:rPr/>
        <w:t>, p. 385658.</w:t>
      </w:r>
      <w:bookmarkEnd w:id="215"/>
    </w:p>
    <w:p>
      <w:pPr>
        <w:pStyle w:val="EndNoteBibliography"/>
        <w:spacing w:before="0" w:after="0"/>
        <w:ind w:left="720" w:hanging="720"/>
        <w:rPr/>
      </w:pPr>
      <w:bookmarkStart w:id="216" w:name="_ENREF_64"/>
      <w:r>
        <w:rPr/>
        <w:t xml:space="preserve">Reiter, L. T., Potocki, L., Chien, S., Gribskov, M. &amp; Bier, E. (2001). 'A systematic analysis of human disease-associated gene sequences in </w:t>
      </w:r>
      <w:r>
        <w:rPr>
          <w:i/>
        </w:rPr>
        <w:t>Drosophila melanogaster</w:t>
      </w:r>
      <w:r>
        <w:rPr/>
        <w:t xml:space="preserve">', </w:t>
      </w:r>
      <w:r>
        <w:rPr>
          <w:i/>
        </w:rPr>
        <w:t>Genome Res,</w:t>
      </w:r>
      <w:r>
        <w:rPr/>
        <w:t xml:space="preserve"> 11(6), pp. 1114-25.</w:t>
      </w:r>
      <w:bookmarkEnd w:id="216"/>
    </w:p>
    <w:p>
      <w:pPr>
        <w:pStyle w:val="EndNoteBibliography"/>
        <w:spacing w:before="0" w:after="0"/>
        <w:ind w:left="720" w:hanging="720"/>
        <w:rPr/>
      </w:pPr>
      <w:bookmarkStart w:id="217" w:name="_ENREF_65"/>
      <w:r>
        <w:rPr/>
        <w:t xml:space="preserve">Reynolds, E. R., Stauffer, E. A., Feeney, L., Rojahn, E., Jacobs, B. &amp; McKeever, C. (2004). 'Treatment with the antiepileptic drugs phenytoin and gabapentin ameliorates seizure and paralysis of Drosophila bang-sensitive mutants', </w:t>
      </w:r>
      <w:r>
        <w:rPr>
          <w:i/>
        </w:rPr>
        <w:t>J Neurobiol,</w:t>
      </w:r>
      <w:r>
        <w:rPr/>
        <w:t xml:space="preserve"> 58(4), pp. 503-13.</w:t>
      </w:r>
      <w:bookmarkEnd w:id="217"/>
    </w:p>
    <w:p>
      <w:pPr>
        <w:pStyle w:val="EndNoteBibliography"/>
        <w:spacing w:before="0" w:after="0"/>
        <w:ind w:left="720" w:hanging="720"/>
        <w:rPr/>
      </w:pPr>
      <w:bookmarkStart w:id="218" w:name="_ENREF_66"/>
      <w:r>
        <w:rPr/>
        <w:t xml:space="preserve">Risley, M. G., Kelly, S. P., Jia, K. L., Grill, B. &amp; Dawson-Scully, K. (2016). 'Modulating Behavior in C. elegans Using Electroshock and Antiepileptic Drugs', </w:t>
      </w:r>
      <w:r>
        <w:rPr>
          <w:i/>
        </w:rPr>
        <w:t>Plos One,</w:t>
      </w:r>
      <w:r>
        <w:rPr/>
        <w:t xml:space="preserve"> 11(9).</w:t>
      </w:r>
      <w:bookmarkEnd w:id="218"/>
    </w:p>
    <w:p>
      <w:pPr>
        <w:pStyle w:val="EndNoteBibliography"/>
        <w:spacing w:before="0" w:after="0"/>
        <w:ind w:left="720" w:hanging="720"/>
        <w:rPr/>
      </w:pPr>
      <w:bookmarkStart w:id="219" w:name="_ENREF_67"/>
      <w:r>
        <w:rPr>
          <w:lang w:val="pt-PT"/>
        </w:rPr>
        <w:t xml:space="preserve">Rogawski, M. A. &amp; Bazil, C. W. (2008). </w:t>
      </w:r>
      <w:r>
        <w:rPr/>
        <w:t xml:space="preserve">'New molecular targets for Antiepileptic drugs: alpha 2 delta, SV2A, and K(v)7/KCNQ/M potassium channels', </w:t>
      </w:r>
      <w:r>
        <w:rPr>
          <w:i/>
        </w:rPr>
        <w:t>Current Neurology and Neuroscience Reports,</w:t>
      </w:r>
      <w:r>
        <w:rPr/>
        <w:t xml:space="preserve"> 8(4), pp. 345-352.</w:t>
      </w:r>
      <w:bookmarkEnd w:id="219"/>
    </w:p>
    <w:p>
      <w:pPr>
        <w:pStyle w:val="EndNoteBibliography"/>
        <w:spacing w:before="0" w:after="0"/>
        <w:ind w:left="720" w:hanging="720"/>
        <w:rPr/>
      </w:pPr>
      <w:bookmarkStart w:id="220" w:name="_ENREF_68"/>
      <w:r>
        <w:rPr/>
        <w:t xml:space="preserve">Rogawski, M. A. &amp; Loscher, W. (2004a). 'The neurobiology of antiepileptic drugs', </w:t>
      </w:r>
      <w:r>
        <w:rPr>
          <w:i/>
        </w:rPr>
        <w:t>Nature Reviews Neuroscience,</w:t>
      </w:r>
      <w:r>
        <w:rPr/>
        <w:t xml:space="preserve"> 5(7), pp. 553-564.</w:t>
      </w:r>
      <w:bookmarkEnd w:id="220"/>
    </w:p>
    <w:p>
      <w:pPr>
        <w:pStyle w:val="EndNoteBibliography"/>
        <w:spacing w:before="0" w:after="0"/>
        <w:ind w:left="720" w:hanging="720"/>
        <w:rPr/>
      </w:pPr>
      <w:bookmarkStart w:id="221" w:name="_ENREF_69"/>
      <w:r>
        <w:rPr/>
        <w:t xml:space="preserve">Rogawski, M. A. &amp; Loscher, W. (2004b). 'The neurobiology of antiepileptic drugs for the treatment of nonepileptic conditions', </w:t>
      </w:r>
      <w:r>
        <w:rPr>
          <w:i/>
        </w:rPr>
        <w:t>Nature Medicine,</w:t>
      </w:r>
      <w:r>
        <w:rPr/>
        <w:t xml:space="preserve"> 10(7), pp. 685-692.</w:t>
      </w:r>
      <w:bookmarkEnd w:id="221"/>
    </w:p>
    <w:p>
      <w:pPr>
        <w:pStyle w:val="EndNoteBibliography"/>
        <w:spacing w:before="0" w:after="0"/>
        <w:ind w:left="720" w:hanging="720"/>
        <w:rPr/>
      </w:pPr>
      <w:bookmarkStart w:id="222" w:name="_ENREF_70"/>
      <w:r>
        <w:rPr/>
        <w:t xml:space="preserve">Roy, S., Zhang, B., Lee, V. M. &amp; Trojanowski, J. Q. (2005). 'Axonal transport defects: a common theme in neurodegenerative diseases', </w:t>
      </w:r>
      <w:r>
        <w:rPr>
          <w:i/>
        </w:rPr>
        <w:t>Acta Neuropathol,</w:t>
      </w:r>
      <w:r>
        <w:rPr/>
        <w:t xml:space="preserve"> 109(1), pp. 5-13.</w:t>
      </w:r>
      <w:bookmarkEnd w:id="222"/>
    </w:p>
    <w:p>
      <w:pPr>
        <w:pStyle w:val="EndNoteBibliography"/>
        <w:spacing w:before="0" w:after="0"/>
        <w:ind w:left="720" w:hanging="720"/>
        <w:rPr/>
      </w:pPr>
      <w:bookmarkStart w:id="223" w:name="_ENREF_71"/>
      <w:r>
        <w:rPr>
          <w:lang w:val="pt-PT"/>
        </w:rPr>
        <w:t xml:space="preserve">Salvaterra, P. M. &amp; Kitamoto, T. (2001). </w:t>
      </w:r>
      <w:r>
        <w:rPr/>
        <w:t xml:space="preserve">'Drosophila cholinergic neurons and processes visualized with Gal4/UAS-GFP', </w:t>
      </w:r>
      <w:r>
        <w:rPr>
          <w:i/>
        </w:rPr>
        <w:t>Brain Res Gene Expr Patterns,</w:t>
      </w:r>
      <w:r>
        <w:rPr/>
        <w:t xml:space="preserve"> 1(1), pp. 73-82.</w:t>
      </w:r>
      <w:bookmarkEnd w:id="223"/>
    </w:p>
    <w:p>
      <w:pPr>
        <w:pStyle w:val="EndNoteBibliography"/>
        <w:spacing w:before="0" w:after="0"/>
        <w:ind w:left="720" w:hanging="720"/>
        <w:rPr/>
      </w:pPr>
      <w:bookmarkStart w:id="224" w:name="_ENREF_72"/>
      <w:r>
        <w:rPr/>
        <w:t xml:space="preserve">Sánchez-Soriano, N., Löhr, R., Bottenberg, W., Haessler, U., Kerassoviti, A., Knust, E., Fiala, A. &amp; Prokop, A. (2005). 'Are dendrites in </w:t>
      </w:r>
      <w:r>
        <w:rPr>
          <w:i/>
        </w:rPr>
        <w:t xml:space="preserve">Drosophila </w:t>
      </w:r>
      <w:r>
        <w:rPr/>
        <w:t xml:space="preserve">homologous to vertebrate dendrites?', </w:t>
      </w:r>
      <w:r>
        <w:rPr>
          <w:i/>
        </w:rPr>
        <w:t>Dev. Biol.,</w:t>
      </w:r>
      <w:r>
        <w:rPr/>
        <w:t xml:space="preserve"> 288(1), pp. 126-138.</w:t>
      </w:r>
      <w:bookmarkEnd w:id="224"/>
    </w:p>
    <w:p>
      <w:pPr>
        <w:pStyle w:val="EndNoteBibliography"/>
        <w:spacing w:before="0" w:after="0"/>
        <w:ind w:left="720" w:hanging="720"/>
        <w:rPr/>
      </w:pPr>
      <w:bookmarkStart w:id="225" w:name="_ENREF_73"/>
      <w:r>
        <w:rPr/>
        <w:t>Sánchez-Soriano, N., Tear, G., Whitington, P. &amp; Prokop, A. (2007). '</w:t>
      </w:r>
      <w:r>
        <w:rPr>
          <w:i/>
        </w:rPr>
        <w:t xml:space="preserve">Drosophila </w:t>
      </w:r>
      <w:r>
        <w:rPr/>
        <w:t xml:space="preserve">as a genetic and cellular model for studies on axonal growth', </w:t>
      </w:r>
      <w:r>
        <w:rPr>
          <w:i/>
        </w:rPr>
        <w:t>Neural Develop,</w:t>
      </w:r>
      <w:r>
        <w:rPr/>
        <w:t xml:space="preserve"> 2, p. 9.</w:t>
      </w:r>
      <w:bookmarkEnd w:id="225"/>
    </w:p>
    <w:p>
      <w:pPr>
        <w:pStyle w:val="EndNoteBibliography"/>
        <w:spacing w:before="0" w:after="0"/>
        <w:ind w:left="720" w:hanging="720"/>
        <w:rPr/>
      </w:pPr>
      <w:bookmarkStart w:id="226" w:name="_ENREF_74"/>
      <w:r>
        <w:rPr/>
        <w:t xml:space="preserve">Sanyal, S. (2009). 'Genomic mapping and expression patterns of C380, OK6 and D42 enhancer trap lines in the larval nervous system of Drosophila', </w:t>
      </w:r>
      <w:r>
        <w:rPr>
          <w:i/>
        </w:rPr>
        <w:t>Gene Expression Patterns,</w:t>
      </w:r>
      <w:r>
        <w:rPr/>
        <w:t xml:space="preserve"> 9(5), pp. 371-380.</w:t>
      </w:r>
      <w:bookmarkEnd w:id="226"/>
    </w:p>
    <w:p>
      <w:pPr>
        <w:pStyle w:val="EndNoteBibliography"/>
        <w:spacing w:before="0" w:after="0"/>
        <w:ind w:left="720" w:hanging="720"/>
        <w:rPr/>
      </w:pPr>
      <w:bookmarkStart w:id="227" w:name="_ENREF_75"/>
      <w:r>
        <w:rPr/>
        <w:t xml:space="preserve">Schembri, L., Dalibart, R., Tomasello, F., Legembre, P., Ichas, F. &amp; De Giorgi, F. (2007). 'The HA tag is cleaved and loses immunoreactivity during apoptosis', </w:t>
      </w:r>
      <w:r>
        <w:rPr>
          <w:i/>
        </w:rPr>
        <w:t>Nature Methods,</w:t>
      </w:r>
      <w:r>
        <w:rPr/>
        <w:t xml:space="preserve"> 4(2), pp. 107-108.</w:t>
      </w:r>
      <w:bookmarkEnd w:id="227"/>
    </w:p>
    <w:p>
      <w:pPr>
        <w:pStyle w:val="EndNoteBibliography"/>
        <w:spacing w:before="0" w:after="0"/>
        <w:ind w:left="720" w:hanging="720"/>
        <w:rPr/>
      </w:pPr>
      <w:bookmarkStart w:id="228" w:name="_ENREF_76"/>
      <w:r>
        <w:rPr/>
        <w:t xml:space="preserve">Sigrist, S. J. (2009). 'The Yin and Yang of synaptic active zone assembly', </w:t>
      </w:r>
      <w:r>
        <w:rPr>
          <w:i/>
        </w:rPr>
        <w:t>Sci Signal,</w:t>
      </w:r>
      <w:r>
        <w:rPr/>
        <w:t xml:space="preserve"> 2(70), p. pe32.</w:t>
      </w:r>
      <w:bookmarkEnd w:id="228"/>
    </w:p>
    <w:p>
      <w:pPr>
        <w:pStyle w:val="EndNoteBibliography"/>
        <w:spacing w:before="0" w:after="0"/>
        <w:ind w:left="720" w:hanging="720"/>
        <w:rPr/>
      </w:pPr>
      <w:bookmarkStart w:id="229" w:name="_ENREF_77"/>
      <w:r>
        <w:rPr>
          <w:lang w:val="fr-FR"/>
        </w:rPr>
        <w:t xml:space="preserve">Song, J. &amp; Tanouye, M. A. (2008). </w:t>
      </w:r>
      <w:r>
        <w:rPr/>
        <w:t xml:space="preserve">'From bench to drug: Human seizure modeling using Drosophila', </w:t>
      </w:r>
      <w:r>
        <w:rPr>
          <w:i/>
        </w:rPr>
        <w:t>Progress in Neurobiology,</w:t>
      </w:r>
      <w:r>
        <w:rPr/>
        <w:t xml:space="preserve"> 84(2), pp. 182-191.</w:t>
      </w:r>
      <w:bookmarkEnd w:id="229"/>
    </w:p>
    <w:p>
      <w:pPr>
        <w:pStyle w:val="EndNoteBibliography"/>
        <w:spacing w:before="0" w:after="0"/>
        <w:ind w:left="720" w:hanging="720"/>
        <w:rPr/>
      </w:pPr>
      <w:bookmarkStart w:id="230" w:name="_ENREF_78"/>
      <w:r>
        <w:rPr/>
        <w:t xml:space="preserve">Stilwell, G. E. &amp; ffrench-Constant, R. H. (1998). 'Transcriptional analysis of the Drosophila GABA receptor gene Resistance to dieldrin', </w:t>
      </w:r>
      <w:r>
        <w:rPr>
          <w:i/>
        </w:rPr>
        <w:t>Journal of Neurobiology,</w:t>
      </w:r>
      <w:r>
        <w:rPr/>
        <w:t xml:space="preserve"> 36(4), pp. 468-484.</w:t>
      </w:r>
      <w:bookmarkEnd w:id="230"/>
    </w:p>
    <w:p>
      <w:pPr>
        <w:pStyle w:val="EndNoteBibliography"/>
        <w:spacing w:before="0" w:after="0"/>
        <w:ind w:left="720" w:hanging="720"/>
        <w:rPr/>
      </w:pPr>
      <w:bookmarkStart w:id="231" w:name="_ENREF_79"/>
      <w:r>
        <w:rPr/>
        <w:t xml:space="preserve">Stilwell, G. E., Saraswati, S., Littleton, J. T. &amp; Chouinard, S. W. (2006). 'Development of a Drosophila seizure model for in vivo high-throughput drug screening', </w:t>
      </w:r>
      <w:r>
        <w:rPr>
          <w:i/>
        </w:rPr>
        <w:t>Eur J Neurosci,</w:t>
      </w:r>
      <w:r>
        <w:rPr/>
        <w:t xml:space="preserve"> 24(8), pp. 2211-22.</w:t>
      </w:r>
      <w:bookmarkEnd w:id="231"/>
    </w:p>
    <w:p>
      <w:pPr>
        <w:pStyle w:val="EndNoteBibliography"/>
        <w:spacing w:before="0" w:after="0"/>
        <w:ind w:left="720" w:hanging="720"/>
        <w:rPr/>
      </w:pPr>
      <w:bookmarkStart w:id="232" w:name="_ENREF_80"/>
      <w:r>
        <w:rPr/>
        <w:t xml:space="preserve">Swinyard, E. A., Brown, W. C. &amp; Goodman, L. S. (1952). 'Comparative Assays of Antiepileptic Drugs in Mice and Rats', </w:t>
      </w:r>
      <w:r>
        <w:rPr>
          <w:i/>
        </w:rPr>
        <w:t>Journal of Pharmacology and Experimental Therapeutics,</w:t>
      </w:r>
      <w:r>
        <w:rPr/>
        <w:t xml:space="preserve"> 106(3), pp. 319-330.</w:t>
      </w:r>
      <w:bookmarkEnd w:id="232"/>
    </w:p>
    <w:p>
      <w:pPr>
        <w:pStyle w:val="EndNoteBibliography"/>
        <w:spacing w:before="0" w:after="0"/>
        <w:ind w:left="720" w:hanging="720"/>
        <w:rPr/>
      </w:pPr>
      <w:bookmarkStart w:id="233" w:name="_ENREF_81"/>
      <w:r>
        <w:rPr>
          <w:lang w:val="pt-PT"/>
        </w:rPr>
        <w:t xml:space="preserve">Voelzmann, A., Okenve-Ramos, P., Qu, Y., Chojnowska-Monga, M., Del Cano-Espinel, M., Prokop, A. &amp; Sanchez-Soriano, N. (2016). </w:t>
      </w:r>
      <w:r>
        <w:rPr/>
        <w:t xml:space="preserve">'Tau and spectraplakins promote synapse formation and maintenance through Jun kinase and neuronal trafficking', </w:t>
      </w:r>
      <w:r>
        <w:rPr>
          <w:i/>
        </w:rPr>
        <w:t>Elife,</w:t>
      </w:r>
      <w:r>
        <w:rPr/>
        <w:t xml:space="preserve"> 5.</w:t>
      </w:r>
      <w:bookmarkEnd w:id="233"/>
    </w:p>
    <w:p>
      <w:pPr>
        <w:pStyle w:val="EndNoteBibliography"/>
        <w:spacing w:before="0" w:after="0"/>
        <w:ind w:left="720" w:hanging="720"/>
        <w:rPr/>
      </w:pPr>
      <w:bookmarkStart w:id="234" w:name="_ENREF_82"/>
      <w:r>
        <w:rPr/>
        <w:t xml:space="preserve">von Bergen, M., Barghorn, S., Biernat, J., Mandelkow, E. M. &amp; Mandelkow, E. (2005). 'Tau aggregation is driven by a transition from random coil to beta sheet structure', </w:t>
      </w:r>
      <w:r>
        <w:rPr>
          <w:i/>
        </w:rPr>
        <w:t>Biochim Biophys Acta,</w:t>
      </w:r>
      <w:r>
        <w:rPr/>
        <w:t xml:space="preserve"> 1739(2-3), pp. 158-66.</w:t>
      </w:r>
      <w:bookmarkEnd w:id="234"/>
    </w:p>
    <w:p>
      <w:pPr>
        <w:pStyle w:val="EndNoteBibliography"/>
        <w:spacing w:before="0" w:after="0"/>
        <w:ind w:left="720" w:hanging="720"/>
        <w:rPr/>
      </w:pPr>
      <w:bookmarkStart w:id="235" w:name="_ENREF_83"/>
      <w:r>
        <w:rPr/>
        <w:t xml:space="preserve">Wangler, M. F., Yamamoto, S., Chao, H.-T., Posey, J. E., Westerfield, M., Postlethwait, J., Hieter, P., Boycott, K. M., Campeau, P. M. &amp; Bellen, H. J. (2017). 'Model Organisms Facilitate Rare Disease Diagnosis and Therapeutic Research', </w:t>
      </w:r>
      <w:r>
        <w:rPr>
          <w:i/>
        </w:rPr>
        <w:t>Genetics,</w:t>
      </w:r>
      <w:r>
        <w:rPr/>
        <w:t xml:space="preserve"> 207(1), pp. 9-27.</w:t>
      </w:r>
      <w:bookmarkEnd w:id="235"/>
    </w:p>
    <w:p>
      <w:pPr>
        <w:pStyle w:val="EndNoteBibliography"/>
        <w:ind w:left="720" w:hanging="720"/>
        <w:rPr/>
      </w:pPr>
      <w:bookmarkStart w:id="236" w:name="_ENREF_84"/>
      <w:r>
        <w:rPr/>
        <w:t xml:space="preserve">Zemlyak, I., Manley, N., Vulih-Shultzman, I., Cutler, A. B., Graber, K., Sapolsky, R. M. &amp; Gozes, I. (2009). 'The microtubule interacting drug candidate NAP protects against kainic acid toxicity in a rat model of epilepsy', </w:t>
      </w:r>
      <w:r>
        <w:rPr>
          <w:i/>
        </w:rPr>
        <w:t>Journal of Neurochemistry,</w:t>
      </w:r>
      <w:r>
        <w:rPr/>
        <w:t xml:space="preserve"> 111(5), pp. 1252-1263.</w:t>
      </w:r>
      <w:bookmarkEnd w:id="236"/>
    </w:p>
    <w:p>
      <w:pPr>
        <w:pStyle w:val="Normal"/>
        <w:spacing w:lineRule="auto" w:line="276" w:before="0" w:after="0"/>
        <w:jc w:val="both"/>
        <w:rPr>
          <w:rFonts w:ascii="Calibri" w:hAnsi="Calibri" w:cs="Calibri"/>
          <w:lang w:val="en-GB"/>
        </w:rPr>
      </w:pPr>
      <w:r>
        <w:rPr>
          <w:rFonts w:cs="Calibri"/>
          <w:lang w:val="en-GB"/>
        </w:rPr>
      </w:r>
    </w:p>
    <w:p>
      <w:pPr>
        <w:pStyle w:val="Normal"/>
        <w:spacing w:lineRule="auto" w:line="240"/>
        <w:jc w:val="both"/>
        <w:rPr>
          <w:rFonts w:ascii="Calibri" w:hAnsi="Calibri" w:cs="Calibri"/>
          <w:u w:val="single"/>
          <w:lang w:val="fr-FR"/>
        </w:rPr>
      </w:pPr>
      <w:r>
        <w:rPr>
          <w:rFonts w:cs="Calibri"/>
          <w:u w:val="single"/>
          <w:lang w:val="fr-FR"/>
        </w:rPr>
        <w:t>Web sites</w:t>
      </w:r>
    </w:p>
    <w:p>
      <w:pPr>
        <w:pStyle w:val="ListParagraph"/>
        <w:numPr>
          <w:ilvl w:val="0"/>
          <w:numId w:val="5"/>
        </w:numPr>
        <w:rPr/>
      </w:pPr>
      <w:r>
        <w:rPr>
          <w:lang w:val="en-GB"/>
        </w:rPr>
        <w:t>FlyBase (2019) , Allele: Dmel\unc-104</w:t>
      </w:r>
      <w:r>
        <w:rPr>
          <w:vertAlign w:val="superscript"/>
          <w:lang w:val="en-GB"/>
        </w:rPr>
        <w:t>170</w:t>
      </w:r>
      <w:r>
        <w:rPr>
          <w:lang w:val="en-GB"/>
        </w:rPr>
        <w:t xml:space="preserve"> .                                                                                            Available at :                                                                                          </w:t>
      </w:r>
      <w:hyperlink r:id="rId19">
        <w:r>
          <w:rPr>
            <w:rStyle w:val="InternetLink"/>
            <w:lang w:val="de-DE"/>
          </w:rPr>
          <w:t>http://flybase.org/reports/FBal0241893</w:t>
        </w:r>
      </w:hyperlink>
      <w:r>
        <w:rPr>
          <w:lang w:val="de-DE"/>
        </w:rPr>
        <w:t xml:space="preserve">, [accessed on 8th Febrary 2019]. </w:t>
      </w:r>
    </w:p>
    <w:p>
      <w:pPr>
        <w:pStyle w:val="ListParagraph"/>
        <w:rPr>
          <w:lang w:val="en-GB"/>
        </w:rPr>
      </w:pPr>
      <w:r>
        <w:rPr>
          <w:lang w:val="en-GB"/>
        </w:rPr>
      </w:r>
    </w:p>
    <w:p>
      <w:pPr>
        <w:pStyle w:val="ListParagraph"/>
        <w:numPr>
          <w:ilvl w:val="0"/>
          <w:numId w:val="4"/>
        </w:numPr>
        <w:spacing w:before="120" w:after="0"/>
        <w:contextualSpacing/>
        <w:rPr/>
      </w:pPr>
      <w:r>
        <w:rPr>
          <w:rStyle w:val="InternetLink"/>
          <w:rFonts w:cs="Arial" w:ascii="Arial" w:hAnsi="Arial"/>
          <w:color w:val="auto"/>
          <w:sz w:val="20"/>
          <w:szCs w:val="20"/>
          <w:u w:val="none"/>
          <w:lang w:val="de-DE"/>
        </w:rPr>
        <w:t>FlyBase (2019), Allele: Dmel\Eb1</w:t>
      </w:r>
      <w:r>
        <w:rPr>
          <w:rStyle w:val="InternetLink"/>
          <w:rFonts w:cs="Arial" w:ascii="Arial" w:hAnsi="Arial"/>
          <w:color w:val="auto"/>
          <w:sz w:val="20"/>
          <w:szCs w:val="20"/>
          <w:u w:val="none"/>
          <w:vertAlign w:val="superscript"/>
          <w:lang w:val="de-DE"/>
        </w:rPr>
        <w:t>04524</w:t>
      </w:r>
      <w:r>
        <w:rPr>
          <w:rStyle w:val="InternetLink"/>
          <w:rFonts w:cs="Arial" w:ascii="Arial" w:hAnsi="Arial"/>
          <w:color w:val="auto"/>
          <w:sz w:val="20"/>
          <w:szCs w:val="20"/>
          <w:u w:val="none"/>
          <w:lang w:val="de-DE"/>
        </w:rPr>
        <w:t>. Available at:</w:t>
      </w:r>
      <w:r>
        <w:rPr>
          <w:rStyle w:val="InternetLink"/>
          <w:rFonts w:cs="Arial" w:ascii="Arial" w:hAnsi="Arial"/>
          <w:sz w:val="20"/>
          <w:szCs w:val="20"/>
          <w:lang w:val="de-DE"/>
        </w:rPr>
        <w:t xml:space="preserve"> </w:t>
      </w:r>
      <w:hyperlink r:id="rId20">
        <w:r>
          <w:rPr>
            <w:rStyle w:val="InternetLink"/>
            <w:lang w:val="de-DE"/>
          </w:rPr>
          <w:t>http://flybase.org/reports/FBal0008064</w:t>
        </w:r>
      </w:hyperlink>
      <w:r>
        <w:rPr>
          <w:lang w:val="de-DE"/>
        </w:rPr>
        <w:t xml:space="preserve"> , [accessed on 10th April 2019]. </w:t>
      </w:r>
    </w:p>
    <w:p>
      <w:pPr>
        <w:pStyle w:val="ListParagraph"/>
        <w:rPr>
          <w:rFonts w:ascii="Arial" w:hAnsi="Arial" w:cs="Arial"/>
          <w:b/>
          <w:b/>
          <w:sz w:val="20"/>
          <w:szCs w:val="20"/>
          <w:u w:val="single"/>
          <w:lang w:val="de-DE"/>
        </w:rPr>
      </w:pPr>
      <w:r>
        <w:rPr>
          <w:rFonts w:cs="Arial" w:ascii="Arial" w:hAnsi="Arial"/>
          <w:b/>
          <w:sz w:val="20"/>
          <w:szCs w:val="20"/>
          <w:u w:val="single"/>
          <w:lang w:val="de-DE"/>
        </w:rPr>
      </w:r>
    </w:p>
    <w:p>
      <w:pPr>
        <w:pStyle w:val="ListParagraph"/>
        <w:spacing w:before="120" w:after="0"/>
        <w:contextualSpacing/>
        <w:rPr>
          <w:rFonts w:ascii="Arial" w:hAnsi="Arial" w:cs="Arial"/>
          <w:b/>
          <w:b/>
          <w:sz w:val="20"/>
          <w:szCs w:val="20"/>
          <w:u w:val="single"/>
          <w:lang w:val="de-DE"/>
        </w:rPr>
      </w:pPr>
      <w:r>
        <w:rPr>
          <w:rFonts w:cs="Arial" w:ascii="Arial" w:hAnsi="Arial"/>
          <w:b/>
          <w:sz w:val="20"/>
          <w:szCs w:val="20"/>
          <w:u w:val="single"/>
          <w:lang w:val="de-DE"/>
        </w:rPr>
      </w:r>
    </w:p>
    <w:p>
      <w:pPr>
        <w:pStyle w:val="ListParagraph"/>
        <w:numPr>
          <w:ilvl w:val="0"/>
          <w:numId w:val="4"/>
        </w:numPr>
        <w:rPr/>
      </w:pPr>
      <w:r>
        <w:rPr>
          <w:lang w:val="en-GB"/>
        </w:rPr>
        <w:t>FlyBase (2019), Allele: Dmel\tau</w:t>
      </w:r>
      <w:r>
        <w:rPr>
          <w:vertAlign w:val="superscript"/>
          <w:lang w:val="en-GB"/>
        </w:rPr>
        <w:t>MR22</w:t>
      </w:r>
      <w:r>
        <w:rPr>
          <w:lang w:val="en-GB"/>
        </w:rPr>
        <w:t xml:space="preserve">.  Available at :                                                                                          </w:t>
      </w:r>
      <w:hyperlink r:id="rId21">
        <w:r>
          <w:rPr>
            <w:rStyle w:val="InternetLink"/>
            <w:lang w:val="en-GB"/>
          </w:rPr>
          <w:t>http://flybase.org/reports/FBal0151385</w:t>
        </w:r>
      </w:hyperlink>
      <w:r>
        <w:rPr>
          <w:lang w:val="de-DE"/>
        </w:rPr>
        <w:t xml:space="preserve">, [accessed on 27th March 2019]. </w:t>
      </w:r>
    </w:p>
    <w:p>
      <w:pPr>
        <w:pStyle w:val="ListParagraph"/>
        <w:rPr>
          <w:lang w:val="de-DE"/>
        </w:rPr>
      </w:pPr>
      <w:r>
        <w:rPr>
          <w:lang w:val="de-DE"/>
        </w:rPr>
      </w:r>
    </w:p>
    <w:p>
      <w:pPr>
        <w:pStyle w:val="ListParagraph"/>
        <w:numPr>
          <w:ilvl w:val="0"/>
          <w:numId w:val="4"/>
        </w:numPr>
        <w:spacing w:before="120" w:after="0"/>
        <w:contextualSpacing/>
        <w:rPr/>
      </w:pPr>
      <w:r>
        <w:rPr>
          <w:rFonts w:cs="Arial" w:ascii="Arial" w:hAnsi="Arial"/>
          <w:sz w:val="20"/>
          <w:szCs w:val="20"/>
          <w:lang w:val="de-DE"/>
        </w:rPr>
        <w:t xml:space="preserve">Life Science Archive (2015), Fly method is epilepsy’s ray of light. Available at: </w:t>
      </w:r>
      <w:hyperlink r:id="rId22">
        <w:r>
          <w:rPr>
            <w:rStyle w:val="InternetLink"/>
            <w:rFonts w:cs="Arial" w:ascii="Arial" w:hAnsi="Arial"/>
            <w:sz w:val="20"/>
            <w:szCs w:val="20"/>
            <w:lang w:val="de-DE"/>
          </w:rPr>
          <w:t>https://lsmanchesterblog.wordpress.com/2015/11/05/fly-method-is-epilepsys-ray-of-light/</w:t>
        </w:r>
      </w:hyperlink>
      <w:r>
        <w:rPr>
          <w:rFonts w:cs="Arial" w:ascii="Arial" w:hAnsi="Arial"/>
          <w:sz w:val="20"/>
          <w:szCs w:val="20"/>
          <w:lang w:val="de-DE"/>
        </w:rPr>
        <w:t xml:space="preserve"> , [accessed on 30th March 2019]</w:t>
      </w:r>
    </w:p>
    <w:p>
      <w:pPr>
        <w:pStyle w:val="ListParagraph"/>
        <w:rPr>
          <w:rFonts w:ascii="Arial" w:hAnsi="Arial" w:cs="Arial"/>
          <w:sz w:val="20"/>
          <w:szCs w:val="20"/>
          <w:lang w:val="de-DE"/>
        </w:rPr>
      </w:pPr>
      <w:r>
        <w:rPr>
          <w:rFonts w:cs="Arial" w:ascii="Arial" w:hAnsi="Arial"/>
          <w:sz w:val="20"/>
          <w:szCs w:val="20"/>
          <w:lang w:val="de-DE"/>
        </w:rPr>
      </w:r>
    </w:p>
    <w:p>
      <w:pPr>
        <w:pStyle w:val="ListParagraph"/>
        <w:spacing w:before="120" w:after="0"/>
        <w:contextualSpacing/>
        <w:rPr>
          <w:rFonts w:ascii="Arial" w:hAnsi="Arial" w:cs="Arial"/>
          <w:sz w:val="20"/>
          <w:szCs w:val="20"/>
          <w:lang w:val="de-DE"/>
        </w:rPr>
      </w:pPr>
      <w:r>
        <w:rPr>
          <w:rFonts w:cs="Arial" w:ascii="Arial" w:hAnsi="Arial"/>
          <w:sz w:val="20"/>
          <w:szCs w:val="20"/>
          <w:lang w:val="de-DE"/>
        </w:rPr>
      </w:r>
    </w:p>
    <w:p>
      <w:pPr>
        <w:pStyle w:val="ListParagraph"/>
        <w:numPr>
          <w:ilvl w:val="0"/>
          <w:numId w:val="4"/>
        </w:numPr>
        <w:rPr/>
      </w:pPr>
      <w:r>
        <w:rPr>
          <w:rFonts w:cs="Arial" w:ascii="Arial" w:hAnsi="Arial"/>
          <w:sz w:val="20"/>
          <w:szCs w:val="20"/>
          <w:lang w:val="de-DE"/>
        </w:rPr>
        <w:t xml:space="preserve">Prokop, A. (2015). Why fly? Blog post in „droso4schools“. Available at: </w:t>
      </w:r>
      <w:hyperlink r:id="rId23" w:tgtFrame="_blank">
        <w:r>
          <w:rPr>
            <w:rStyle w:val="InternetLink"/>
            <w:rFonts w:cs="Arial" w:ascii="Arial" w:hAnsi="Arial"/>
            <w:bCs/>
            <w:color w:val="0066FF"/>
            <w:sz w:val="20"/>
            <w:szCs w:val="20"/>
            <w:highlight w:val="white"/>
            <w:lang w:val="en-GB"/>
          </w:rPr>
          <w:t>droso4schools.wordpress.com/why-fly</w:t>
        </w:r>
      </w:hyperlink>
      <w:r>
        <w:rPr>
          <w:rStyle w:val="InternetLink"/>
          <w:rFonts w:cs="Arial" w:ascii="Arial" w:hAnsi="Arial"/>
          <w:bCs/>
          <w:color w:val="0066FF"/>
          <w:sz w:val="20"/>
          <w:szCs w:val="20"/>
          <w:highlight w:val="white"/>
          <w:lang w:val="en-GB"/>
        </w:rPr>
        <w:t xml:space="preserve"> </w:t>
      </w:r>
      <w:r>
        <w:rPr>
          <w:rStyle w:val="InternetLink"/>
          <w:rFonts w:cs="Arial" w:ascii="Arial" w:hAnsi="Arial"/>
          <w:bCs/>
          <w:sz w:val="20"/>
          <w:szCs w:val="20"/>
          <w:highlight w:val="white"/>
          <w:lang w:val="en-GB"/>
        </w:rPr>
        <w:t>[accessed on 15</w:t>
      </w:r>
      <w:r>
        <w:rPr>
          <w:rStyle w:val="InternetLink"/>
          <w:rFonts w:cs="Arial" w:ascii="Arial" w:hAnsi="Arial"/>
          <w:bCs/>
          <w:sz w:val="20"/>
          <w:szCs w:val="20"/>
          <w:highlight w:val="white"/>
          <w:vertAlign w:val="superscript"/>
          <w:lang w:val="en-GB"/>
        </w:rPr>
        <w:t>th</w:t>
      </w:r>
      <w:r>
        <w:rPr>
          <w:rStyle w:val="InternetLink"/>
          <w:rFonts w:cs="Arial" w:ascii="Arial" w:hAnsi="Arial"/>
          <w:bCs/>
          <w:sz w:val="20"/>
          <w:szCs w:val="20"/>
          <w:highlight w:val="white"/>
          <w:lang w:val="en-GB"/>
        </w:rPr>
        <w:t xml:space="preserve"> April 2019].</w:t>
      </w:r>
    </w:p>
    <w:p>
      <w:pPr>
        <w:pStyle w:val="ListParagraph"/>
        <w:rPr>
          <w:lang w:val="en-GB"/>
        </w:rPr>
      </w:pPr>
      <w:r>
        <w:rPr>
          <w:lang w:val="en-GB"/>
        </w:rPr>
      </w:r>
    </w:p>
    <w:p>
      <w:pPr>
        <w:pStyle w:val="ListParagraph"/>
        <w:numPr>
          <w:ilvl w:val="0"/>
          <w:numId w:val="4"/>
        </w:numPr>
        <w:rPr/>
      </w:pPr>
      <w:r>
        <w:rPr>
          <w:rStyle w:val="InternetLink"/>
          <w:rFonts w:cs="Arial" w:ascii="Arial" w:hAnsi="Arial"/>
          <w:color w:val="auto"/>
          <w:sz w:val="20"/>
          <w:szCs w:val="20"/>
          <w:u w:val="none"/>
          <w:lang w:val="en-GB"/>
        </w:rPr>
        <w:t xml:space="preserve">Santa Cruz Biotechnology (2019), </w:t>
      </w:r>
      <w:r>
        <w:rPr>
          <w:rFonts w:cs="Arial" w:ascii="Arial" w:hAnsi="Arial"/>
          <w:sz w:val="20"/>
          <w:szCs w:val="20"/>
          <w:lang w:val="en-GB"/>
        </w:rPr>
        <w:t xml:space="preserve">Epothilone B (CAS 152044-54-7). Available at :  </w:t>
      </w:r>
      <w:hyperlink r:id="rId24">
        <w:r>
          <w:rPr>
            <w:rStyle w:val="InternetLink"/>
            <w:lang w:val="en-GB"/>
          </w:rPr>
          <w:t>https://www.scbt.com/scbt/product/epothilone-b-152044-54-7</w:t>
        </w:r>
      </w:hyperlink>
      <w:r>
        <w:rPr>
          <w:lang w:val="en-GB"/>
        </w:rPr>
        <w:t xml:space="preserve"> , [accessed on 5</w:t>
      </w:r>
      <w:r>
        <w:rPr>
          <w:vertAlign w:val="superscript"/>
          <w:lang w:val="en-GB"/>
        </w:rPr>
        <w:t>th</w:t>
      </w:r>
      <w:r>
        <w:rPr>
          <w:lang w:val="en-GB"/>
        </w:rPr>
        <w:t xml:space="preserve"> April 2019].</w:t>
      </w:r>
    </w:p>
    <w:p>
      <w:pPr>
        <w:pStyle w:val="ListParagraph"/>
        <w:rPr>
          <w:rFonts w:ascii="Arial" w:hAnsi="Arial" w:cs="Arial"/>
          <w:sz w:val="20"/>
          <w:szCs w:val="20"/>
          <w:lang w:val="en-GB"/>
        </w:rPr>
      </w:pPr>
      <w:r>
        <w:rPr>
          <w:rFonts w:cs="Arial" w:ascii="Arial" w:hAnsi="Arial"/>
          <w:sz w:val="20"/>
          <w:szCs w:val="20"/>
          <w:lang w:val="en-GB"/>
        </w:rPr>
      </w:r>
    </w:p>
    <w:p>
      <w:pPr>
        <w:pStyle w:val="ListParagraph"/>
        <w:rPr>
          <w:rFonts w:ascii="Arial" w:hAnsi="Arial" w:cs="Arial"/>
          <w:sz w:val="20"/>
          <w:szCs w:val="20"/>
          <w:lang w:val="en-GB"/>
        </w:rPr>
      </w:pPr>
      <w:r>
        <w:rPr>
          <w:rFonts w:cs="Arial" w:ascii="Arial" w:hAnsi="Arial"/>
          <w:sz w:val="20"/>
          <w:szCs w:val="20"/>
          <w:lang w:val="en-GB"/>
        </w:rPr>
      </w:r>
    </w:p>
    <w:p>
      <w:pPr>
        <w:pStyle w:val="ListParagraph"/>
        <w:numPr>
          <w:ilvl w:val="0"/>
          <w:numId w:val="4"/>
        </w:numPr>
        <w:spacing w:before="0" w:after="160"/>
        <w:contextualSpacing/>
        <w:rPr/>
      </w:pPr>
      <w:r>
        <w:rPr>
          <w:lang w:val="en-GB"/>
        </w:rPr>
        <w:t xml:space="preserve">WHO (2019), Epilepsy. Available at: </w:t>
      </w:r>
      <w:hyperlink r:id="rId25">
        <w:r>
          <w:rPr>
            <w:rStyle w:val="InternetLink"/>
            <w:lang w:val="en-GB"/>
          </w:rPr>
          <w:t>https://www.who.int/news-room/fact-sheets/detail/epilepsy</w:t>
        </w:r>
      </w:hyperlink>
      <w:r>
        <w:rPr>
          <w:rStyle w:val="InternetLink"/>
          <w:lang w:val="en-GB"/>
        </w:rPr>
        <w:t xml:space="preserve"> , [</w:t>
      </w:r>
      <w:r>
        <w:rPr>
          <w:lang w:val="en-GB"/>
        </w:rPr>
        <w:t>accessed on 12</w:t>
      </w:r>
      <w:r>
        <w:rPr>
          <w:vertAlign w:val="superscript"/>
          <w:lang w:val="en-GB"/>
        </w:rPr>
        <w:t>th</w:t>
      </w:r>
      <w:r>
        <w:rPr>
          <w:lang w:val="en-GB"/>
        </w:rPr>
        <w:t xml:space="preserve"> February 2019]. </w:t>
      </w:r>
    </w:p>
    <w:sectPr>
      <w:footerReference w:type="default" r:id="rId26"/>
      <w:type w:val="nextPage"/>
      <w:pgSz w:w="11906" w:h="16838"/>
      <w:pgMar w:left="1701" w:right="1701" w:header="0" w:top="1417" w:footer="708" w:bottom="1417" w:gutter="0"/>
      <w:pgNumType w:fmt="decimal"/>
      <w:formProt w:val="false"/>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19-06-04T09:32:37Z" w:initials="">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eastAsia="en-US" w:bidi="ar-SA"/>
        </w:rPr>
        <w:t>induces</w:t>
      </w:r>
    </w:p>
  </w:comment>
  <w:comment w:id="1" w:author="Unknown Author" w:date="2019-06-04T09:35:36Z" w:initials="">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eastAsia="en-US" w:bidi="ar-SA"/>
        </w:rPr>
        <w:t xml:space="preserve">I think it would be more like “indicating </w:t>
      </w:r>
      <w:r>
        <w:rPr>
          <w:rFonts w:ascii="Calibri" w:hAnsi="Calibri" w:eastAsia="Calibri" w:cs="" w:asciiTheme="minorHAnsi" w:cstheme="minorBidi" w:eastAsiaTheme="minorHAnsi" w:hAnsiTheme="minorHAnsi"/>
          <w:b/>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eastAsia="en-US" w:bidi="ar-SA"/>
        </w:rPr>
        <w:t>that</w:t>
      </w:r>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eastAsia="en-US" w:bidi="ar-SA"/>
        </w:rPr>
        <w:t xml:space="preserve"> typical epilepsy mechanisms were involved” </w:t>
      </w:r>
    </w:p>
  </w:comment>
  <w:comment w:id="2" w:author="Unknown Author" w:date="2019-06-04T09:37:29Z" w:initials="">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eastAsia="en-US" w:bidi="ar-SA"/>
        </w:rPr>
        <w:t>Motoneurones (no r after moto)</w:t>
      </w:r>
    </w:p>
  </w:comment>
  <w:comment w:id="3" w:author="Unknown Author" w:date="2019-06-04T09:41:11Z" w:initials="">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eastAsia="en-US" w:bidi="ar-SA"/>
        </w:rPr>
        <w:t>“in accordance”</w:t>
      </w:r>
    </w:p>
  </w:comment>
  <w:comment w:id="4" w:author="Unknown Author" w:date="2019-06-04T09:42:03Z" w:initials="">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eastAsia="en-US" w:bidi="ar-SA"/>
        </w:rPr>
        <w:t>motoneurones</w:t>
      </w:r>
    </w:p>
  </w:comment>
  <w:comment w:id="5" w:author="Unknown Author" w:date="2019-06-04T09:42:29Z" w:initials="">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eastAsia="en-US" w:bidi="ar-SA"/>
        </w:rPr>
        <w:t xml:space="preserve">Unknown </w:t>
      </w:r>
    </w:p>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eastAsia="en-US" w:bidi="ar-SA"/>
        </w:rPr>
        <w:t>(I would have used “open” more like in “the question remains open”)</w:t>
      </w:r>
    </w:p>
  </w:comment>
  <w:comment w:id="6" w:author="Unknown Author" w:date="2019-06-04T09:44:35Z" w:initials="">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eastAsia="en-US" w:bidi="ar-SA"/>
        </w:rPr>
        <w:t>on</w:t>
      </w:r>
    </w:p>
  </w:comment>
  <w:comment w:id="7" w:author="Unknown Author" w:date="2019-06-04T09:44:49Z" w:initials="">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eastAsia="en-US" w:bidi="ar-SA"/>
        </w:rPr>
        <w:t>if</w:t>
      </w:r>
    </w:p>
  </w:comment>
  <w:comment w:id="8" w:author="Unknown Author" w:date="2019-06-04T09:45:15Z" w:initials="">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eastAsia="en-US" w:bidi="ar-SA"/>
        </w:rPr>
        <w:t>“is due” or “thanks”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Segoe UI">
    <w:charset w:val="00"/>
    <w:family w:val="roman"/>
    <w:pitch w:val="variable"/>
  </w:font>
  <w:font w:name="Arial">
    <w:charset w:val="00"/>
    <w:family w:val="roman"/>
    <w:pitch w:val="variable"/>
  </w:font>
  <w:font w:name="Liberation Sans">
    <w:altName w:val="Arial"/>
    <w:charset w:val="00"/>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40867132"/>
    </w:sdtPr>
    <w:sdtContent>
      <w:p>
        <w:pPr>
          <w:pStyle w:val="Footer"/>
          <w:jc w:val="right"/>
          <w:rPr/>
        </w:pPr>
        <w:r>
          <w:rPr/>
          <w:fldChar w:fldCharType="begin"/>
        </w:r>
        <w:r>
          <w:rPr/>
          <w:instrText> PAGE </w:instrText>
        </w:r>
        <w:r>
          <w:rPr/>
          <w:fldChar w:fldCharType="separate"/>
        </w:r>
        <w:r>
          <w:rPr/>
          <w:t>28</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lvl w:ilvl="0">
      <w:start w:val="3"/>
      <w:numFmt w:val="decimal"/>
      <w:lvlText w:val="%1"/>
      <w:lvlJc w:val="left"/>
      <w:pPr>
        <w:ind w:left="360" w:hanging="360"/>
      </w:pPr>
    </w:lvl>
    <w:lvl w:ilvl="1">
      <w:start w:val="4"/>
      <w:numFmt w:val="decimal"/>
      <w:lvlText w:val="%1.%2"/>
      <w:lvlJc w:val="left"/>
      <w:pPr>
        <w:ind w:left="785"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3">
    <w:lvl w:ilvl="0">
      <w:start w:val="4"/>
      <w:numFmt w:val="decimal"/>
      <w:lvlText w:val="%1."/>
      <w:lvlJc w:val="left"/>
      <w:pPr>
        <w:ind w:left="1080" w:hanging="360"/>
      </w:pPr>
    </w:lvl>
    <w:lvl w:ilvl="1">
      <w:start w:val="1"/>
      <w:numFmt w:val="decimal"/>
      <w:lvlText w:val="%1.%2"/>
      <w:lvlJc w:val="left"/>
      <w:pPr>
        <w:ind w:left="1080" w:hanging="360"/>
      </w:pPr>
      <w:rPr>
        <w:sz w:val="20"/>
        <w:u w:val="single"/>
        <w:rFonts w:ascii="Arial" w:hAnsi="Arial"/>
      </w:rPr>
    </w:lvl>
    <w:lvl w:ilvl="2">
      <w:start w:val="1"/>
      <w:numFmt w:val="decimal"/>
      <w:lvlText w:val="%1.%2.%3"/>
      <w:lvlJc w:val="left"/>
      <w:pPr>
        <w:ind w:left="1440" w:hanging="720"/>
      </w:pPr>
      <w:rPr>
        <w:u w:val="single"/>
      </w:rPr>
    </w:lvl>
    <w:lvl w:ilvl="3">
      <w:start w:val="1"/>
      <w:numFmt w:val="decimal"/>
      <w:lvlText w:val="%1.%2.%3.%4"/>
      <w:lvlJc w:val="left"/>
      <w:pPr>
        <w:ind w:left="1440" w:hanging="720"/>
      </w:pPr>
      <w:rPr>
        <w:u w:val="single"/>
      </w:rPr>
    </w:lvl>
    <w:lvl w:ilvl="4">
      <w:start w:val="1"/>
      <w:numFmt w:val="decimal"/>
      <w:lvlText w:val="%1.%2.%3.%4.%5"/>
      <w:lvlJc w:val="left"/>
      <w:pPr>
        <w:ind w:left="1800" w:hanging="1080"/>
      </w:pPr>
      <w:rPr>
        <w:u w:val="single"/>
      </w:rPr>
    </w:lvl>
    <w:lvl w:ilvl="5">
      <w:start w:val="1"/>
      <w:numFmt w:val="decimal"/>
      <w:lvlText w:val="%1.%2.%3.%4.%5.%6"/>
      <w:lvlJc w:val="left"/>
      <w:pPr>
        <w:ind w:left="1800" w:hanging="1080"/>
      </w:pPr>
      <w:rPr>
        <w:u w:val="single"/>
      </w:rPr>
    </w:lvl>
    <w:lvl w:ilvl="6">
      <w:start w:val="1"/>
      <w:numFmt w:val="decimal"/>
      <w:lvlText w:val="%1.%2.%3.%4.%5.%6.%7"/>
      <w:lvlJc w:val="left"/>
      <w:pPr>
        <w:ind w:left="2160" w:hanging="1440"/>
      </w:pPr>
      <w:rPr>
        <w:u w:val="single"/>
      </w:rPr>
    </w:lvl>
    <w:lvl w:ilvl="7">
      <w:start w:val="1"/>
      <w:numFmt w:val="decimal"/>
      <w:lvlText w:val="%1.%2.%3.%4.%5.%6.%7.%8"/>
      <w:lvlJc w:val="left"/>
      <w:pPr>
        <w:ind w:left="2160" w:hanging="1440"/>
      </w:pPr>
      <w:rPr>
        <w:u w:val="single"/>
      </w:rPr>
    </w:lvl>
    <w:lvl w:ilvl="8">
      <w:start w:val="1"/>
      <w:numFmt w:val="decimal"/>
      <w:lvlText w:val="%1.%2.%3.%4.%5.%6.%7.%8.%9"/>
      <w:lvlJc w:val="left"/>
      <w:pPr>
        <w:ind w:left="2520" w:hanging="1800"/>
      </w:pPr>
      <w:rPr>
        <w:u w:val="single"/>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pt-P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pt-PT"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1421dc"/>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pt-PT" w:eastAsia="en-US" w:bidi="ar-SA"/>
    </w:rPr>
  </w:style>
  <w:style w:type="paragraph" w:styleId="Heading1">
    <w:name w:val="Heading 1"/>
    <w:basedOn w:val="Normal"/>
    <w:link w:val="Ttulo1Carter"/>
    <w:uiPriority w:val="9"/>
    <w:qFormat/>
    <w:rsid w:val="00237420"/>
    <w:pPr>
      <w:spacing w:lineRule="auto" w:line="240" w:beforeAutospacing="1" w:afterAutospacing="1"/>
      <w:outlineLvl w:val="0"/>
    </w:pPr>
    <w:rPr>
      <w:rFonts w:ascii="Times New Roman" w:hAnsi="Times New Roman" w:eastAsia="Times New Roman" w:cs="Times New Roman"/>
      <w:b/>
      <w:bCs/>
      <w:kern w:val="2"/>
      <w:sz w:val="48"/>
      <w:szCs w:val="48"/>
      <w:lang w:eastAsia="pt-PT"/>
    </w:rPr>
  </w:style>
  <w:style w:type="character" w:styleId="DefaultParagraphFont" w:default="1">
    <w:name w:val="Default Paragraph Font"/>
    <w:uiPriority w:val="1"/>
    <w:semiHidden/>
    <w:unhideWhenUsed/>
    <w:qFormat/>
    <w:rPr/>
  </w:style>
  <w:style w:type="character" w:styleId="PargrafodaListaCarter" w:customStyle="1">
    <w:name w:val="Parágrafo da Lista Caráter"/>
    <w:basedOn w:val="DefaultParagraphFont"/>
    <w:link w:val="PargrafodaLista"/>
    <w:uiPriority w:val="34"/>
    <w:qFormat/>
    <w:rsid w:val="001421dc"/>
    <w:rPr/>
  </w:style>
  <w:style w:type="character" w:styleId="Annotationreference">
    <w:name w:val="annotation reference"/>
    <w:basedOn w:val="DefaultParagraphFont"/>
    <w:uiPriority w:val="99"/>
    <w:semiHidden/>
    <w:unhideWhenUsed/>
    <w:qFormat/>
    <w:rsid w:val="001421dc"/>
    <w:rPr>
      <w:sz w:val="16"/>
      <w:szCs w:val="16"/>
    </w:rPr>
  </w:style>
  <w:style w:type="character" w:styleId="TextodecomentrioCarter" w:customStyle="1">
    <w:name w:val="Texto de comentário Caráter"/>
    <w:basedOn w:val="DefaultParagraphFont"/>
    <w:link w:val="Textodecomentrio"/>
    <w:uiPriority w:val="99"/>
    <w:semiHidden/>
    <w:qFormat/>
    <w:rsid w:val="001421dc"/>
    <w:rPr>
      <w:sz w:val="20"/>
      <w:szCs w:val="20"/>
    </w:rPr>
  </w:style>
  <w:style w:type="character" w:styleId="TextodebaloCarter" w:customStyle="1">
    <w:name w:val="Texto de balão Caráter"/>
    <w:basedOn w:val="DefaultParagraphFont"/>
    <w:link w:val="Textodebalo"/>
    <w:uiPriority w:val="99"/>
    <w:semiHidden/>
    <w:qFormat/>
    <w:rsid w:val="001421dc"/>
    <w:rPr>
      <w:rFonts w:ascii="Segoe UI" w:hAnsi="Segoe UI" w:cs="Segoe UI"/>
      <w:sz w:val="18"/>
      <w:szCs w:val="18"/>
    </w:rPr>
  </w:style>
  <w:style w:type="character" w:styleId="Emphasis">
    <w:name w:val="Emphasis"/>
    <w:basedOn w:val="DefaultParagraphFont"/>
    <w:uiPriority w:val="20"/>
    <w:qFormat/>
    <w:rsid w:val="001421dc"/>
    <w:rPr>
      <w:i/>
      <w:iCs/>
    </w:rPr>
  </w:style>
  <w:style w:type="character" w:styleId="InternetLink">
    <w:name w:val="Internet Link"/>
    <w:basedOn w:val="DefaultParagraphFont"/>
    <w:uiPriority w:val="99"/>
    <w:unhideWhenUsed/>
    <w:rsid w:val="005415eb"/>
    <w:rPr>
      <w:color w:val="0563C1" w:themeColor="hyperlink"/>
      <w:u w:val="single"/>
    </w:rPr>
  </w:style>
  <w:style w:type="character" w:styleId="MenoNoResolvida1" w:customStyle="1">
    <w:name w:val="Menção Não Resolvida1"/>
    <w:basedOn w:val="DefaultParagraphFont"/>
    <w:uiPriority w:val="99"/>
    <w:semiHidden/>
    <w:unhideWhenUsed/>
    <w:qFormat/>
    <w:rsid w:val="005415eb"/>
    <w:rPr>
      <w:color w:val="605E5C"/>
      <w:shd w:fill="E1DFDD" w:val="clear"/>
    </w:rPr>
  </w:style>
  <w:style w:type="character" w:styleId="CabealhoCarter" w:customStyle="1">
    <w:name w:val="Cabeçalho Caráter"/>
    <w:basedOn w:val="DefaultParagraphFont"/>
    <w:link w:val="Cabealho"/>
    <w:uiPriority w:val="99"/>
    <w:qFormat/>
    <w:rsid w:val="003624d5"/>
    <w:rPr/>
  </w:style>
  <w:style w:type="character" w:styleId="RodapCarter" w:customStyle="1">
    <w:name w:val="Rodapé Caráter"/>
    <w:basedOn w:val="DefaultParagraphFont"/>
    <w:link w:val="Rodap"/>
    <w:uiPriority w:val="99"/>
    <w:qFormat/>
    <w:rsid w:val="003624d5"/>
    <w:rPr/>
  </w:style>
  <w:style w:type="character" w:styleId="Ttulo1Carter" w:customStyle="1">
    <w:name w:val="Título 1 Caráter"/>
    <w:basedOn w:val="DefaultParagraphFont"/>
    <w:link w:val="Ttulo1"/>
    <w:uiPriority w:val="9"/>
    <w:qFormat/>
    <w:rsid w:val="00237420"/>
    <w:rPr>
      <w:rFonts w:ascii="Times New Roman" w:hAnsi="Times New Roman" w:eastAsia="Times New Roman" w:cs="Times New Roman"/>
      <w:b/>
      <w:bCs/>
      <w:kern w:val="2"/>
      <w:sz w:val="48"/>
      <w:szCs w:val="48"/>
      <w:lang w:eastAsia="pt-PT"/>
    </w:rPr>
  </w:style>
  <w:style w:type="character" w:styleId="EndNoteBibliographyTitleChar" w:customStyle="1">
    <w:name w:val="EndNote Bibliography Title Char"/>
    <w:basedOn w:val="DefaultParagraphFont"/>
    <w:link w:val="EndNoteBibliographyTitle"/>
    <w:qFormat/>
    <w:rsid w:val="005460f3"/>
    <w:rPr>
      <w:rFonts w:ascii="Calibri" w:hAnsi="Calibri"/>
      <w:lang w:val="en-US"/>
    </w:rPr>
  </w:style>
  <w:style w:type="character" w:styleId="EndNoteBibliographyChar" w:customStyle="1">
    <w:name w:val="EndNote Bibliography Char"/>
    <w:basedOn w:val="DefaultParagraphFont"/>
    <w:link w:val="EndNoteBibliography"/>
    <w:qFormat/>
    <w:rsid w:val="005460f3"/>
    <w:rPr>
      <w:rFonts w:ascii="Calibri" w:hAnsi="Calibri"/>
      <w:lang w:val="en-US"/>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eastAsia="Calibri" w:cs="Calibri"/>
      <w:b/>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eastAsia="Calibri" w:cs=""/>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eastAsia="Calibri" w:cs="Calibri"/>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ascii="Arial" w:hAnsi="Arial"/>
      <w:sz w:val="20"/>
      <w:u w:val="single"/>
    </w:rPr>
  </w:style>
  <w:style w:type="character" w:styleId="ListLabel80">
    <w:name w:val="ListLabel 80"/>
    <w:qFormat/>
    <w:rPr>
      <w:u w:val="single"/>
    </w:rPr>
  </w:style>
  <w:style w:type="character" w:styleId="ListLabel81">
    <w:name w:val="ListLabel 81"/>
    <w:qFormat/>
    <w:rPr>
      <w:u w:val="single"/>
    </w:rPr>
  </w:style>
  <w:style w:type="character" w:styleId="ListLabel82">
    <w:name w:val="ListLabel 82"/>
    <w:qFormat/>
    <w:rPr>
      <w:u w:val="single"/>
    </w:rPr>
  </w:style>
  <w:style w:type="character" w:styleId="ListLabel83">
    <w:name w:val="ListLabel 83"/>
    <w:qFormat/>
    <w:rPr>
      <w:u w:val="single"/>
    </w:rPr>
  </w:style>
  <w:style w:type="character" w:styleId="ListLabel84">
    <w:name w:val="ListLabel 84"/>
    <w:qFormat/>
    <w:rPr>
      <w:u w:val="single"/>
    </w:rPr>
  </w:style>
  <w:style w:type="character" w:styleId="ListLabel85">
    <w:name w:val="ListLabel 85"/>
    <w:qFormat/>
    <w:rPr>
      <w:u w:val="single"/>
    </w:rPr>
  </w:style>
  <w:style w:type="character" w:styleId="ListLabel86">
    <w:name w:val="ListLabel 86"/>
    <w:qFormat/>
    <w:rPr>
      <w:u w:val="single"/>
    </w:rPr>
  </w:style>
  <w:style w:type="character" w:styleId="ListLabel87">
    <w:name w:val="ListLabel 87"/>
    <w:qFormat/>
    <w:rPr>
      <w:rFonts w:cs="Courier New"/>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rFonts w:eastAsia="Calibri" w:cs="Calibri"/>
    </w:rPr>
  </w:style>
  <w:style w:type="character" w:styleId="ListLabel94">
    <w:name w:val="ListLabel 94"/>
    <w:qFormat/>
    <w:rPr>
      <w:rFonts w:cs="Courier New"/>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cs="Courier New"/>
    </w:rPr>
  </w:style>
  <w:style w:type="character" w:styleId="ListLabel98">
    <w:name w:val="ListLabel 98"/>
    <w:qFormat/>
    <w:rPr>
      <w:rFonts w:cs="Courier New"/>
    </w:rPr>
  </w:style>
  <w:style w:type="character" w:styleId="ListLabel99">
    <w:name w:val="ListLabel 99"/>
    <w:qFormat/>
    <w:rPr>
      <w:rFonts w:cs="Courier New"/>
    </w:rPr>
  </w:style>
  <w:style w:type="character" w:styleId="ListLabel100">
    <w:name w:val="ListLabel 100"/>
    <w:qFormat/>
    <w:rPr>
      <w:rFonts w:cs="Courier New"/>
    </w:rPr>
  </w:style>
  <w:style w:type="character" w:styleId="ListLabel101">
    <w:name w:val="ListLabel 101"/>
    <w:qFormat/>
    <w:rPr>
      <w:rFonts w:cs="Courier New"/>
    </w:rPr>
  </w:style>
  <w:style w:type="character" w:styleId="ListLabel102">
    <w:name w:val="ListLabel 102"/>
    <w:qFormat/>
    <w:rPr>
      <w:rFonts w:cs="Courier New"/>
    </w:rPr>
  </w:style>
  <w:style w:type="character" w:styleId="ListLabel103">
    <w:name w:val="ListLabel 103"/>
    <w:qFormat/>
    <w:rPr>
      <w:rFonts w:cs="Courier New"/>
    </w:rPr>
  </w:style>
  <w:style w:type="character" w:styleId="ListLabel104">
    <w:name w:val="ListLabel 104"/>
    <w:qFormat/>
    <w:rPr>
      <w:rFonts w:cs="Courier New"/>
    </w:rPr>
  </w:style>
  <w:style w:type="character" w:styleId="ListLabel105">
    <w:name w:val="ListLabel 105"/>
    <w:qFormat/>
    <w:rPr>
      <w:rFonts w:cs="Courier New"/>
    </w:rPr>
  </w:style>
  <w:style w:type="character" w:styleId="ListLabel106">
    <w:name w:val="ListLabel 106"/>
    <w:qFormat/>
    <w:rPr>
      <w:rFonts w:cs="Courier New"/>
    </w:rPr>
  </w:style>
  <w:style w:type="character" w:styleId="ListLabel107">
    <w:name w:val="ListLabel 107"/>
    <w:qFormat/>
    <w:rPr>
      <w:rFonts w:cs="Courier New"/>
    </w:rPr>
  </w:style>
  <w:style w:type="character" w:styleId="ListLabel108">
    <w:name w:val="ListLabel 108"/>
    <w:qFormat/>
    <w:rPr>
      <w:rFonts w:cs="Courier New"/>
    </w:rPr>
  </w:style>
  <w:style w:type="character" w:styleId="ListLabel109">
    <w:name w:val="ListLabel 109"/>
    <w:qFormat/>
    <w:rPr>
      <w:rFonts w:cs="Courier New"/>
    </w:rPr>
  </w:style>
  <w:style w:type="character" w:styleId="ListLabel110">
    <w:name w:val="ListLabel 110"/>
    <w:qFormat/>
    <w:rPr>
      <w:rFonts w:cs="Courier New"/>
    </w:rPr>
  </w:style>
  <w:style w:type="character" w:styleId="ListLabel111">
    <w:name w:val="ListLabel 111"/>
    <w:qFormat/>
    <w:rPr>
      <w:rFonts w:cs="Courier New"/>
    </w:rPr>
  </w:style>
  <w:style w:type="character" w:styleId="ListLabel112">
    <w:name w:val="ListLabel 112"/>
    <w:qFormat/>
    <w:rPr>
      <w:rFonts w:cs="Courier New"/>
    </w:rPr>
  </w:style>
  <w:style w:type="character" w:styleId="ListLabel113">
    <w:name w:val="ListLabel 113"/>
    <w:qFormat/>
    <w:rPr>
      <w:rFonts w:cs="Courier New"/>
    </w:rPr>
  </w:style>
  <w:style w:type="character" w:styleId="ListLabel114">
    <w:name w:val="ListLabel 114"/>
    <w:qFormat/>
    <w:rPr>
      <w:rFonts w:cs="Courier New"/>
    </w:rPr>
  </w:style>
  <w:style w:type="character" w:styleId="ListLabel115">
    <w:name w:val="ListLabel 115"/>
    <w:qFormat/>
    <w:rPr>
      <w:rFonts w:eastAsia="Calibri" w:cs=""/>
    </w:rPr>
  </w:style>
  <w:style w:type="character" w:styleId="ListLabel116">
    <w:name w:val="ListLabel 116"/>
    <w:qFormat/>
    <w:rPr>
      <w:rFonts w:cs="Courier New"/>
    </w:rPr>
  </w:style>
  <w:style w:type="character" w:styleId="ListLabel117">
    <w:name w:val="ListLabel 117"/>
    <w:qFormat/>
    <w:rPr>
      <w:rFonts w:cs="Courier New"/>
    </w:rPr>
  </w:style>
  <w:style w:type="character" w:styleId="ListLabel118">
    <w:name w:val="ListLabel 118"/>
    <w:qFormat/>
    <w:rPr>
      <w:rFonts w:cs="Courier New"/>
    </w:rPr>
  </w:style>
  <w:style w:type="character" w:styleId="ListLabel119">
    <w:name w:val="ListLabel 119"/>
    <w:qFormat/>
    <w:rPr>
      <w:rFonts w:cs="Courier New"/>
    </w:rPr>
  </w:style>
  <w:style w:type="character" w:styleId="ListLabel120">
    <w:name w:val="ListLabel 120"/>
    <w:qFormat/>
    <w:rPr>
      <w:rFonts w:cs="Courier New"/>
    </w:rPr>
  </w:style>
  <w:style w:type="character" w:styleId="ListLabel121">
    <w:name w:val="ListLabel 121"/>
    <w:qFormat/>
    <w:rPr>
      <w:rFonts w:cs="Courier New"/>
    </w:rPr>
  </w:style>
  <w:style w:type="character" w:styleId="ListLabel122">
    <w:name w:val="ListLabel 122"/>
    <w:qFormat/>
    <w:rPr>
      <w:rFonts w:cs="Courier New"/>
    </w:rPr>
  </w:style>
  <w:style w:type="character" w:styleId="ListLabel123">
    <w:name w:val="ListLabel 123"/>
    <w:qFormat/>
    <w:rPr>
      <w:rFonts w:cs="Courier New"/>
    </w:rPr>
  </w:style>
  <w:style w:type="character" w:styleId="ListLabel124">
    <w:name w:val="ListLabel 124"/>
    <w:qFormat/>
    <w:rPr>
      <w:rFonts w:cs="Courier New"/>
    </w:rPr>
  </w:style>
  <w:style w:type="character" w:styleId="ListLabel125">
    <w:name w:val="ListLabel 125"/>
    <w:qFormat/>
    <w:rPr>
      <w:rFonts w:ascii="Arial" w:hAnsi="Arial" w:eastAsia="Times New Roman" w:cs="Arial"/>
      <w:color w:val="333333"/>
      <w:sz w:val="18"/>
      <w:szCs w:val="18"/>
      <w:lang w:val="en-GB" w:eastAsia="pt-PT"/>
    </w:rPr>
  </w:style>
  <w:style w:type="character" w:styleId="ListLabel126">
    <w:name w:val="ListLabel 126"/>
    <w:qFormat/>
    <w:rPr>
      <w:lang w:val="de-DE"/>
    </w:rPr>
  </w:style>
  <w:style w:type="character" w:styleId="ListLabel127">
    <w:name w:val="ListLabel 127"/>
    <w:qFormat/>
    <w:rPr>
      <w:lang w:val="en-GB"/>
    </w:rPr>
  </w:style>
  <w:style w:type="character" w:styleId="ListLabel128">
    <w:name w:val="ListLabel 128"/>
    <w:qFormat/>
    <w:rPr>
      <w:rFonts w:ascii="Arial" w:hAnsi="Arial" w:cs="Arial"/>
      <w:sz w:val="20"/>
      <w:szCs w:val="20"/>
      <w:lang w:val="de-DE"/>
    </w:rPr>
  </w:style>
  <w:style w:type="character" w:styleId="ListLabel129">
    <w:name w:val="ListLabel 129"/>
    <w:qFormat/>
    <w:rPr>
      <w:rFonts w:ascii="Arial" w:hAnsi="Arial" w:cs="Arial"/>
      <w:bCs/>
      <w:color w:val="0066FF"/>
      <w:sz w:val="20"/>
      <w:szCs w:val="20"/>
      <w:shd w:fill="FFFFFF" w:val="clear"/>
      <w:lang w:val="en-GB"/>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link w:val="PargrafodaListaCarter"/>
    <w:uiPriority w:val="34"/>
    <w:qFormat/>
    <w:rsid w:val="001421dc"/>
    <w:pPr>
      <w:spacing w:before="0" w:after="160"/>
      <w:ind w:left="720" w:hanging="0"/>
      <w:contextualSpacing/>
    </w:pPr>
    <w:rPr/>
  </w:style>
  <w:style w:type="paragraph" w:styleId="Annotationtext">
    <w:name w:val="annotation text"/>
    <w:basedOn w:val="Normal"/>
    <w:link w:val="TextodecomentrioCarter"/>
    <w:uiPriority w:val="99"/>
    <w:semiHidden/>
    <w:unhideWhenUsed/>
    <w:qFormat/>
    <w:rsid w:val="001421dc"/>
    <w:pPr>
      <w:spacing w:lineRule="auto" w:line="240"/>
    </w:pPr>
    <w:rPr>
      <w:sz w:val="20"/>
      <w:szCs w:val="20"/>
    </w:rPr>
  </w:style>
  <w:style w:type="paragraph" w:styleId="BalloonText">
    <w:name w:val="Balloon Text"/>
    <w:basedOn w:val="Normal"/>
    <w:link w:val="TextodebaloCarter"/>
    <w:uiPriority w:val="99"/>
    <w:semiHidden/>
    <w:unhideWhenUsed/>
    <w:qFormat/>
    <w:rsid w:val="001421dc"/>
    <w:pPr>
      <w:spacing w:lineRule="auto" w:line="240" w:before="0" w:after="0"/>
    </w:pPr>
    <w:rPr>
      <w:rFonts w:ascii="Segoe UI" w:hAnsi="Segoe UI" w:cs="Segoe UI"/>
      <w:sz w:val="18"/>
      <w:szCs w:val="18"/>
    </w:rPr>
  </w:style>
  <w:style w:type="paragraph" w:styleId="Header">
    <w:name w:val="Header"/>
    <w:basedOn w:val="Normal"/>
    <w:link w:val="CabealhoCarter"/>
    <w:uiPriority w:val="99"/>
    <w:unhideWhenUsed/>
    <w:rsid w:val="003624d5"/>
    <w:pPr>
      <w:tabs>
        <w:tab w:val="clear" w:pos="708"/>
        <w:tab w:val="center" w:pos="4252" w:leader="none"/>
        <w:tab w:val="right" w:pos="8504" w:leader="none"/>
      </w:tabs>
      <w:spacing w:lineRule="auto" w:line="240" w:before="0" w:after="0"/>
    </w:pPr>
    <w:rPr/>
  </w:style>
  <w:style w:type="paragraph" w:styleId="Footer">
    <w:name w:val="Footer"/>
    <w:basedOn w:val="Normal"/>
    <w:link w:val="RodapCarter"/>
    <w:uiPriority w:val="99"/>
    <w:unhideWhenUsed/>
    <w:rsid w:val="003624d5"/>
    <w:pPr>
      <w:tabs>
        <w:tab w:val="clear" w:pos="708"/>
        <w:tab w:val="center" w:pos="4252" w:leader="none"/>
        <w:tab w:val="right" w:pos="8504" w:leader="none"/>
      </w:tabs>
      <w:spacing w:lineRule="auto" w:line="240" w:before="0" w:after="0"/>
    </w:pPr>
    <w:rPr/>
  </w:style>
  <w:style w:type="paragraph" w:styleId="EndNoteBibliographyTitle" w:customStyle="1">
    <w:name w:val="EndNote Bibliography Title"/>
    <w:basedOn w:val="Normal"/>
    <w:link w:val="EndNoteBibliographyTitleChar"/>
    <w:qFormat/>
    <w:rsid w:val="005460f3"/>
    <w:pPr>
      <w:spacing w:before="0" w:after="0"/>
      <w:jc w:val="center"/>
    </w:pPr>
    <w:rPr>
      <w:rFonts w:ascii="Calibri" w:hAnsi="Calibri"/>
      <w:lang w:val="en-US"/>
    </w:rPr>
  </w:style>
  <w:style w:type="paragraph" w:styleId="EndNoteBibliography" w:customStyle="1">
    <w:name w:val="EndNote Bibliography"/>
    <w:basedOn w:val="Normal"/>
    <w:link w:val="EndNoteBibliographyChar"/>
    <w:qFormat/>
    <w:rsid w:val="005460f3"/>
    <w:pPr>
      <w:spacing w:lineRule="auto" w:line="240"/>
      <w:jc w:val="both"/>
    </w:pPr>
    <w:rPr>
      <w:rFonts w:ascii="Calibri" w:hAnsi="Calibri"/>
      <w:lang w:val="en-US"/>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hyperlink" Target="http://flybase.org/reports/FBal0241893" TargetMode="External"/><Relationship Id="rId20" Type="http://schemas.openxmlformats.org/officeDocument/2006/relationships/hyperlink" Target="http://flybase.org/reports/FBal0008064" TargetMode="External"/><Relationship Id="rId21" Type="http://schemas.openxmlformats.org/officeDocument/2006/relationships/hyperlink" Target="http://flybase.org/reports/FBal0151385" TargetMode="External"/><Relationship Id="rId22" Type="http://schemas.openxmlformats.org/officeDocument/2006/relationships/hyperlink" Target="https://lsmanchesterblog.wordpress.com/2015/11/05/fly-method-is-epilepsys-ray-of-light/" TargetMode="External"/><Relationship Id="rId23" Type="http://schemas.openxmlformats.org/officeDocument/2006/relationships/hyperlink" Target="http://droso4schools.wordpress.com/why-fly" TargetMode="External"/><Relationship Id="rId24" Type="http://schemas.openxmlformats.org/officeDocument/2006/relationships/hyperlink" Target="https://www.scbt.com/scbt/product/epothilone-b-152044-54-7" TargetMode="External"/><Relationship Id="rId25" Type="http://schemas.openxmlformats.org/officeDocument/2006/relationships/hyperlink" Target="https://www.who.int/news-room/fact-sheets/detail/epilepsy" TargetMode="External"/><Relationship Id="rId26" Type="http://schemas.openxmlformats.org/officeDocument/2006/relationships/footer" Target="footer1.xml"/><Relationship Id="rId27" Type="http://schemas.openxmlformats.org/officeDocument/2006/relationships/comments" Target="comments.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E9D933-B014-493F-BA2C-C925987C9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Application>LibreOffice/6.1.2.1$Windows_X86_64 LibreOffice_project/65905a128db06ba48db947242809d14d3f9a93fe</Application>
  <Pages>28</Pages>
  <Words>11994</Words>
  <Characters>66838</Characters>
  <CharactersWithSpaces>78629</CharactersWithSpaces>
  <Paragraphs>200</Paragraphs>
  <Company>University of Manchester</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2019-05-22T09:03:00Z</dcterms:created>
  <dc:creator>Emma  Ganga</dc:creator>
  <dc:description/>
  <dc:language>en-US</dc:language>
  <cp:lastModifiedBy/>
  <dcterms:modified xsi:type="dcterms:W3CDTF">2019-06-04T09:45:55Z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University of Manchester</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