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Override PartName="/word/_rels/document.xml.rels" ContentType="application/vnd.openxmlformats-package.relationships+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360" w:after="80"/>
        <w:rPr/>
      </w:pPr>
      <w:r>
        <w:rPr/>
        <w:t>Title</w:t>
      </w:r>
    </w:p>
    <w:p>
      <w:pPr>
        <w:pStyle w:val="Heading2"/>
        <w:rPr/>
      </w:pPr>
      <w:r>
        <w:rPr/>
        <w:t>METADATA</w:t>
      </w:r>
    </w:p>
    <w:p>
      <w:pPr>
        <w:pStyle w:val="Normal"/>
        <w:rPr/>
      </w:pPr>
      <w:r>
        <w:rPr/>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4414"/>
        <w:gridCol w:w="2388"/>
        <w:gridCol w:w="3402"/>
      </w:tblGrid>
      <w:tr>
        <w:trPr/>
        <w:tc>
          <w:tcPr>
            <w:tcW w:w="4414" w:type="dxa"/>
            <w:tcBorders>
              <w:top w:val="single" w:sz="4" w:space="0" w:color="000000"/>
              <w:left w:val="single" w:sz="4" w:space="0" w:color="000000"/>
              <w:bottom w:val="single" w:sz="4" w:space="0" w:color="000000"/>
            </w:tcBorders>
          </w:tcPr>
          <w:p>
            <w:pPr>
              <w:pStyle w:val="TableContents"/>
              <w:spacing w:before="0" w:after="160"/>
              <w:rPr>
                <w:b/>
                <w:bCs/>
              </w:rPr>
            </w:pPr>
            <w:r>
              <w:rPr>
                <w:b/>
                <w:bCs/>
              </w:rPr>
              <w:t>author</w:t>
            </w:r>
          </w:p>
        </w:tc>
        <w:tc>
          <w:tcPr>
            <w:tcW w:w="2388" w:type="dxa"/>
            <w:tcBorders>
              <w:top w:val="single" w:sz="4" w:space="0" w:color="000000"/>
              <w:left w:val="single" w:sz="4" w:space="0" w:color="000000"/>
              <w:bottom w:val="single" w:sz="4" w:space="0" w:color="000000"/>
            </w:tcBorders>
          </w:tcPr>
          <w:p>
            <w:pPr>
              <w:pStyle w:val="TableContents"/>
              <w:spacing w:before="0" w:after="160"/>
              <w:rPr>
                <w:b/>
                <w:bCs/>
              </w:rPr>
            </w:pPr>
            <w:r>
              <w:rPr>
                <w:b/>
                <w:bCs/>
              </w:rPr>
              <w:t>affiliation_ids</w:t>
            </w:r>
          </w:p>
        </w:tc>
        <w:tc>
          <w:tcPr>
            <w:tcW w:w="34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orcid</w:t>
            </w:r>
          </w:p>
        </w:tc>
      </w:tr>
      <w:tr>
        <w:trPr/>
        <w:tc>
          <w:tcPr>
            <w:tcW w:w="4414" w:type="dxa"/>
            <w:tcBorders>
              <w:left w:val="single" w:sz="4" w:space="0" w:color="000000"/>
              <w:bottom w:val="single" w:sz="4" w:space="0" w:color="000000"/>
            </w:tcBorders>
          </w:tcPr>
          <w:p>
            <w:pPr>
              <w:pStyle w:val="Normal"/>
              <w:spacing w:before="0" w:after="160"/>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t>Full name author 1</w:t>
            </w:r>
          </w:p>
        </w:tc>
        <w:tc>
          <w:tcPr>
            <w:tcW w:w="2388" w:type="dxa"/>
            <w:tcBorders>
              <w:left w:val="single" w:sz="4" w:space="0" w:color="000000"/>
              <w:bottom w:val="single" w:sz="4" w:space="0" w:color="000000"/>
            </w:tcBorders>
          </w:tcPr>
          <w:p>
            <w:pPr>
              <w:pStyle w:val="TableContents"/>
              <w:widowControl w:val="false"/>
              <w:suppressLineNumbers/>
              <w:spacing w:before="0" w:after="160"/>
              <w:rPr/>
            </w:pPr>
            <w:r>
              <w:rPr/>
              <w:t>1*</w:t>
            </w:r>
          </w:p>
        </w:tc>
        <w:tc>
          <w:tcPr>
            <w:tcW w:w="34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0000-xxxx-xxxx-xxxx</w:t>
            </w:r>
          </w:p>
        </w:tc>
      </w:tr>
      <w:tr>
        <w:trPr/>
        <w:tc>
          <w:tcPr>
            <w:tcW w:w="4414" w:type="dxa"/>
            <w:tcBorders>
              <w:left w:val="single" w:sz="4" w:space="0" w:color="000000"/>
              <w:bottom w:val="single" w:sz="4" w:space="0" w:color="000000"/>
            </w:tcBorders>
          </w:tcPr>
          <w:p>
            <w:pPr>
              <w:pStyle w:val="Normal"/>
              <w:spacing w:before="0" w:after="160"/>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t>Full name author 2</w:t>
            </w:r>
          </w:p>
        </w:tc>
        <w:tc>
          <w:tcPr>
            <w:tcW w:w="2388" w:type="dxa"/>
            <w:tcBorders>
              <w:left w:val="single" w:sz="4" w:space="0" w:color="000000"/>
              <w:bottom w:val="single" w:sz="4" w:space="0" w:color="000000"/>
            </w:tcBorders>
          </w:tcPr>
          <w:p>
            <w:pPr>
              <w:pStyle w:val="TableContents"/>
              <w:widowControl w:val="false"/>
              <w:suppressLineNumbers/>
              <w:spacing w:before="0" w:after="160"/>
              <w:rPr/>
            </w:pPr>
            <w:r>
              <w:rPr/>
              <w:t>1,2</w:t>
            </w:r>
          </w:p>
        </w:tc>
        <w:tc>
          <w:tcPr>
            <w:tcW w:w="34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r>
        <w:trPr/>
        <w:tc>
          <w:tcPr>
            <w:tcW w:w="4414" w:type="dxa"/>
            <w:tcBorders>
              <w:left w:val="single" w:sz="4" w:space="0" w:color="000000"/>
              <w:bottom w:val="single" w:sz="4" w:space="0" w:color="000000"/>
            </w:tcBorders>
          </w:tcPr>
          <w:p>
            <w:pPr>
              <w:pStyle w:val="Normal"/>
              <w:spacing w:before="0" w:after="160"/>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t>Full name author 3</w:t>
            </w:r>
          </w:p>
        </w:tc>
        <w:tc>
          <w:tcPr>
            <w:tcW w:w="2388" w:type="dxa"/>
            <w:tcBorders>
              <w:left w:val="single" w:sz="4" w:space="0" w:color="000000"/>
              <w:bottom w:val="single" w:sz="4" w:space="0" w:color="000000"/>
            </w:tcBorders>
          </w:tcPr>
          <w:p>
            <w:pPr>
              <w:pStyle w:val="TableContents"/>
              <w:spacing w:before="0" w:after="160"/>
              <w:rPr/>
            </w:pPr>
            <w:r>
              <w:rPr/>
              <w:t>2</w:t>
            </w:r>
          </w:p>
        </w:tc>
        <w:tc>
          <w:tcPr>
            <w:tcW w:w="34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bl>
    <w:p>
      <w:pPr>
        <w:pStyle w:val="Normal"/>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5101"/>
        <w:gridCol w:w="5102"/>
      </w:tblGrid>
      <w:tr>
        <w:trPr/>
        <w:tc>
          <w:tcPr>
            <w:tcW w:w="5101" w:type="dxa"/>
            <w:tcBorders>
              <w:top w:val="single" w:sz="4" w:space="0" w:color="000000"/>
              <w:left w:val="single" w:sz="4" w:space="0" w:color="000000"/>
              <w:bottom w:val="single" w:sz="4" w:space="0" w:color="000000"/>
            </w:tcBorders>
          </w:tcPr>
          <w:p>
            <w:pPr>
              <w:pStyle w:val="TableContents"/>
              <w:spacing w:before="0" w:after="160"/>
              <w:rPr>
                <w:b/>
                <w:bCs/>
              </w:rPr>
            </w:pPr>
            <w:r>
              <w:rPr>
                <w:b/>
                <w:bCs/>
              </w:rPr>
              <w:t>affiliation</w:t>
            </w:r>
          </w:p>
        </w:tc>
        <w:tc>
          <w:tcPr>
            <w:tcW w:w="51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id</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sz w:val="24"/>
                <w:szCs w:val="24"/>
              </w:rPr>
            </w:pPr>
            <w:r>
              <w:rPr>
                <w:rFonts w:cs="Open Sans" w:ascii="Open Sans" w:hAnsi="Open Sans"/>
                <w:color w:themeColor="dark1" w:val="000000"/>
                <w:sz w:val="24"/>
                <w:szCs w:val="24"/>
                <w:lang w:val="en-GB"/>
              </w:rPr>
              <w:t>Department, University, City, Country</w:t>
            </w:r>
          </w:p>
        </w:tc>
        <w:tc>
          <w:tcPr>
            <w:tcW w:w="51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1</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Department, University, City, Country</w:t>
            </w:r>
          </w:p>
        </w:tc>
        <w:tc>
          <w:tcPr>
            <w:tcW w:w="51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2</w:t>
            </w:r>
          </w:p>
        </w:tc>
      </w:tr>
    </w:tbl>
    <w:p>
      <w:pPr>
        <w:pStyle w:val="Normal"/>
        <w:rPr/>
      </w:pPr>
      <w:r>
        <w:rPr/>
      </w:r>
    </w:p>
    <w:p>
      <w:pPr>
        <w:pStyle w:val="Normal"/>
        <w:rPr/>
      </w:pPr>
      <w:r>
        <w:rPr>
          <w:b/>
          <w:bCs/>
        </w:rPr>
        <w:t>corresponding_email</w:t>
      </w:r>
      <w:r>
        <w:rPr/>
        <w:t>: address@domain.com</w:t>
      </w:r>
    </w:p>
    <w:p>
      <w:pPr>
        <w:pStyle w:val="Normal"/>
        <w:rPr/>
      </w:pPr>
      <w:r>
        <w:rPr>
          <w:b/>
          <w:bCs/>
        </w:rPr>
        <w:t>Keywords</w:t>
      </w:r>
      <w:r>
        <w:rPr/>
        <w:t>: keyword1, keyword2, keyword3,...</w:t>
      </w:r>
    </w:p>
    <w:p>
      <w:pPr>
        <w:pStyle w:val="Heading2"/>
        <w:rPr/>
      </w:pPr>
      <w:r>
        <w:rPr/>
        <w:t xml:space="preserve">ABSTRACT </w:t>
      </w:r>
    </w:p>
    <w:p>
      <w:pPr>
        <w:pStyle w:val="Normal"/>
        <w:rPr/>
      </w:pPr>
      <w:r>
        <w:rPr/>
        <w:t>Objective: WE THE PEOPLES OF THE UNITED NATIONS DETERMINED to save succeeding generations from the scourge of war, which twice in our lifetime has brought untold sorrow to mankind, and to reaffirm faith in fundamental human rights, in the dignity and worth of the human person, in the equal rights of men and women and of nations large and small, and to establish conditions under which justice and respect for the obligations arising from treaties and other sources of international law can be maintained, and to promote social progress and better standards of life in larger freedom,</w:t>
      </w:r>
    </w:p>
    <w:p>
      <w:pPr>
        <w:pStyle w:val="Normal"/>
        <w:rPr/>
      </w:pPr>
      <w:r>
        <w:rPr/>
        <w:t>Results: AND FOR THESE ENDS to practice tolerance and live together in peace with one another as good neighbours, and to unite our strength to maintain international peace and security, and</w:t>
      </w:r>
    </w:p>
    <w:p>
      <w:pPr>
        <w:pStyle w:val="BodyText"/>
        <w:rPr/>
      </w:pPr>
      <w:r>
        <w:rPr/>
        <w:t>to ensure, by the acceptance of principles and the institution of methods, that armed force shall not be used, save in the common interest, and to employ international machinery for the promotion of the economic and social advancement of all peoples,</w:t>
      </w:r>
    </w:p>
    <w:p>
      <w:pPr>
        <w:pStyle w:val="Normal"/>
        <w:rPr/>
      </w:pPr>
      <w:r>
        <w:rPr/>
        <w:t>Conclusion: HAVE RESOLVED TO COMBINE OUR EFFORTS TO ACCOMPLISH THESE AIMS. Accordingly, our respective Governments, through representatives assembled in the city of San Francisco, who have exhibited their full powers found to be in good and due form, have agreed to the present Charter of the United Nations and do hereby establish an international organization to be known as the United Nations.</w:t>
      </w:r>
    </w:p>
    <w:p>
      <w:pPr>
        <w:pStyle w:val="Normal"/>
        <w:rPr/>
      </w:pPr>
      <w:r>
        <w:rPr/>
      </w:r>
      <w:r>
        <w:br w:type="page"/>
      </w:r>
    </w:p>
    <w:p>
      <w:pPr>
        <w:pStyle w:val="Heading1"/>
        <w:spacing w:before="0" w:after="80"/>
        <w:rPr/>
      </w:pPr>
      <w:r>
        <w:rPr/>
        <w:t>Introduction</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{"citationID":"uk5Fcgjw","properties":{"formattedCitation":"[1, 2]","plainCitation":"[1, 2]","noteIndex":0},"citationItems":[{"id":70,"uris":["http://zotero.org/users/3011573/items/J7A9EQH4"],"itemData":{"id":70,"type":"legislation","container-title":"U.N. UDHR","language":"eng","number":"Res 217 A","title":"The Universal Declaration of Human Rights","URL":"https://www.un.org/en/universal-declaration-human-rights/index.html","author":[{"family":"U.N. General Assembly","given":""}],"accessed":{"date-parts":[["2010",5,3]]},"issued":{"date-parts":[["1948",12,10]]},"citation-key":"UNGUniversalDecla1948"}},{"id":552,"uris":["http://zotero.org/users/3011573/items/YSLI3RQS"],"itemData":{"id":552,"type":"document","publisher":"United Nations","title":"The 2030 Agenda for Sustainable Development","URL":"https://sustainabledevelopment.un.org/post2015/transformingourworld/publication","author":[{"family":"United Nations","given":""}],"accessed":{"date-parts":[["2020",1,15]]},"issued":{"date-parts":[["2015"]]},"citation-key":"United2030AgendaSus2015"}}],"schema":"https://github.com/citation-style-language/schema/raw/master/csl-citation.json"}</w:instrText>
      </w:r>
      <w:r>
        <w:rPr/>
      </w:r>
      <w:r>
        <w:rPr/>
        <w:fldChar w:fldCharType="separate"/>
      </w:r>
      <w:r>
        <w:rPr/>
      </w:r>
      <w:r>
        <w:rPr>
          <w:rFonts w:cs="Calibri"/>
        </w:rPr>
        <w:t>[1, 2]</w:t>
      </w:r>
      <w:r>
        <w:rPr/>
      </w:r>
      <w:r>
        <w:rPr/>
        <w:fldChar w:fldCharType="end"/>
      </w:r>
      <w:r>
        <w:rPr/>
        <w:t>.</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{"citationID":"iaQHBn7A","properties":{"formattedCitation":"[3]","plainCitation":"[3]","noteIndex":0},"citationItems":[{"id":384,"uris":["http://zotero.org/users/3011573/items/89HXF27C"],"itemData":{"id":384,"type":"book","abstract":"In Development as Freedom Amartya Sen explains how in a world of unprecedented increase in overall opulence millions of people living in the Third World are still unfree. Even if they are not technically slaves, they are denied elementary freedoms and remain imprisoned in one way or another by economic poverty, social deprivation, political tyranny or cultural authoritarianism. The main purpose of development is to spread freedom and its 'thousand charms' to the unfree citizens.   Freedom, Sen persuasively argues, is at once the ultimate goal of social and economic arrangements and the most efficient means of realizing general welfare. Social institutions like markets, political parties, legislatures, the judiciary, and the media contribute to development by enhancing individual freedom and are in turn sustained by social values. Values, institutions, development, and freedom are all closely interrelated, and Sen links them together in an elegant analytical framework. By asking 'What is the relation between our collective economic wealth and our individual ability to live as we would like?' and by incorporating individual freedom as a social commitment into his analysis Sen allows economics once again, as it did in the time of Adam Smith, to address the social basis of individual well-being and freedom.","event-place":"New York","ISBN":"978-0-19-289330-7","number-of-pages":"384","publisher":"Oxford University Press","publisher-place":"New York","source":"Oxford University Press","title":"Development as Freedom","author":[{"family":"Sen","given":"Amartya"}],"issued":{"date-parts":[["2001",1,18]]},"citation-key":"SenDevelopmentFre2001"}}],"schema":"https://github.com/citation-style-language/schema/raw/master/csl-citation.json"}</w:instrText>
      </w:r>
      <w:r>
        <w:rPr/>
      </w:r>
      <w:r>
        <w:rPr/>
        <w:fldChar w:fldCharType="separate"/>
      </w:r>
      <w:r>
        <w:rPr/>
      </w:r>
      <w:r>
        <w:rPr>
          <w:rFonts w:cs="Calibri"/>
        </w:rPr>
        <w:t>[3]</w:t>
      </w:r>
      <w:r>
        <w:rPr/>
      </w:r>
      <w:r>
        <w:rPr/>
        <w:fldChar w:fldCharType="end"/>
      </w:r>
      <w:r>
        <w:rPr/>
        <w:t>.</w:t>
      </w:r>
    </w:p>
    <w:p>
      <w:pPr>
        <w:pStyle w:val="Heading1"/>
        <w:rPr/>
      </w:pPr>
      <w:r>
        <w:rPr/>
        <w:t>Methods</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{"citationID":"3N3GhZUp","properties":{"formattedCitation":"[4, 5]","plainCitation":"[4, 5]","noteIndex":0},"citationItems":[{"id":2715,"uris":["http://zotero.org/users/3011573/items/C6MQW325"],"itemData":{"id":2715,"type":"article-journal","container-title":"WHO chronicle","ISSN":"0042-9694","issue":"11","journalAbbreviation":"WHO Chron","language":"eng","note":"PMID: 11643481","page":"428-430","source":"PubMed","title":"Declaration of Alma-Ata","volume":"32","author":[{"literal":"International Conference on Primary Health Care"}],"issued":{"date-parts":[["1978",11]]},"citation-key":"InternDeclarationAlm1978"}},{"id":819,"uris":["http://zotero.org/users/3011573/items/A9P6LAZA"],"itemData":{"id":819,"type":"report","event-place":"Geneva","publisher":"WHO","publisher-place":"Geneva","title":"WHO methods and data sources for global burden of disease estimates 2000-2016","URL":"https://www.who.int/healthinfo/global_burden_disease/GlobalDALY_method_2000_2016.pdf","author":[{"family":"Ho","given":"Jessica"},{"family":"Mathers","given":"Colin"}],"accessed":{"date-parts":[["2022",2,1]]},"issued":{"date-parts":[["2018"]]},"citation-key":"HoMatherWHOMethodsDat2018"}}],"schema":"https://github.com/citation-style-language/schema/raw/master/csl-citation.json"}</w:instrText>
      </w:r>
      <w:r>
        <w:rPr/>
      </w:r>
      <w:r>
        <w:rPr/>
        <w:fldChar w:fldCharType="separate"/>
      </w:r>
      <w:r>
        <w:rPr/>
      </w:r>
      <w:r>
        <w:rPr>
          <w:rFonts w:cs="Calibri"/>
        </w:rPr>
        <w:t>[4, 5]</w:t>
      </w:r>
      <w:r>
        <w:rPr/>
      </w:r>
      <w:r>
        <w:rPr/>
        <w:fldChar w:fldCharType="end"/>
      </w:r>
      <w:r>
        <w:rPr/>
        <w:t>.</w:t>
      </w:r>
    </w:p>
    <w:p>
      <w:pPr>
        <w:pStyle w:val="Heading3"/>
        <w:rPr/>
      </w:pPr>
      <w:r>
        <w:rPr/>
        <w:t>Study participants</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{"citationID":"qbSM50eN","properties":{"formattedCitation":"[1, 6\\uc0\\u8211{}9]","plainCitation":"[1, 6–9]","noteIndex":0},"citationItems":[{"id":70,"uris":["http://zotero.org/users/3011573/items/J7A9EQH4"],"itemData":{"id":70,"type":"legislation","container-title":"U.N. UDHR","language":"eng","number":"Res 217 A","title":"The Universal Declaration of Human Rights","URL":"https://www.un.org/en/universal-declaration-human-rights/index.html","author":[{"family":"U.N. General Assembly","given":""}],"accessed":{"date-parts":[["2010",5,3]]},"issued":{"date-parts":[["1948",12,10]]},"citation-key":"UNGUniversalDecla1948"}},{"id":2594,"uris":["http://zotero.org/users/3011573/items/F7JJMQ6B"],"itemData":{"id":2594,"type":"article-journal","container-title":"Journal of Health Economics","DOI":"10.1016/0167-6296(88)90030-6","ISSN":"0167-6296","issue":"3","journalAbbreviation":"Journal of Health Economics","page":"289-290","source":"ScienceDirect","title":"A QALY is a QALY is a QALY — Or is it?","volume":"7","author":[{"family":"Weinstein","given":"Milton C."}],"issued":{"date-parts":[["1988",9,1]]},"citation-key":"WeinstQALYQALYQALY1988"}},{"id":2336,"uris":["http://zotero.org/users/3011573/items/DIR7JKWL"],"itemData":{"id":2336,"type":"article-journal","container-title":"Bulletin of the World Health Organization","ISSN":"0042-9686","issue":"12","journalAbbreviation":"Bull World Health Organ","language":"eng","note":"PMID: 12571729\nPMCID: PMC2567705","page":"983-984","source":"PubMed","title":"Constitution of the World Health Organization. 1946","volume":"80","author":[{"literal":"International Health Conference"}],"issued":{"date-parts":[["2002"]]},"citation-key":"InternConstitutionWo2002"}},{"id":2851,"uris":["http://zotero.org/users/3011573/items/TETH39VX"],"itemData":{"id":2851,"type":"post-weblog","container-title":"Centre for International Law","language":"en-US","title":"1946 Constitution of the World Health Organization","URL":"https://cil.nus.edu.sg/databasecil/1946-constitution-of-the-world-health-organization/","author":[{"family":"World Health Organisation","given":""}],"accessed":{"date-parts":[["2023",12,1]]},"issued":{"date-parts":[["1946"]]},"citation-key":"World1946Constituti1946"}},{"id":2504,"uris":["http://zotero.org/users/3011573/items/9ZM2CJKN"],"itemData":{"id":2504,"type":"legislation","container-title":"Kapitel 2","title":"Kungörelse 1974:152 Regereingsformen [Instrument of governement]","URL":"https://lagen.nu/1974:152","author":[{"family":"Kungörelse","given":""}],"accessed":{"date-parts":[["2022",1,2]]},"issued":{"date-parts":[["1974"]]},"citation-key":"KungorKungorelse19741974"}}],"schema":"https://github.com/citation-style-language/schema/raw/master/csl-citation.json"}</w:instrText>
      </w:r>
      <w:r>
        <w:rPr/>
      </w:r>
      <w:r>
        <w:rPr/>
        <w:fldChar w:fldCharType="separate"/>
      </w:r>
      <w:r>
        <w:rPr/>
      </w:r>
      <w:r>
        <w:rPr>
          <w:rFonts w:cs="Calibri"/>
          <w:kern w:val="0"/>
        </w:rPr>
        <w:t>[1, 6–9]</w:t>
      </w:r>
      <w:r>
        <w:rPr/>
      </w:r>
      <w:r>
        <w:rPr/>
        <w:fldChar w:fldCharType="end"/>
      </w:r>
      <w:r>
        <w:rPr/>
        <w:t>.</w:t>
      </w:r>
    </w:p>
    <w:p>
      <w:pPr>
        <w:pStyle w:val="Heading2"/>
        <w:rPr/>
      </w:pPr>
      <w:r>
        <w:rPr/>
        <w:t>Statistics</w:t>
      </w:r>
    </w:p>
    <w:p>
      <w:pPr>
        <w:pStyle w:val="Normal"/>
        <w:rPr/>
      </w:pPr>
      <w:r>
        <w:rPr/>
        <w:t xml:space="preserve">This paragraph also demonstraes inline equations [[mathinline$x^2 = \frac{1}{2}$mathinline]], followed full size equations by Lorem ipsum dolor sit amet, consectetur adipiscing elit, sed do eiusmod tempor incididunt ut labore et dolore magna aliqua </w:t>
      </w:r>
      <w:r>
        <w:fldChar w:fldCharType="begin"/>
      </w:r>
      <w:r>
        <w:rPr/>
        <w:instrText xml:space="preserve">ADDIN ZOTERO_ITEM CSL_CITATION {"citationID":"ex5r46RK","properties":{"formattedCitation":"[10]","plainCitation":"[10]","noteIndex":0},"citationItems":[{"id":374,"uris":["http://zotero.org/users/3011573/items/4E7BZFH8"],"itemData":{"id":374,"type":"webpage","title":"Statistics Sweden","URL":"https://www.scb.se","author":[{"family":"Statistics Sweden","given":""}],"accessed":{"date-parts":[["2018",10,14]]},"issued":{"date-parts":[["2023"]]},"citation-key":"StatisStatisticsSwed2023"}}],"schema":"https://github.com/citation-style-language/schema/raw/master/csl-citation.json"}</w:instrText>
      </w:r>
      <w:r>
        <w:rPr/>
      </w:r>
      <w:r>
        <w:rPr/>
        <w:fldChar w:fldCharType="separate"/>
      </w:r>
      <w:r>
        <w:rPr/>
      </w:r>
      <w:r>
        <w:rPr>
          <w:rFonts w:cs="Calibri"/>
        </w:rPr>
        <w:t>[10]</w:t>
      </w:r>
      <w:r>
        <w:rPr/>
      </w:r>
      <w:r>
        <w:rPr/>
        <w:fldChar w:fldCharType="end"/>
      </w:r>
      <w:r>
        <w:rPr/>
        <w:t xml:space="preserve">.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{"citationID":"y4zUl2vM","properties":{"formattedCitation":"[11, 12]","plainCitation":"[11, 12]","noteIndex":0},"citationItems":[{"id":80,"uris":["http://zotero.org/users/3011573/items/FGCAJ8XK"],"itemData":{"id":80,"type":"article-journal","abstract":"Three main explanations of the relationship between income and population health have been identified: the absolute, the contextual and the relative income hypotheses. The evidence about their relevance particularly in egalitarian societies is, however, inconsistent. This study aimed to test the three hypotheses in relation to psychological distress in northern Sweden.Data come from the 2014 cross-sectional survey from the four northern-most counties in Sweden, and included people aged 25–84 years (n = 21 004). Psychological distress was measured by the General Health Questionnaire-12 and income information came from population registers. Absolute income was operationalized by individual disposable income, contextual income as the municipal-level Gini coefficient and relative income by the Yitzhaki index. Prevalence ratios (PR) were calculated from log-binomial regression analyses.A gradient in poor mental health was observed across quintiles of individual income, with the poorest substantially more likely to report poor health compared with the highest quintile (PR = 1.56; 95% CI = 1.19, 2.04). Second, municipalities in the quintiles 2–3 of the Gini coefficient had a better mental health compared with those in the most equal municipalities. Third, a gradient in poor mental health across quintiles of relative deprivation was also found, with the most deprived quintile the most likely to report poor health (PR = 1.37; 95% CI = 1.06, 1.76).This study suggests a strong, moderate and lack of support for the absolute, relative and contextual income effect hypotheses, respectively. Interventions targeting a reduction in the individual income gap may be necessary in order to reduce psychosocial distress differences in northern Sweden.","container-title":"European Journal of Public Health","DOI":"10.1093/eurpub/cky110","ISSN":"1101-1262","issue":"6","journalAbbreviation":"European Journal of Public Health","page":"1056-1061","source":"Silverchair","title":"Whose income is more important: mine, yours or ours? Income inequality and mental health in northern Sweden","title-short":"Whose income is more important","volume":"28","author":[{"family":"San Sebastián","given":"Miguel"},{"family":"Mosquera","given":"Paola A"},{"family":"Gustafsson","given":"Per E"}],"issued":{"date-parts":[["2018",12,1]]},"citation-key":"SanSeMosqueGustafWhoseIncomeMo2018"}},{"id":3171,"uris":["http://zotero.org/users/3011573/items/5H46R8NM"],"itemData":{"id":3171,"type":"thesis","abstract":"Young people and migrants are both prioritized groups regarding sexual and reproductive health and rights (SRHR), but studies about the sexual andreproductive health (SRH) of young migrants in Swed ...","language":"eng","note":"publisher: Umeå universitet","source":"umu.diva-portal.org","title":"Leaving the door ajar : young migrants’ sexual and reproductive health in Sweden","title-short":"Leaving the door ajar","URL":"https://urn.kb.se/resolve?urn=urn:nbn:se:umu:diva-194449","author":[{"family":"Baroudi","given":"Mazen"}],"accessed":{"date-parts":[["2023",12,26]]},"issued":{"date-parts":[["2022"]]},"citation-key":"BaroudLeavingDoorAj2022"}}],"schema":"https://github.com/citation-style-language/schema/raw/master/csl-citation.json"}</w:instrText>
      </w:r>
      <w:r>
        <w:rPr/>
      </w:r>
      <w:r>
        <w:rPr/>
        <w:fldChar w:fldCharType="separate"/>
      </w:r>
      <w:r>
        <w:rPr/>
      </w:r>
      <w:r>
        <w:rPr>
          <w:rFonts w:cs="Calibri"/>
        </w:rPr>
        <w:t>[11, 12]</w:t>
      </w:r>
      <w:r>
        <w:rPr/>
      </w:r>
      <w:r>
        <w:rPr/>
        <w:fldChar w:fldCharType="end"/>
      </w:r>
      <w:r>
        <w:rPr/>
        <w:t>.</w:t>
      </w:r>
    </w:p>
    <w:p>
      <w:pPr>
        <w:pStyle w:val="Normal"/>
        <w:rPr/>
      </w:pPr>
      <w:r>
        <w:rPr/>
        <w:t>[[math, form: 'x^3 – x^2 = sqrt(3.44)',math]]</w:t>
      </w:r>
    </w:p>
    <w:p>
      <w:pPr>
        <w:pStyle w:val="Normal"/>
        <w:rPr/>
      </w:pPr>
      <w:r>
        <w:rPr/>
        <w:t xml:space="preserve">Here we reference some figures and tables: </w:t>
      </w:r>
      <w:r>
        <w:rPr>
          <w:rStyle w:val="SourceText"/>
        </w:rPr>
        <w:t xml:space="preserve">Fig \@ref(fig1), Table \@ref(tab1), and Fig \@ref(fig2). </w:t>
      </w:r>
    </w:p>
    <w:p>
      <w:pPr>
        <w:pStyle w:val="Heading2"/>
        <w:rPr/>
      </w:pPr>
      <w:r>
        <w:rPr/>
        <w:t>Ethics</w:t>
      </w:r>
    </w:p>
    <w:p>
      <w:pPr>
        <w:pStyle w:val="Normal"/>
        <w:rPr/>
      </w:pPr>
      <w:r>
        <w:rPr/>
        <w:t xml:space="preserve">The study was conducted in accordance of relevant guidelines and approved by the responsible ethical review institution. Participants provided informed concent. </w:t>
      </w:r>
    </w:p>
    <w:p>
      <w:pPr>
        <w:pStyle w:val="Normal"/>
        <w:rPr/>
      </w:pPr>
      <w:r>
        <w:rPr/>
      </w:r>
      <w:r>
        <w:br w:type="page"/>
      </w:r>
    </w:p>
    <w:p>
      <w:pPr>
        <w:pStyle w:val="Heading1"/>
        <w:spacing w:before="0" w:after="80"/>
        <w:rPr/>
      </w:pPr>
      <w:r>
        <w:rPr/>
        <w:t>Results</w:t>
      </w:r>
    </w:p>
    <w:p>
      <w:pPr>
        <w:pStyle w:val="Heading2"/>
        <w:rPr/>
      </w:pPr>
      <w:r>
        <w:rPr/>
        <w:t>Characteristics of participants</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W w:w="4732"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3089"/>
        <w:gridCol w:w="1642"/>
      </w:tblGrid>
      <w:tr>
        <w:trPr/>
        <w:tc>
          <w:tcPr>
            <w:tcW w:w="3089" w:type="dxa"/>
            <w:tcBorders>
              <w:top w:val="single" w:sz="4" w:space="0" w:color="000000"/>
              <w:bottom w:val="single" w:sz="4" w:space="0" w:color="000000"/>
            </w:tcBorders>
            <w:shd w:color="auto" w:fill="FFFFFF" w:val="clear"/>
          </w:tcPr>
          <w:p>
            <w:pPr>
              <w:pStyle w:val="Normal"/>
              <w:spacing w:lineRule="auto" w:line="240" w:before="0" w:after="0"/>
              <w:rPr>
                <w:rFonts w:ascii="Open Sans" w:hAnsi="Open Sans" w:cs="Open Sans"/>
                <w:b/>
                <w:sz w:val="20"/>
                <w:szCs w:val="20"/>
              </w:rPr>
            </w:pPr>
            <w:r>
              <w:rPr>
                <w:rFonts w:cs="Open Sans" w:ascii="Open Sans" w:hAnsi="Open Sans"/>
                <w:b/>
                <w:sz w:val="20"/>
                <w:szCs w:val="20"/>
              </w:rPr>
            </w:r>
          </w:p>
        </w:tc>
        <w:tc>
          <w:tcPr>
            <w:tcW w:w="1642" w:type="dxa"/>
            <w:tcBorders>
              <w:top w:val="single" w:sz="4" w:space="0" w:color="000000"/>
              <w:bottom w:val="single" w:sz="4" w:space="0" w:color="000000"/>
            </w:tcBorders>
            <w:shd w:color="auto" w:fill="FFFFFF" w:val="clear"/>
          </w:tcPr>
          <w:p>
            <w:pPr>
              <w:pStyle w:val="Normal"/>
              <w:spacing w:lineRule="auto" w:line="240" w:before="0" w:after="0"/>
              <w:jc w:val="center"/>
              <w:rPr>
                <w:rFonts w:ascii="Open Sans" w:hAnsi="Open Sans" w:cs="Open Sans"/>
                <w:sz w:val="20"/>
                <w:szCs w:val="20"/>
              </w:rPr>
            </w:pPr>
            <w:r>
              <w:rPr>
                <w:rFonts w:cs="Open Sans" w:ascii="Open Sans" w:hAnsi="Open Sans"/>
                <w:b/>
                <w:kern w:val="0"/>
                <w:sz w:val="20"/>
                <w:szCs w:val="20"/>
              </w:rPr>
              <w:t>**N (%)**</w:t>
            </w:r>
          </w:p>
        </w:tc>
      </w:tr>
      <w:tr>
        <w:trPr/>
        <w:tc>
          <w:tcPr>
            <w:tcW w:w="3089" w:type="dxa"/>
            <w:tcBorders>
              <w:top w:val="single" w:sz="4" w:space="0" w:color="000000"/>
            </w:tcBorders>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#**First section heading**</w:t>
            </w:r>
          </w:p>
        </w:tc>
        <w:tc>
          <w:tcPr>
            <w:tcW w:w="1642" w:type="dxa"/>
            <w:tcBorders>
              <w:top w:val="single" w:sz="4"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**Sex**</w:t>
            </w:r>
          </w:p>
          <w:p>
            <w:pPr>
              <w:pStyle w:val="Normal"/>
              <w:spacing w:lineRule="auto" w:line="240" w:before="0" w:after="0"/>
              <w:rPr>
                <w:rFonts w:ascii="Open Sans" w:hAnsi="Open Sans" w:cs="Open Sans"/>
                <w:sz w:val="18"/>
                <w:szCs w:val="18"/>
              </w:rPr>
            </w:pPr>
            <w:r>
              <w:rPr>
                <w:rFonts w:cs="Open Sans" w:ascii="Open Sans" w:hAnsi="Open Sans"/>
                <w:b/>
                <w:kern w:val="0"/>
                <w:sz w:val="18"/>
                <w:szCs w:val="18"/>
              </w:rPr>
              <w:t xml:space="preserve">   </w:t>
            </w:r>
            <w:r>
              <w:rPr>
                <w:rFonts w:cs="Open Sans" w:ascii="Open Sans" w:hAnsi="Open Sans"/>
                <w:kern w:val="0"/>
                <w:sz w:val="18"/>
                <w:szCs w:val="18"/>
              </w:rPr>
              <w:t>Men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Women</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1656 (50.0)</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1656 (50.0)</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**Age**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18–30</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31–45</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46–65</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65+</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500 (15.1)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500 (15.1)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500 (15.1)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200 (6.04)</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**Country of birth**</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rPr>
              <w:t xml:space="preserve">   </w:t>
            </w:r>
            <w:r>
              <w:rPr>
                <w:rFonts w:cs="Open Sans" w:ascii="Open Sans" w:hAnsi="Open Sans"/>
                <w:kern w:val="0"/>
                <w:sz w:val="18"/>
                <w:szCs w:val="18"/>
                <w:lang w:val="sv-SE"/>
              </w:rPr>
              <w:t>Country 1</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 xml:space="preserve">   </w:t>
            </w:r>
            <w:r>
              <w:rPr>
                <w:rFonts w:cs="Open Sans" w:ascii="Open Sans" w:hAnsi="Open Sans"/>
                <w:kern w:val="0"/>
                <w:sz w:val="18"/>
                <w:szCs w:val="18"/>
                <w:lang w:val="sv-SE"/>
              </w:rPr>
              <w:t>Country 2</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 xml:space="preserve">   </w:t>
            </w:r>
            <w:r>
              <w:rPr>
                <w:rFonts w:cs="Open Sans" w:ascii="Open Sans" w:hAnsi="Open Sans"/>
                <w:kern w:val="0"/>
                <w:sz w:val="18"/>
                <w:szCs w:val="18"/>
                <w:lang w:val="sv-SE"/>
              </w:rPr>
              <w:t>Country 3</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 xml:space="preserve">   </w:t>
            </w:r>
            <w:r>
              <w:rPr>
                <w:rFonts w:cs="Open Sans" w:ascii="Open Sans" w:hAnsi="Open Sans"/>
                <w:kern w:val="0"/>
                <w:sz w:val="18"/>
                <w:szCs w:val="18"/>
                <w:lang w:val="sv-SE"/>
              </w:rPr>
              <w:t>Country 4</w:t>
            </w:r>
          </w:p>
          <w:p>
            <w:pPr>
              <w:pStyle w:val="Normal"/>
              <w:spacing w:lineRule="auto" w:line="240" w:before="0" w:after="0"/>
              <w:rPr>
                <w:rFonts w:ascii="Open Sans" w:hAnsi="Open Sans" w:cs="Open Sans"/>
                <w:sz w:val="18"/>
                <w:szCs w:val="18"/>
              </w:rPr>
            </w:pPr>
            <w:r>
              <w:rPr>
                <w:rFonts w:cs="Open Sans" w:ascii="Open Sans" w:hAnsi="Open Sans"/>
                <w:kern w:val="0"/>
                <w:sz w:val="18"/>
                <w:szCs w:val="18"/>
                <w:lang w:val="sv-SE"/>
              </w:rPr>
              <w:t xml:space="preserve">   </w:t>
            </w:r>
            <w:r>
              <w:rPr>
                <w:rFonts w:cs="Open Sans" w:ascii="Open Sans" w:hAnsi="Open Sans"/>
                <w:kern w:val="0"/>
                <w:sz w:val="18"/>
                <w:szCs w:val="18"/>
                <w:lang w:val="sv-SE"/>
              </w:rPr>
              <w:t>Other</w:t>
            </w:r>
          </w:p>
        </w:tc>
        <w:tc>
          <w:tcPr>
            <w:tcW w:w="1642" w:type="dxa"/>
            <w:tcBorders/>
          </w:tcPr>
          <w:p>
            <w:pPr>
              <w:pStyle w:val="Normal"/>
              <w:spacing w:lineRule="auto" w:line="240" w:before="0" w:after="0"/>
              <w:jc w:val="center"/>
              <w:rPr>
                <w:rFonts w:ascii="Open Sans" w:hAnsi="Open Sans" w:cs="Open Sans"/>
                <w:sz w:val="18"/>
                <w:szCs w:val="18"/>
                <w:lang w:val="sv-SE"/>
              </w:rPr>
            </w:pPr>
            <w:r>
              <w:rPr>
                <w:rFonts w:cs="Open Sans" w:ascii="Open Sans" w:hAnsi="Open Sans"/>
                <w:sz w:val="18"/>
                <w:szCs w:val="18"/>
                <w:lang w:val="sv-SE"/>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(48.9)</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(23.1)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(7.3)</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(7.7)</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100(13.0)</w:t>
            </w:r>
          </w:p>
        </w:tc>
      </w:tr>
      <w:tr>
        <w:trPr/>
        <w:tc>
          <w:tcPr>
            <w:tcW w:w="3089" w:type="dxa"/>
            <w:tcBorders/>
            <w:shd w:color="auto"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#**Socio-economic factors factors**</w:t>
            </w:r>
          </w:p>
        </w:tc>
        <w:tc>
          <w:tcPr>
            <w:tcW w:w="1642" w:type="dxa"/>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**Education**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High</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Medium</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Low</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**Financial strain**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**Difficulties to make ends meet**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**Mean income**</w:t>
            </w:r>
          </w:p>
          <w:p>
            <w:pPr>
              <w:pStyle w:val="Normal"/>
              <w:spacing w:lineRule="auto" w:line="240" w:before="0" w:after="0"/>
              <w:rPr>
                <w:rFonts w:ascii="Open Sans" w:hAnsi="Open Sans" w:cs="Open Sans"/>
                <w:sz w:val="18"/>
                <w:szCs w:val="18"/>
              </w:rPr>
            </w:pPr>
            <w:r>
              <w:rPr>
                <w:rFonts w:cs="Open Sans" w:ascii="Open Sans" w:hAnsi="Open Sans"/>
                <w:b/>
                <w:kern w:val="0"/>
                <w:sz w:val="18"/>
                <w:szCs w:val="18"/>
              </w:rPr>
              <w:t>**(sd)**</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w:t>
            </w:r>
          </w:p>
        </w:tc>
      </w:tr>
      <w:tr>
        <w:trPr/>
        <w:tc>
          <w:tcPr>
            <w:tcW w:w="3089" w:type="dxa"/>
            <w:tcBorders/>
            <w:shd w:color="auto"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#**Culture-related factors**</w:t>
            </w:r>
          </w:p>
        </w:tc>
        <w:tc>
          <w:tcPr>
            <w:tcW w:w="1642" w:type="dxa"/>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**Sámi reindeer herding community**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None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Mountain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Forest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Concession</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**Worked with reindeers (last 12 months)**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shd w:color="auto"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shd w:fill="D0CECE" w:val="clear"/>
              </w:rPr>
              <w:t>#**Behavioural factors**</w:t>
            </w:r>
          </w:p>
        </w:tc>
        <w:tc>
          <w:tcPr>
            <w:tcW w:w="1642" w:type="dxa"/>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**Smoking**</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shd w:color="auto"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#**Psychosomatic factors**</w:t>
            </w:r>
          </w:p>
        </w:tc>
        <w:tc>
          <w:tcPr>
            <w:tcW w:w="1642" w:type="dxa"/>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**Allergy**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bottom w:val="single" w:sz="4"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**BMI**</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Normal</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Overweight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Obese</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bl>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[[table,label: 'tab1',caption: '</w:t>
      </w:r>
      <w:r>
        <w:rPr>
          <w:rFonts w:cs="Open Sans" w:ascii="Open Sans" w:hAnsi="Open Sans"/>
          <w:bCs/>
          <w:kern w:val="0"/>
          <w:sz w:val="20"/>
          <w:szCs w:val="20"/>
        </w:rPr>
        <w:t>Characteristics of weighted study sample in a 1-column long table'</w:t>
      </w:r>
      <w:r>
        <w:rPr>
          <w:rFonts w:eastAsia="Times New Roman" w:cs="Times New Roman" w:ascii="Times New Roman" w:hAnsi="Times New Roman"/>
        </w:rPr>
        <w:t>,colwidths: [70,30], colaligns: [l,c],table]]</w:t>
      </w:r>
    </w:p>
    <w:p>
      <w:pPr>
        <w:pStyle w:val="Normal"/>
        <w:rPr/>
      </w:pPr>
      <w:r>
        <w:rPr/>
      </w:r>
    </w:p>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[[figure,src: 'figures/Fig1.pdf' , caption: 'A figure in the document. Single column.', label: 'fig1']]</w:t>
      </w:r>
    </w:p>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[[figure,src: 'figures/Fig1.pdf',wide, caption: 'A figure in the document. Double column.', label: 'fig2']]</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ectPr>
          <w:headerReference w:type="even" r:id="rId2"/>
          <w:headerReference w:type="default" r:id="rId3"/>
          <w:headerReference w:type="first" r:id="rId4"/>
          <w:type w:val="nextPage"/>
          <w:pgSz w:w="11906" w:h="16838"/>
          <w:pgMar w:left="851" w:right="851" w:gutter="0" w:header="0" w:top="1440" w:footer="0" w:bottom="1440"/>
          <w:pgNumType w:fmt="decimal"/>
          <w:formProt w:val="false"/>
          <w:textDirection w:val="lrTb"/>
          <w:docGrid w:type="default" w:linePitch="312" w:charSpace="5734"/>
        </w:sect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W w:w="9771" w:type="dxa"/>
        <w:jc w:val="center"/>
        <w:tblInd w:w="0" w:type="dxa"/>
        <w:tblLayout w:type="fixed"/>
        <w:tblCellMar>
          <w:top w:w="100" w:type="dxa"/>
          <w:left w:w="100" w:type="dxa"/>
          <w:bottom w:w="100" w:type="dxa"/>
          <w:right w:w="100" w:type="dxa"/>
        </w:tblCellMar>
        <w:tblLook w:val="0000" w:noHBand="0" w:noVBand="0" w:firstColumn="0" w:lastRow="0" w:lastColumn="0" w:firstRow="0"/>
      </w:tblPr>
      <w:tblGrid>
        <w:gridCol w:w="3830"/>
        <w:gridCol w:w="1687"/>
        <w:gridCol w:w="1846"/>
        <w:gridCol w:w="2407"/>
      </w:tblGrid>
      <w:tr>
        <w:trPr>
          <w:trHeight w:val="466" w:hRule="atLeast"/>
        </w:trPr>
        <w:tc>
          <w:tcPr>
            <w:tcW w:w="3830" w:type="dxa"/>
            <w:tcBorders>
              <w:top w:val="single" w:sz="8" w:space="0" w:color="000000"/>
              <w:left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687"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**N (%)**</w:t>
            </w:r>
          </w:p>
        </w:tc>
        <w:tc>
          <w:tcPr>
            <w:tcW w:w="1846"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**Crude PR (95% CI)**</w:t>
            </w:r>
          </w:p>
        </w:tc>
        <w:tc>
          <w:tcPr>
            <w:tcW w:w="2407"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**Adjusted PR (95% CI)**</w:t>
            </w:r>
          </w:p>
        </w:tc>
      </w:tr>
      <w:tr>
        <w:trPr>
          <w:trHeight w:val="215" w:hRule="atLeast"/>
        </w:trPr>
        <w:tc>
          <w:tcPr>
            <w:tcW w:w="3830"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#**Socio-demographic factors**</w:t>
            </w:r>
          </w:p>
        </w:tc>
        <w:tc>
          <w:tcPr>
            <w:tcW w:w="168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59"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**Sex**</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Women</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55"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**Age**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18–29</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30–44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45–64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65–84</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602"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lang w:val="sv-SE"/>
              </w:rPr>
            </w:pPr>
            <w:r>
              <w:rPr>
                <w:rFonts w:cs="Open Sans" w:ascii="Open Sans" w:hAnsi="Open Sans"/>
                <w:b/>
                <w:kern w:val="0"/>
                <w:sz w:val="18"/>
                <w:szCs w:val="18"/>
                <w:lang w:val="sv-SE"/>
              </w:rPr>
              <w:t>**Region of residence**</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Norrbotten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Västerbotten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Jämtland-Härjedalen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rPr>
              <w:t>Stockholm</w:t>
            </w:r>
          </w:p>
          <w:p>
            <w:pPr>
              <w:pStyle w:val="Normal"/>
              <w:spacing w:lineRule="auto" w:line="240" w:before="0" w:after="0"/>
              <w:rPr>
                <w:rFonts w:ascii="Open Sans" w:hAnsi="Open Sans" w:cs="Open Sans"/>
                <w:sz w:val="18"/>
                <w:szCs w:val="18"/>
              </w:rPr>
            </w:pPr>
            <w:r>
              <w:rPr>
                <w:rFonts w:cs="Open Sans" w:ascii="Open Sans" w:hAnsi="Open Sans"/>
                <w:kern w:val="0"/>
                <w:sz w:val="18"/>
                <w:szCs w:val="18"/>
                <w:lang w:val="sv-SE"/>
              </w:rPr>
              <w:t>Other</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7" w:hRule="atLeast"/>
        </w:trPr>
        <w:tc>
          <w:tcPr>
            <w:tcW w:w="3830"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#**Socio-economic factors**</w:t>
            </w:r>
          </w:p>
        </w:tc>
        <w:tc>
          <w:tcPr>
            <w:tcW w:w="168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84"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**Education**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High</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Medium</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Low</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467"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**Financial strain**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638"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**Difficulties to make ends meet**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528"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**Mean income**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Q1 (richest)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Q2</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Q3</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Q5 (poorest)</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0" w:hRule="atLeast"/>
        </w:trPr>
        <w:tc>
          <w:tcPr>
            <w:tcW w:w="3830"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#**Culture-related factors**</w:t>
            </w:r>
          </w:p>
        </w:tc>
        <w:tc>
          <w:tcPr>
            <w:tcW w:w="168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33"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**Sámi reindeer herding community**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None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Mountain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Forest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Concession</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8"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**Worked with reindeers**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09" w:hRule="atLeast"/>
        </w:trPr>
        <w:tc>
          <w:tcPr>
            <w:tcW w:w="3830" w:type="dxa"/>
            <w:tcBorders>
              <w:left w:val="single" w:sz="8" w:space="0" w:color="000000"/>
              <w:bottom w:val="single" w:sz="8" w:space="0" w:color="000000"/>
              <w:right w:val="single" w:sz="8" w:space="0" w:color="000000"/>
            </w:tcBorders>
            <w:shd w:color="auto" w:fill="D0CECE" w:val="clear"/>
          </w:tcPr>
          <w:p>
            <w:pPr>
              <w:pStyle w:val="Normal"/>
              <w:spacing w:lineRule="auto" w:line="240" w:before="0" w:after="0"/>
              <w:rPr>
                <w:rFonts w:ascii="Open Sans" w:hAnsi="Open Sans" w:cs="Open Sans"/>
                <w:b/>
                <w:sz w:val="18"/>
                <w:szCs w:val="18"/>
                <w:shd w:fill="D0CECE" w:val="clear"/>
              </w:rPr>
            </w:pPr>
            <w:r>
              <w:rPr>
                <w:rFonts w:cs="Open Sans" w:ascii="Open Sans" w:hAnsi="Open Sans"/>
                <w:b/>
                <w:kern w:val="0"/>
                <w:sz w:val="18"/>
                <w:szCs w:val="18"/>
                <w:shd w:fill="D0CECE" w:val="clear"/>
              </w:rPr>
              <w:t>#**Behavioural factors**</w:t>
            </w:r>
          </w:p>
        </w:tc>
        <w:tc>
          <w:tcPr>
            <w:tcW w:w="168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184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240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r>
      <w:tr>
        <w:trPr>
          <w:trHeight w:val="672"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**Smoking**</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b/>
                <w:sz w:val="18"/>
                <w:szCs w:val="18"/>
              </w:rPr>
            </w:pPr>
            <w:r>
              <w:rPr>
                <w:rFonts w:cs="Open Sans" w:ascii="Open Sans" w:hAnsi="Open Sans"/>
                <w:kern w:val="0"/>
                <w:sz w:val="18"/>
                <w:szCs w:val="18"/>
              </w:rPr>
              <w:t>Yes</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363" w:hRule="atLeast"/>
        </w:trPr>
        <w:tc>
          <w:tcPr>
            <w:tcW w:w="3830" w:type="dxa"/>
            <w:tcBorders>
              <w:left w:val="single" w:sz="8" w:space="0" w:color="000000"/>
              <w:bottom w:val="single" w:sz="8" w:space="0" w:color="000000"/>
              <w:right w:val="single" w:sz="8" w:space="0" w:color="000000"/>
            </w:tcBorders>
            <w:shd w:color="auto" w:fill="D0CECE"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#**Psychosomatic factors**</w:t>
            </w:r>
          </w:p>
        </w:tc>
        <w:tc>
          <w:tcPr>
            <w:tcW w:w="168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96"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**Allergy**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969"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**Weight (BMI)**</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Normal</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Overweight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Obese</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6"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**Stress**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bl>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[[table,label: 'tab2',caption: 'More data in a two-column wide table', wide, fullgrid, colwidths: [40,20,20,20], colaligns: [l,c,c,c], table]]</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1"/>
        <w:spacing w:before="0" w:after="80"/>
        <w:rPr/>
      </w:pPr>
      <w:r>
        <w:rPr/>
        <w:t>Discussion</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rPr/>
      </w:pPr>
      <w:r>
        <w:rPr/>
        <w:t>Methodological considerations</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rPr/>
      </w:pPr>
      <w:r>
        <w:rPr/>
        <w:t>Conclusion</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3"/>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r>
        <w:br w:type="page"/>
      </w:r>
    </w:p>
    <w:p>
      <w:pPr>
        <w:pStyle w:val="Heading1"/>
        <w:spacing w:before="0" w:after="80"/>
        <w:rPr/>
      </w:pPr>
      <w:r>
        <w:rPr/>
        <w:t>References</w:t>
      </w:r>
    </w:p>
    <w:p>
      <w:pPr>
        <w:pStyle w:val="Bibliography"/>
        <w:rPr>
          <w:rFonts w:cs="Calibri"/>
          <w:kern w:val="0"/>
        </w:rPr>
      </w:pPr>
      <w:r>
        <w:fldChar w:fldCharType="begin"/>
      </w:r>
      <w:r>
        <w:rPr/>
        <w:instrText xml:space="preserve">ADDIN ZOTERO_BIBL {"uncited":[],"omitted":[],"custom":[]} CSL_BIBLIOGRAPHY</w:instrText>
      </w:r>
      <w:r>
        <w:rPr/>
      </w:r>
      <w:r>
        <w:rPr/>
        <w:fldChar w:fldCharType="separate"/>
      </w:r>
      <w:r>
        <w:rPr/>
      </w:r>
      <w:r>
        <w:rPr>
          <w:rFonts w:cs="Calibri"/>
          <w:kern w:val="0"/>
        </w:rPr>
        <w:t xml:space="preserve">1. </w:t>
        <w:tab/>
        <w:t xml:space="preserve">U.N. General Assembly (1948) The Universal Declaration of Human Rights. </w:t>
      </w:r>
    </w:p>
    <w:p>
      <w:pPr>
        <w:pStyle w:val="Bibliography"/>
        <w:rPr>
          <w:rFonts w:cs="Calibri"/>
          <w:kern w:val="0"/>
        </w:rPr>
      </w:pPr>
      <w:r>
        <w:rPr>
          <w:rFonts w:cs="Calibri"/>
          <w:kern w:val="0"/>
        </w:rPr>
        <w:t xml:space="preserve">2. </w:t>
        <w:tab/>
        <w:t xml:space="preserve">United Nations (2015) The 2030 Agenda for Sustainable Development. </w:t>
      </w:r>
    </w:p>
    <w:p>
      <w:pPr>
        <w:pStyle w:val="Bibliography"/>
        <w:rPr>
          <w:rFonts w:cs="Calibri"/>
          <w:kern w:val="0"/>
        </w:rPr>
      </w:pPr>
      <w:r>
        <w:rPr>
          <w:rFonts w:cs="Calibri"/>
          <w:kern w:val="0"/>
        </w:rPr>
        <w:t xml:space="preserve">3. </w:t>
        <w:tab/>
        <w:t>Sen A (2001) Development as Freedom. Oxford University Press, New York</w:t>
      </w:r>
    </w:p>
    <w:p>
      <w:pPr>
        <w:pStyle w:val="Bibliography"/>
        <w:rPr>
          <w:rFonts w:cs="Calibri"/>
          <w:kern w:val="0"/>
        </w:rPr>
      </w:pPr>
      <w:r>
        <w:rPr>
          <w:rFonts w:cs="Calibri"/>
          <w:kern w:val="0"/>
        </w:rPr>
        <w:t xml:space="preserve">4. </w:t>
        <w:tab/>
        <w:t>International Conference on Primary Health Care (1978) Declaration of Alma-Ata. WHO Chron 32:428–430</w:t>
      </w:r>
    </w:p>
    <w:p>
      <w:pPr>
        <w:pStyle w:val="Bibliography"/>
        <w:rPr>
          <w:rFonts w:cs="Calibri"/>
          <w:kern w:val="0"/>
        </w:rPr>
      </w:pPr>
      <w:r>
        <w:rPr>
          <w:rFonts w:cs="Calibri"/>
          <w:kern w:val="0"/>
        </w:rPr>
        <w:t xml:space="preserve">5. </w:t>
        <w:tab/>
        <w:t>Ho J, Mathers C (2018) WHO methods and data sources for global burden of disease estimates 2000-2016. WHO, Geneva</w:t>
      </w:r>
    </w:p>
    <w:p>
      <w:pPr>
        <w:pStyle w:val="Bibliography"/>
        <w:rPr>
          <w:rFonts w:cs="Calibri"/>
          <w:kern w:val="0"/>
        </w:rPr>
      </w:pPr>
      <w:r>
        <w:rPr>
          <w:rFonts w:cs="Calibri"/>
          <w:kern w:val="0"/>
        </w:rPr>
        <w:t xml:space="preserve">6. </w:t>
        <w:tab/>
        <w:t>Weinstein MC (1988) A QALY is a QALY is a QALY — Or is it? Journal of Health Economics 7:289–290</w:t>
      </w:r>
    </w:p>
    <w:p>
      <w:pPr>
        <w:pStyle w:val="Bibliography"/>
        <w:rPr>
          <w:rFonts w:cs="Calibri"/>
          <w:kern w:val="0"/>
        </w:rPr>
      </w:pPr>
      <w:r>
        <w:rPr>
          <w:rFonts w:cs="Calibri"/>
          <w:kern w:val="0"/>
        </w:rPr>
        <w:t xml:space="preserve">7. </w:t>
        <w:tab/>
        <w:t>International Health Conference (2002) Constitution of the World Health Organization. 1946. Bull World Health Organ 80:983–984</w:t>
      </w:r>
    </w:p>
    <w:p>
      <w:pPr>
        <w:pStyle w:val="Bibliography"/>
        <w:rPr>
          <w:rFonts w:cs="Calibri"/>
          <w:kern w:val="0"/>
        </w:rPr>
      </w:pPr>
      <w:r>
        <w:rPr>
          <w:rFonts w:cs="Calibri"/>
          <w:kern w:val="0"/>
        </w:rPr>
        <w:t xml:space="preserve">8. </w:t>
        <w:tab/>
        <w:t xml:space="preserve">World Health Organisation (1946) 1946 Constitution of the World Health Organization. Centre for International Law </w:t>
      </w:r>
    </w:p>
    <w:p>
      <w:pPr>
        <w:pStyle w:val="Bibliography"/>
        <w:rPr>
          <w:rFonts w:cs="Calibri"/>
          <w:kern w:val="0"/>
        </w:rPr>
      </w:pPr>
      <w:r>
        <w:rPr>
          <w:rFonts w:cs="Calibri"/>
          <w:kern w:val="0"/>
        </w:rPr>
        <w:t xml:space="preserve">9. </w:t>
        <w:tab/>
        <w:t xml:space="preserve">Kungörelse (1974) Kungörelse 1974:152 Regereingsformen [Instrument of governement]. </w:t>
      </w:r>
    </w:p>
    <w:p>
      <w:pPr>
        <w:pStyle w:val="Bibliography"/>
        <w:rPr>
          <w:rFonts w:cs="Calibri"/>
          <w:kern w:val="0"/>
        </w:rPr>
      </w:pPr>
      <w:r>
        <w:rPr>
          <w:rFonts w:cs="Calibri"/>
          <w:kern w:val="0"/>
        </w:rPr>
        <w:t xml:space="preserve">10. </w:t>
        <w:tab/>
        <w:t>Statistics Sweden (2023) Statistics Sweden. https://www.scb.se. Accessed 14 Oct 2018</w:t>
      </w:r>
    </w:p>
    <w:p>
      <w:pPr>
        <w:pStyle w:val="Bibliography"/>
        <w:rPr>
          <w:rFonts w:cs="Calibri"/>
          <w:kern w:val="0"/>
        </w:rPr>
      </w:pPr>
      <w:r>
        <w:rPr>
          <w:rFonts w:cs="Calibri"/>
          <w:kern w:val="0"/>
        </w:rPr>
        <w:t xml:space="preserve">11. </w:t>
        <w:tab/>
        <w:t>San Sebastián M, Mosquera PA, Gustafsson PE (2018) Whose income is more important: mine, yours or ours? Income inequality and mental health in northern Sweden. European Journal of Public Health 28:1056–1061</w:t>
      </w:r>
    </w:p>
    <w:p>
      <w:pPr>
        <w:pStyle w:val="Bibliography"/>
        <w:rPr>
          <w:rFonts w:cs="Calibri"/>
          <w:kern w:val="0"/>
        </w:rPr>
      </w:pPr>
      <w:r>
        <w:rPr>
          <w:rFonts w:cs="Calibri"/>
          <w:kern w:val="0"/>
        </w:rPr>
        <w:t xml:space="preserve">12. </w:t>
        <w:tab/>
        <w:t>Baroudi M (2022) Leaving the door ajar : young migrants’ sexual and reproductive health in Sweden. Umeå universitet</w:t>
      </w:r>
    </w:p>
    <w:p>
      <w:pPr>
        <w:pStyle w:val="Normal"/>
        <w:spacing w:before="0" w:after="160"/>
        <w:rPr/>
      </w:pPr>
      <w:r/>
      <w:r>
        <w:rPr/>
        <w:fldChar w:fldCharType="end"/>
      </w:r>
      <w:r>
        <w:rPr/>
      </w:r>
    </w:p>
    <w:sectPr>
      <w:headerReference w:type="even" r:id="rId5"/>
      <w:headerReference w:type="default" r:id="rId6"/>
      <w:headerReference w:type="first" r:id="rId7"/>
      <w:type w:val="nextPage"/>
      <w:pgSz w:w="12240" w:h="15840"/>
      <w:pgMar w:left="1417" w:right="1417" w:gutter="0" w:header="0" w:top="1417" w:footer="0"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Georgia">
    <w:charset w:val="01"/>
    <w:family w:val="roman"/>
    <w:pitch w:val="variable"/>
  </w:font>
  <w:font w:name="Open Sans">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24"/>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603b6"/>
    <w:pPr>
      <w:widowControl/>
      <w:suppressAutoHyphens w:val="true"/>
      <w:bidi w:val="0"/>
      <w:spacing w:lineRule="auto" w:line="259" w:before="0" w:after="160"/>
      <w:jc w:val="left"/>
    </w:pPr>
    <w:rPr>
      <w:rFonts w:ascii="Calibri" w:hAnsi="Calibri" w:eastAsia="Calibri" w:cs="DejaVu Sans"/>
      <w:color w:val="auto"/>
      <w:kern w:val="2"/>
      <w:sz w:val="22"/>
      <w:szCs w:val="22"/>
      <w:lang w:val="en-US" w:eastAsia="en-US" w:bidi="ar-SA"/>
      <w14:ligatures w14:val="none"/>
    </w:rPr>
  </w:style>
  <w:style w:type="paragraph" w:styleId="Heading1">
    <w:name w:val="Heading 1"/>
    <w:basedOn w:val="Normal"/>
    <w:next w:val="Normal"/>
    <w:link w:val="Heading1Char"/>
    <w:uiPriority w:val="9"/>
    <w:qFormat/>
    <w:rsid w:val="002f669a"/>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unhideWhenUsed/>
    <w:qFormat/>
    <w:rsid w:val="002f669a"/>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unhideWhenUsed/>
    <w:qFormat/>
    <w:rsid w:val="002f669a"/>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2f669a"/>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2f669a"/>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2f669a"/>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2f669a"/>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2f669a"/>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2f669a"/>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qFormat/>
    <w:rsid w:val="002f669a"/>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qFormat/>
    <w:rsid w:val="002f669a"/>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qFormat/>
    <w:rsid w:val="002f669a"/>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2f669a"/>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2f669a"/>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2f669a"/>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2f669a"/>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2f669a"/>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2f669a"/>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2f669a"/>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2f669a"/>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2f669a"/>
    <w:rPr>
      <w:i/>
      <w:iCs/>
      <w:color w:themeColor="text1" w:themeTint="bf" w:val="404040"/>
    </w:rPr>
  </w:style>
  <w:style w:type="character" w:styleId="IntenseEmphasis">
    <w:name w:val="Intense Emphasis"/>
    <w:basedOn w:val="DefaultParagraphFont"/>
    <w:uiPriority w:val="21"/>
    <w:qFormat/>
    <w:rsid w:val="002f669a"/>
    <w:rPr>
      <w:i/>
      <w:iCs/>
      <w:color w:themeColor="accent1" w:themeShade="bf" w:val="2F5496"/>
    </w:rPr>
  </w:style>
  <w:style w:type="character" w:styleId="IntenseQuoteChar" w:customStyle="1">
    <w:name w:val="Intense Quote Char"/>
    <w:basedOn w:val="DefaultParagraphFont"/>
    <w:link w:val="IntenseQuote"/>
    <w:uiPriority w:val="30"/>
    <w:qFormat/>
    <w:rsid w:val="002f669a"/>
    <w:rPr>
      <w:i/>
      <w:iCs/>
      <w:color w:themeColor="accent1" w:themeShade="bf" w:val="2F5496"/>
    </w:rPr>
  </w:style>
  <w:style w:type="character" w:styleId="IntenseReference">
    <w:name w:val="Intense Reference"/>
    <w:basedOn w:val="DefaultParagraphFont"/>
    <w:uiPriority w:val="32"/>
    <w:qFormat/>
    <w:rsid w:val="002f669a"/>
    <w:rPr>
      <w:b/>
      <w:bCs/>
      <w:smallCaps/>
      <w:color w:themeColor="accent1" w:themeShade="bf" w:val="2F5496"/>
      <w:spacing w:val="5"/>
    </w:rPr>
  </w:style>
  <w:style w:type="character" w:styleId="SourceText" w:customStyle="1">
    <w:name w:val="Source Text"/>
    <w:qFormat/>
    <w:rsid w:val="001603b6"/>
    <w:rPr>
      <w:rFonts w:ascii="Liberation Mono" w:hAnsi="Liberation Mono" w:eastAsia="Liberation Mono" w:cs="Liberation Mono"/>
    </w:rPr>
  </w:style>
  <w:style w:type="character" w:styleId="BodyTextChar" w:customStyle="1">
    <w:name w:val="Body Text Char"/>
    <w:basedOn w:val="DefaultParagraphFont"/>
    <w:qFormat/>
    <w:rsid w:val="001603b6"/>
    <w:rPr>
      <w:rFonts w:ascii="Calibri" w:hAnsi="Calibri" w:eastAsia="Calibri" w:cs="DejaVu Sans"/>
      <w14:ligatures w14:val="none"/>
    </w:rPr>
  </w:style>
  <w:style w:type="character" w:styleId="HeaderChar" w:customStyle="1">
    <w:name w:val="Header Char"/>
    <w:basedOn w:val="DefaultParagraphFont"/>
    <w:link w:val="Header"/>
    <w:uiPriority w:val="99"/>
    <w:qFormat/>
    <w:rsid w:val="001603b6"/>
    <w:rPr>
      <w:rFonts w:ascii="Calibri" w:hAnsi="Calibri" w:eastAsia="Calibri" w:cs="DejaVu Sans"/>
      <w14:ligatures w14:val="none"/>
    </w:rPr>
  </w:style>
  <w:style w:type="character" w:styleId="FooterChar" w:customStyle="1">
    <w:name w:val="Footer Char"/>
    <w:basedOn w:val="DefaultParagraphFont"/>
    <w:link w:val="Footer"/>
    <w:uiPriority w:val="99"/>
    <w:semiHidden/>
    <w:qFormat/>
    <w:rsid w:val="00f12688"/>
    <w:rPr>
      <w:rFonts w:ascii="Calibri" w:hAnsi="Calibri" w:eastAsia="Calibri" w:cs="DejaVu Sans"/>
      <w14:ligatures w14:val="none"/>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link w:val="BodyTextChar"/>
    <w:rsid w:val="001603b6"/>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2f669a"/>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2f669a"/>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2f669a"/>
    <w:pPr>
      <w:spacing w:before="160" w:after="160"/>
      <w:jc w:val="center"/>
    </w:pPr>
    <w:rPr>
      <w:i/>
      <w:iCs/>
      <w:color w:themeColor="text1" w:themeTint="bf" w:val="404040"/>
    </w:rPr>
  </w:style>
  <w:style w:type="paragraph" w:styleId="ListParagraph">
    <w:name w:val="List Paragraph"/>
    <w:basedOn w:val="Normal"/>
    <w:uiPriority w:val="34"/>
    <w:qFormat/>
    <w:rsid w:val="002f669a"/>
    <w:pPr>
      <w:spacing w:before="0" w:after="160"/>
      <w:ind w:left="720"/>
      <w:contextualSpacing/>
    </w:pPr>
    <w:rPr/>
  </w:style>
  <w:style w:type="paragraph" w:styleId="IntenseQuote">
    <w:name w:val="Intense Quote"/>
    <w:basedOn w:val="Normal"/>
    <w:next w:val="Normal"/>
    <w:link w:val="IntenseQuoteChar"/>
    <w:uiPriority w:val="30"/>
    <w:qFormat/>
    <w:rsid w:val="002f669a"/>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TableContents" w:customStyle="1">
    <w:name w:val="Table Contents"/>
    <w:basedOn w:val="Normal"/>
    <w:qFormat/>
    <w:rsid w:val="001603b6"/>
    <w:pPr>
      <w:widowControl w:val="false"/>
      <w:suppressLineNumbers/>
    </w:pPr>
    <w:rPr/>
  </w:style>
  <w:style w:type="paragraph" w:styleId="Rapportunderrubrik" w:customStyle="1">
    <w:name w:val="Rapportunderrubrik"/>
    <w:basedOn w:val="Normal"/>
    <w:qFormat/>
    <w:rsid w:val="001603b6"/>
    <w:pPr>
      <w:spacing w:lineRule="atLeast" w:line="360" w:before="360" w:after="0"/>
    </w:pPr>
    <w:rPr>
      <w:rFonts w:ascii="Georgia" w:hAnsi="Georgia" w:eastAsia="Times New Roman" w:cs="Times New Roman"/>
      <w:sz w:val="36"/>
      <w:szCs w:val="36"/>
      <w:lang w:val="sv-SE"/>
    </w:rPr>
  </w:style>
  <w:style w:type="paragraph" w:styleId="PreformattedText" w:customStyle="1">
    <w:name w:val="Preformatted Text"/>
    <w:basedOn w:val="Normal"/>
    <w:qFormat/>
    <w:rsid w:val="001603b6"/>
    <w:pPr>
      <w:spacing w:before="0" w:after="0"/>
    </w:pPr>
    <w:rPr>
      <w:rFonts w:ascii="Liberation Mono" w:hAnsi="Liberation Mono" w:eastAsia="Liberation Mono" w:cs="Liberation Mono"/>
      <w:sz w:val="20"/>
      <w:szCs w:val="20"/>
    </w:rPr>
  </w:style>
  <w:style w:type="paragraph" w:styleId="HeaderandFooter">
    <w:name w:val="Header and Footer"/>
    <w:basedOn w:val="Normal"/>
    <w:qFormat/>
    <w:pPr/>
    <w:rPr/>
  </w:style>
  <w:style w:type="paragraph" w:styleId="Header">
    <w:name w:val="Header"/>
    <w:basedOn w:val="Normal"/>
    <w:link w:val="HeaderChar"/>
    <w:uiPriority w:val="99"/>
    <w:unhideWhenUsed/>
    <w:rsid w:val="001603b6"/>
    <w:pPr>
      <w:tabs>
        <w:tab w:val="clear" w:pos="720"/>
        <w:tab w:val="center" w:pos="4703" w:leader="none"/>
        <w:tab w:val="right" w:pos="9406" w:leader="none"/>
      </w:tabs>
      <w:spacing w:lineRule="auto" w:line="240" w:before="0" w:after="0"/>
    </w:pPr>
    <w:rPr/>
  </w:style>
  <w:style w:type="paragraph" w:styleId="Footer">
    <w:name w:val="Footer"/>
    <w:basedOn w:val="Normal"/>
    <w:link w:val="FooterChar"/>
    <w:uiPriority w:val="99"/>
    <w:semiHidden/>
    <w:unhideWhenUsed/>
    <w:rsid w:val="00f12688"/>
    <w:pPr>
      <w:tabs>
        <w:tab w:val="clear" w:pos="720"/>
        <w:tab w:val="center" w:pos="4703" w:leader="none"/>
        <w:tab w:val="right" w:pos="9406" w:leader="none"/>
      </w:tabs>
      <w:spacing w:lineRule="auto" w:line="240" w:before="0" w:after="0"/>
    </w:pPr>
    <w:rPr/>
  </w:style>
  <w:style w:type="paragraph" w:styleId="Bibliography">
    <w:name w:val="Bibliography"/>
    <w:basedOn w:val="Normal"/>
    <w:next w:val="Normal"/>
    <w:uiPriority w:val="37"/>
    <w:unhideWhenUsed/>
    <w:qFormat/>
    <w:rsid w:val="0017092f"/>
    <w:pPr>
      <w:tabs>
        <w:tab w:val="clear" w:pos="720"/>
        <w:tab w:val="left" w:pos="504" w:leader="none"/>
      </w:tabs>
      <w:spacing w:lineRule="auto" w:line="240" w:before="0" w:after="240"/>
      <w:ind w:hanging="504" w:left="504"/>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header" Target="header5.xml"/><Relationship Id="rId7" Type="http://schemas.openxmlformats.org/officeDocument/2006/relationships/header" Target="header6.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96</TotalTime>
  <Application>LibreOffice/24.2.2.2$Linux_X86_64 LibreOffice_project/420$Build-2</Application>
  <AppVersion>15.0000</AppVersion>
  <Pages>12</Pages>
  <Words>2405</Words>
  <Characters>13480</Characters>
  <CharactersWithSpaces>15764</CharactersWithSpaces>
  <Paragraphs>221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2024-05-06T20:27:00Z</dcterms:created>
  <dc:creator>Kaspar Meili</dc:creator>
  <dc:description/>
  <dc:language>en-US</dc:language>
  <cp:lastModifiedBy>Kaspar Meili</cp:lastModifiedBy>
  <dcterms:modified xsi:type="dcterms:W3CDTF">2024-05-07T20:17:29Z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id="i5zdhnlz"/&gt;&lt;style id="http://www.zotero.org/styles/springer-vancouver" hasBibliography="1" bibliographyStyleHasBeenSet="1"/&gt;&lt;prefs&gt;&lt;pref name="fieldType" value="Field"/&gt;&lt;/prefs&gt;&lt;/data&gt;</vt:lpwstr>
  </property>
</Properties>
</file>