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Title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4"/>
        <w:gridCol w:w="2388"/>
        <w:gridCol w:w="3402"/>
      </w:tblGrid>
      <w:tr>
        <w:trPr/>
        <w:tc>
          <w:tcPr>
            <w:tcW w:w="4414"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8"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8"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w:t>
            </w:r>
            <w:r>
              <w:rPr/>
              <w:t>0000</w:t>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8"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8" w:type="dxa"/>
            <w:tcBorders>
              <w:left w:val="single" w:sz="4" w:space="0" w:color="000000"/>
              <w:bottom w:val="single" w:sz="4" w:space="0" w:color="000000"/>
            </w:tcBorders>
          </w:tcPr>
          <w:p>
            <w:pPr>
              <w:pStyle w:val="TableContent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pPr>
      <w:r>
        <w:rPr/>
      </w:r>
    </w:p>
    <w:p>
      <w:pPr>
        <w:pStyle w:val="Normal"/>
        <w:rPr/>
      </w:pPr>
      <w:r>
        <w:rPr>
          <w:b/>
          <w:bCs/>
        </w:rPr>
        <w:t>corresponding_email</w:t>
      </w:r>
      <w:r>
        <w:rPr/>
        <w:t>: address@domain.com</w:t>
      </w:r>
    </w:p>
    <w:p>
      <w:pPr>
        <w:pStyle w:val="Normal"/>
        <w:rPr/>
      </w:pPr>
      <w:r>
        <w:rPr>
          <w:b/>
          <w:bCs/>
        </w:rPr>
        <w:t>Keywords</w:t>
      </w:r>
      <w:r>
        <w:rPr/>
        <w:t>: keyword1, keyword2, keyword3,...</w:t>
      </w:r>
    </w:p>
    <w:p>
      <w:pPr>
        <w:pStyle w:val="Heading2"/>
        <w:rPr/>
      </w:pPr>
      <w:r>
        <w:rPr/>
        <w:t xml:space="preserve">ABSTRACT </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 2]","plainCitation":"[1, 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 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 5]","plainCitation":"[4, 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 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 6\\uc0\\u8211{}9]","plainCitation":"[1, 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 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 12]","plainCitation":"[11, 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 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concent.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long table</w:t>
      </w:r>
      <w:r>
        <w:rPr>
          <w:rFonts w:cs="Open Sans" w:ascii="Open Sans" w:hAnsi="Open Sans"/>
          <w:bCs/>
          <w:kern w:val="0"/>
          <w:sz w:val="20"/>
          <w:szCs w:val="20"/>
        </w:rPr>
        <w:t>.</w:t>
      </w:r>
      <w:r>
        <w:rPr>
          <w:rFonts w:cs="Open Sans" w:ascii="Open Sans" w:hAnsi="Open Sans"/>
          <w:bCs/>
          <w:kern w:val="0"/>
          <w:sz w:val="20"/>
          <w:szCs w:val="20"/>
        </w:rPr>
        <w:t>'</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2"/>
          <w:headerReference w:type="default" r:id="rId3"/>
          <w:headerReference w:type="first" r:id="rId4"/>
          <w:type w:val="nextPage"/>
          <w:pgSz w:w="11906" w:h="16838"/>
          <w:pgMar w:left="851" w:right="851" w:gutter="0" w:header="0" w:top="1440" w:footer="0" w:bottom="1440"/>
          <w:pgNumType w:fmt="decimal"/>
          <w:formProt w:val="false"/>
          <w:textDirection w:val="lrTb"/>
          <w:docGrid w:type="default" w:linePitch="312" w:charSpace="5734"/>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0"/>
        <w:gridCol w:w="1687"/>
        <w:gridCol w:w="1846"/>
        <w:gridCol w:w="2407"/>
      </w:tblGrid>
      <w:tr>
        <w:trPr>
          <w:trHeight w:val="466" w:hRule="atLeast"/>
        </w:trPr>
        <w:tc>
          <w:tcPr>
            <w:tcW w:w="3830"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0"/>
        <w:gridCol w:w="1687"/>
        <w:gridCol w:w="1846"/>
        <w:gridCol w:w="2407"/>
      </w:tblGrid>
      <w:tr>
        <w:trPr>
          <w:trHeight w:val="466" w:hRule="atLeast"/>
        </w:trPr>
        <w:tc>
          <w:tcPr>
            <w:tcW w:w="3830"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kern w:val="0"/>
        </w:rPr>
      </w:pPr>
      <w:r>
        <w:fldChar w:fldCharType="begin"/>
      </w:r>
      <w:r>
        <w:rPr/>
        <w:instrText xml:space="preserve">ADDIN ZOTERO_BIBL {"uncited":[],"omitted":[],"custom":[]} CSL_BIBLIOGRAPHY</w:instrText>
      </w:r>
      <w:r>
        <w:rPr/>
      </w:r>
      <w:r>
        <w:rPr/>
        <w:fldChar w:fldCharType="separate"/>
      </w:r>
      <w:r>
        <w:rPr/>
      </w:r>
      <w:r>
        <w:rPr>
          <w:rFonts w:cs="Calibri"/>
          <w:kern w:val="0"/>
        </w:rPr>
        <w:t xml:space="preserve">1. </w:t>
        <w:tab/>
        <w:t xml:space="preserve">U.N. General Assembly (1948) The Universal Declaration of Human Rights. </w:t>
      </w:r>
    </w:p>
    <w:p>
      <w:pPr>
        <w:pStyle w:val="Bibliography"/>
        <w:rPr>
          <w:rFonts w:cs="Calibri"/>
          <w:kern w:val="0"/>
        </w:rPr>
      </w:pPr>
      <w:r>
        <w:rPr>
          <w:rFonts w:cs="Calibri"/>
          <w:kern w:val="0"/>
        </w:rPr>
        <w:t xml:space="preserve">2. </w:t>
        <w:tab/>
        <w:t xml:space="preserve">United Nations (2015) The 2030 Agenda for Sustainable Development. </w:t>
      </w:r>
    </w:p>
    <w:p>
      <w:pPr>
        <w:pStyle w:val="Bibliography"/>
        <w:rPr>
          <w:rFonts w:cs="Calibri"/>
          <w:kern w:val="0"/>
        </w:rPr>
      </w:pPr>
      <w:r>
        <w:rPr>
          <w:rFonts w:cs="Calibri"/>
          <w:kern w:val="0"/>
        </w:rPr>
        <w:t xml:space="preserve">3. </w:t>
        <w:tab/>
        <w:t>Sen A (2001) Development as Freedom. Oxford University Press, New York</w:t>
      </w:r>
    </w:p>
    <w:p>
      <w:pPr>
        <w:pStyle w:val="Bibliography"/>
        <w:rPr>
          <w:rFonts w:cs="Calibri"/>
          <w:kern w:val="0"/>
        </w:rPr>
      </w:pPr>
      <w:r>
        <w:rPr>
          <w:rFonts w:cs="Calibri"/>
          <w:kern w:val="0"/>
        </w:rPr>
        <w:t xml:space="preserve">4. </w:t>
        <w:tab/>
        <w:t>International Conference on Primary Health Care (1978) Declaration of Alma-Ata. WHO Chron 32:428–430</w:t>
      </w:r>
    </w:p>
    <w:p>
      <w:pPr>
        <w:pStyle w:val="Bibliography"/>
        <w:rPr>
          <w:rFonts w:cs="Calibri"/>
          <w:kern w:val="0"/>
        </w:rPr>
      </w:pPr>
      <w:r>
        <w:rPr>
          <w:rFonts w:cs="Calibri"/>
          <w:kern w:val="0"/>
        </w:rPr>
        <w:t xml:space="preserve">5. </w:t>
        <w:tab/>
        <w:t>Ho J, Mathers C (2018) WHO methods and data sources for global burden of disease estimates 2000-2016. WHO, Geneva</w:t>
      </w:r>
    </w:p>
    <w:p>
      <w:pPr>
        <w:pStyle w:val="Bibliography"/>
        <w:rPr>
          <w:rFonts w:cs="Calibri"/>
          <w:kern w:val="0"/>
        </w:rPr>
      </w:pPr>
      <w:r>
        <w:rPr>
          <w:rFonts w:cs="Calibri"/>
          <w:kern w:val="0"/>
        </w:rPr>
        <w:t xml:space="preserve">6. </w:t>
        <w:tab/>
        <w:t>Weinstein MC (1988) A QALY is a QALY is a QALY — Or is it? Journal of Health Economics 7:289–290</w:t>
      </w:r>
    </w:p>
    <w:p>
      <w:pPr>
        <w:pStyle w:val="Bibliography"/>
        <w:rPr>
          <w:rFonts w:cs="Calibri"/>
          <w:kern w:val="0"/>
        </w:rPr>
      </w:pPr>
      <w:r>
        <w:rPr>
          <w:rFonts w:cs="Calibri"/>
          <w:kern w:val="0"/>
        </w:rPr>
        <w:t xml:space="preserve">7. </w:t>
        <w:tab/>
        <w:t>International Health Conference (2002) Constitution of the World Health Organization. 1946. Bull World Health Organ 80:983–984</w:t>
      </w:r>
    </w:p>
    <w:p>
      <w:pPr>
        <w:pStyle w:val="Bibliography"/>
        <w:rPr>
          <w:rFonts w:cs="Calibri"/>
          <w:kern w:val="0"/>
        </w:rPr>
      </w:pPr>
      <w:r>
        <w:rPr>
          <w:rFonts w:cs="Calibri"/>
          <w:kern w:val="0"/>
        </w:rPr>
        <w:t xml:space="preserve">8. </w:t>
        <w:tab/>
        <w:t xml:space="preserve">World Health Organisation (1946) 1946 Constitution of the World Health Organization. Centre for International Law </w:t>
      </w:r>
    </w:p>
    <w:p>
      <w:pPr>
        <w:pStyle w:val="Bibliography"/>
        <w:rPr>
          <w:rFonts w:cs="Calibri"/>
          <w:kern w:val="0"/>
        </w:rPr>
      </w:pPr>
      <w:r>
        <w:rPr>
          <w:rFonts w:cs="Calibri"/>
          <w:kern w:val="0"/>
        </w:rPr>
        <w:t xml:space="preserve">9. </w:t>
        <w:tab/>
        <w:t xml:space="preserve">Kungörelse (1974) Kungörelse 1974:152 Regereingsformen [Instrument of governement]. </w:t>
      </w:r>
    </w:p>
    <w:p>
      <w:pPr>
        <w:pStyle w:val="Bibliography"/>
        <w:rPr>
          <w:rFonts w:cs="Calibri"/>
          <w:kern w:val="0"/>
        </w:rPr>
      </w:pPr>
      <w:r>
        <w:rPr>
          <w:rFonts w:cs="Calibri"/>
          <w:kern w:val="0"/>
        </w:rPr>
        <w:t xml:space="preserve">10. </w:t>
        <w:tab/>
        <w:t>Statistics Sweden (2023) Statistics Sweden. https://www.scb.se. Accessed 14 Oct 2018</w:t>
      </w:r>
    </w:p>
    <w:p>
      <w:pPr>
        <w:pStyle w:val="Bibliography"/>
        <w:rPr>
          <w:rFonts w:cs="Calibri"/>
          <w:kern w:val="0"/>
        </w:rPr>
      </w:pPr>
      <w:r>
        <w:rPr>
          <w:rFonts w:cs="Calibri"/>
          <w:kern w:val="0"/>
        </w:rPr>
        <w:t xml:space="preserve">11. </w:t>
        <w:tab/>
        <w:t>San Sebastián M, Mosquera PA, Gustafsson PE (2018) Whose income is more important: mine, yours or ours? Income inequality and mental health in northern Sweden. European Journal of Public Health 28:1056–1061</w:t>
      </w:r>
    </w:p>
    <w:p>
      <w:pPr>
        <w:pStyle w:val="Bibliography"/>
        <w:rPr>
          <w:rFonts w:cs="Calibri"/>
          <w:kern w:val="0"/>
        </w:rPr>
      </w:pPr>
      <w:r>
        <w:rPr>
          <w:rFonts w:cs="Calibri"/>
          <w:kern w:val="0"/>
        </w:rPr>
        <w:t xml:space="preserve">12. </w:t>
        <w:tab/>
        <w:t>Baroudi M (2022) Leaving the door ajar : young migrants’ sexual and reproductive health in Sweden. Umeå universitet</w:t>
      </w:r>
    </w:p>
    <w:p>
      <w:pPr>
        <w:pStyle w:val="Normal"/>
        <w:spacing w:before="0" w:after="160"/>
        <w:rPr/>
      </w:pPr>
      <w:r/>
      <w:r>
        <w:rPr/>
        <w:fldChar w:fldCharType="end"/>
      </w:r>
      <w:r>
        <w:rPr/>
      </w:r>
    </w:p>
    <w:sectPr>
      <w:headerReference w:type="even" r:id="rId5"/>
      <w:headerReference w:type="default" r:id="rId6"/>
      <w:headerReference w:type="first" r:id="rId7"/>
      <w:type w:val="nextPage"/>
      <w:pgSz w:w="12240" w:h="15840"/>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03b6"/>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2f669a"/>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2f669a"/>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2f669a"/>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2f669a"/>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2f669a"/>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2f669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f669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f669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f669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2f669a"/>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2f669a"/>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2f669a"/>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2f669a"/>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2f669a"/>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2f669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f669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f669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f669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f669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f669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f669a"/>
    <w:rPr>
      <w:i/>
      <w:iCs/>
      <w:color w:themeColor="text1" w:themeTint="bf" w:val="404040"/>
    </w:rPr>
  </w:style>
  <w:style w:type="character" w:styleId="IntenseEmphasis">
    <w:name w:val="Intense Emphasis"/>
    <w:basedOn w:val="DefaultParagraphFont"/>
    <w:uiPriority w:val="21"/>
    <w:qFormat/>
    <w:rsid w:val="002f669a"/>
    <w:rPr>
      <w:i/>
      <w:iCs/>
      <w:color w:themeColor="accent1" w:themeShade="bf" w:val="2F5496"/>
    </w:rPr>
  </w:style>
  <w:style w:type="character" w:styleId="IntenseQuoteChar" w:customStyle="1">
    <w:name w:val="Intense Quote Char"/>
    <w:basedOn w:val="DefaultParagraphFont"/>
    <w:link w:val="IntenseQuote"/>
    <w:uiPriority w:val="30"/>
    <w:qFormat/>
    <w:rsid w:val="002f669a"/>
    <w:rPr>
      <w:i/>
      <w:iCs/>
      <w:color w:themeColor="accent1" w:themeShade="bf" w:val="2F5496"/>
    </w:rPr>
  </w:style>
  <w:style w:type="character" w:styleId="IntenseReference">
    <w:name w:val="Intense Reference"/>
    <w:basedOn w:val="DefaultParagraphFont"/>
    <w:uiPriority w:val="32"/>
    <w:qFormat/>
    <w:rsid w:val="002f669a"/>
    <w:rPr>
      <w:b/>
      <w:bCs/>
      <w:smallCaps/>
      <w:color w:themeColor="accent1" w:themeShade="bf" w:val="2F5496"/>
      <w:spacing w:val="5"/>
    </w:rPr>
  </w:style>
  <w:style w:type="character" w:styleId="SourceText" w:customStyle="1">
    <w:name w:val="Source Text"/>
    <w:qFormat/>
    <w:rsid w:val="001603b6"/>
    <w:rPr>
      <w:rFonts w:ascii="Liberation Mono" w:hAnsi="Liberation Mono" w:eastAsia="Liberation Mono" w:cs="Liberation Mono"/>
    </w:rPr>
  </w:style>
  <w:style w:type="character" w:styleId="BodyTextChar" w:customStyle="1">
    <w:name w:val="Body Text Char"/>
    <w:basedOn w:val="DefaultParagraphFont"/>
    <w:qFormat/>
    <w:rsid w:val="001603b6"/>
    <w:rPr>
      <w:rFonts w:ascii="Calibri" w:hAnsi="Calibri" w:eastAsia="Calibri" w:cs="DejaVu Sans"/>
      <w14:ligatures w14:val="none"/>
    </w:rPr>
  </w:style>
  <w:style w:type="character" w:styleId="HeaderChar" w:customStyle="1">
    <w:name w:val="Header Char"/>
    <w:basedOn w:val="DefaultParagraphFont"/>
    <w:link w:val="Header"/>
    <w:uiPriority w:val="99"/>
    <w:qFormat/>
    <w:rsid w:val="001603b6"/>
    <w:rPr>
      <w:rFonts w:ascii="Calibri" w:hAnsi="Calibri" w:eastAsia="Calibri" w:cs="DejaVu Sans"/>
      <w14:ligatures w14:val="none"/>
    </w:rPr>
  </w:style>
  <w:style w:type="character" w:styleId="FooterChar" w:customStyle="1">
    <w:name w:val="Footer Char"/>
    <w:basedOn w:val="DefaultParagraphFont"/>
    <w:link w:val="Footer"/>
    <w:uiPriority w:val="99"/>
    <w:semiHidden/>
    <w:qFormat/>
    <w:rsid w:val="00f12688"/>
    <w:rPr>
      <w:rFonts w:ascii="Calibri" w:hAnsi="Calibri" w:eastAsia="Calibri" w:cs="DejaVu Sans"/>
      <w14:ligatures w14:val="non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1603b6"/>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f669a"/>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f669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f669a"/>
    <w:pPr>
      <w:spacing w:before="160" w:after="160"/>
      <w:jc w:val="center"/>
    </w:pPr>
    <w:rPr>
      <w:i/>
      <w:iCs/>
      <w:color w:themeColor="text1" w:themeTint="bf" w:val="404040"/>
    </w:rPr>
  </w:style>
  <w:style w:type="paragraph" w:styleId="ListParagraph">
    <w:name w:val="List Paragraph"/>
    <w:basedOn w:val="Normal"/>
    <w:uiPriority w:val="34"/>
    <w:qFormat/>
    <w:rsid w:val="002f669a"/>
    <w:pPr>
      <w:spacing w:before="0" w:after="160"/>
      <w:ind w:left="720"/>
      <w:contextualSpacing/>
    </w:pPr>
    <w:rPr/>
  </w:style>
  <w:style w:type="paragraph" w:styleId="IntenseQuote">
    <w:name w:val="Intense Quote"/>
    <w:basedOn w:val="Normal"/>
    <w:next w:val="Normal"/>
    <w:link w:val="IntenseQuoteChar"/>
    <w:uiPriority w:val="30"/>
    <w:qFormat/>
    <w:rsid w:val="002f669a"/>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1603b6"/>
    <w:pPr>
      <w:widowControl w:val="false"/>
      <w:suppressLineNumbers/>
    </w:pPr>
    <w:rPr/>
  </w:style>
  <w:style w:type="paragraph" w:styleId="Rapportunderrubrik" w:customStyle="1">
    <w:name w:val="Rapportunderrubrik"/>
    <w:basedOn w:val="Normal"/>
    <w:qFormat/>
    <w:rsid w:val="001603b6"/>
    <w:pPr>
      <w:spacing w:lineRule="atLeast" w:line="360" w:before="360" w:after="0"/>
    </w:pPr>
    <w:rPr>
      <w:rFonts w:ascii="Georgia" w:hAnsi="Georgia" w:eastAsia="Times New Roman" w:cs="Times New Roman"/>
      <w:sz w:val="36"/>
      <w:szCs w:val="36"/>
      <w:lang w:val="sv-SE"/>
    </w:rPr>
  </w:style>
  <w:style w:type="paragraph" w:styleId="PreformattedText" w:customStyle="1">
    <w:name w:val="Preformatted Text"/>
    <w:basedOn w:val="Normal"/>
    <w:qFormat/>
    <w:rsid w:val="001603b6"/>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1603b6"/>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semiHidden/>
    <w:unhideWhenUsed/>
    <w:rsid w:val="00f12688"/>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17092f"/>
    <w:pPr>
      <w:tabs>
        <w:tab w:val="clear" w:pos="720"/>
        <w:tab w:val="left" w:pos="504" w:leader="none"/>
      </w:tabs>
      <w:spacing w:lineRule="auto" w:line="240" w:before="0" w:after="240"/>
      <w:ind w:hanging="504" w:left="50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LibreOffice/24.2.3.2$Linux_X86_64 LibreOffice_project/420$Build-2</Application>
  <AppVersion>15.0000</AppVersion>
  <Pages>13</Pages>
  <Words>2509</Words>
  <Characters>14196</Characters>
  <CharactersWithSpaces>16520</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2024-05-06T20:27:00Z</dcterms:created>
  <dc:creator>Kaspar Meili</dc:creator>
  <dc:description/>
  <dc:language>en-US</dc:language>
  <cp:lastModifiedBy>Kaspar Meili</cp:lastModifiedBy>
  <dcterms:modified xsi:type="dcterms:W3CDTF">2024-05-20T21:29:01Z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id="i5zdhnlz"/&gt;&lt;style id="http://www.zotero.org/styles/springer-vancouver" hasBibliography="1" bibliographyStyleHasBeenSet="1"/&gt;&lt;prefs&gt;&lt;pref name="fieldType" value="Field"/&gt;&lt;/prefs&gt;&lt;/data&gt;</vt:lpwstr>
  </property>
</Properties>
</file>