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Title for editorial</w:t>
      </w:r>
    </w:p>
    <w:p>
      <w:pPr>
        <w:pStyle w:val="Heading2"/>
        <w:rPr/>
      </w:pPr>
      <w:r>
        <w:rPr/>
        <w:t>METADATA</w:t>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4413"/>
        <w:gridCol w:w="2389"/>
        <w:gridCol w:w="3402"/>
      </w:tblGrid>
      <w:tr>
        <w:trPr/>
        <w:tc>
          <w:tcPr>
            <w:tcW w:w="4413" w:type="dxa"/>
            <w:tcBorders>
              <w:top w:val="single" w:sz="4" w:space="0" w:color="000000"/>
              <w:left w:val="single" w:sz="4" w:space="0" w:color="000000"/>
              <w:bottom w:val="single" w:sz="4" w:space="0" w:color="000000"/>
            </w:tcBorders>
          </w:tcPr>
          <w:p>
            <w:pPr>
              <w:pStyle w:val="TableContents"/>
              <w:spacing w:before="0" w:after="160"/>
              <w:rPr>
                <w:b/>
                <w:bCs/>
              </w:rPr>
            </w:pPr>
            <w:r>
              <w:rPr>
                <w:b/>
                <w:bCs/>
              </w:rPr>
              <w:t>author</w:t>
            </w:r>
          </w:p>
        </w:tc>
        <w:tc>
          <w:tcPr>
            <w:tcW w:w="2389"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affiliation_ids</w:t>
            </w:r>
          </w:p>
        </w:tc>
        <w:tc>
          <w:tcPr>
            <w:tcW w:w="34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orcid</w:t>
            </w:r>
          </w:p>
        </w:tc>
      </w:tr>
      <w:tr>
        <w:trPr/>
        <w:tc>
          <w:tcPr>
            <w:tcW w:w="4413" w:type="dxa"/>
            <w:tcBorders>
              <w:left w:val="single" w:sz="4" w:space="0" w:color="000000"/>
              <w:bottom w:val="single" w:sz="4" w:space="0" w:color="000000"/>
            </w:tcBorders>
          </w:tcPr>
          <w:p>
            <w:pPr>
              <w:pStyle w:val="Normal"/>
              <w:spacing w:lineRule="auto" w:line="360" w:before="0" w:after="0"/>
              <w:rPr>
                <w:rFonts w:cs="" w:asciiTheme="majorBidi" w:cstheme="majorBidi" w:hAnsiTheme="majorBidi"/>
                <w:sz w:val="24"/>
                <w:szCs w:val="24"/>
              </w:rPr>
            </w:pPr>
            <w:r>
              <w:rPr>
                <w:rFonts w:cs="" w:asciiTheme="majorBidi" w:cstheme="majorBidi" w:hAnsiTheme="majorBidi"/>
                <w:color w:themeColor="text1" w:val="000000"/>
                <w:sz w:val="24"/>
                <w:szCs w:val="24"/>
                <w:lang w:val="es-ES"/>
              </w:rPr>
              <w:t>Last name</w:t>
            </w:r>
            <w:r>
              <w:rPr>
                <w:rFonts w:cs="" w:asciiTheme="majorBidi" w:cstheme="majorBidi" w:hAnsiTheme="majorBidi"/>
                <w:color w:themeColor="text1" w:val="000000"/>
                <w:sz w:val="24"/>
                <w:szCs w:val="24"/>
                <w:lang w:val="es-ES"/>
              </w:rPr>
              <w:t xml:space="preserve">, </w:t>
            </w:r>
            <w:r>
              <w:rPr>
                <w:rFonts w:cs="" w:asciiTheme="majorBidi" w:cstheme="majorBidi" w:hAnsiTheme="majorBidi"/>
                <w:color w:themeColor="text1" w:val="000000"/>
                <w:sz w:val="24"/>
                <w:szCs w:val="24"/>
                <w:lang w:val="es-ES"/>
              </w:rPr>
              <w:t>First name</w:t>
            </w:r>
            <w:r>
              <w:rPr>
                <w:rFonts w:cs="" w:asciiTheme="majorBidi" w:cstheme="majorBidi" w:hAnsiTheme="majorBidi"/>
                <w:color w:themeColor="text1" w:val="000000"/>
                <w:sz w:val="24"/>
                <w:szCs w:val="24"/>
                <w:lang w:val="es-ES"/>
              </w:rPr>
              <w:t>*</w:t>
            </w:r>
          </w:p>
        </w:tc>
        <w:tc>
          <w:tcPr>
            <w:tcW w:w="2389" w:type="dxa"/>
            <w:tcBorders>
              <w:left w:val="single" w:sz="4" w:space="0" w:color="000000"/>
              <w:bottom w:val="single" w:sz="4" w:space="0" w:color="000000"/>
            </w:tcBorders>
          </w:tcPr>
          <w:p>
            <w:pPr>
              <w:pStyle w:val="TableContents"/>
              <w:widowControl w:val="false"/>
              <w:suppressLineNumbers/>
              <w:spacing w:before="0" w:after="160"/>
              <w:rPr/>
            </w:pPr>
            <w:r>
              <w:rPr/>
              <w:t>1</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0000-0000-0000-0000</w:t>
            </w:r>
          </w:p>
        </w:tc>
      </w:tr>
    </w:tbl>
    <w:p>
      <w:pPr>
        <w:pStyle w:val="Normal"/>
        <w:rPr>
          <w:rFonts w:ascii="Open Sans" w:hAnsi="Open Sans" w:cs="Open Sans"/>
          <w:color w:themeColor="text1" w:val="000000"/>
          <w:sz w:val="24"/>
          <w:szCs w:val="32"/>
          <w:lang w:val="es-ES"/>
        </w:rPr>
      </w:pPr>
      <w:r>
        <w:rPr>
          <w:rFonts w:cs="Open Sans" w:ascii="Open Sans" w:hAnsi="Open Sans"/>
          <w:color w:themeColor="text1" w:val="000000"/>
          <w:sz w:val="24"/>
          <w:szCs w:val="32"/>
          <w:lang w:val="es-E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tcBorders>
          </w:tcPr>
          <w:p>
            <w:pPr>
              <w:pStyle w:val="TableContents"/>
              <w:spacing w:before="0" w:after="160"/>
              <w:rPr>
                <w:b/>
                <w:bCs/>
              </w:rPr>
            </w:pPr>
            <w:r>
              <w:rPr>
                <w:b/>
                <w:bCs/>
              </w:rPr>
              <w:t>affiliation</w:t>
            </w:r>
          </w:p>
        </w:tc>
        <w:tc>
          <w:tcPr>
            <w:tcW w:w="5102" w:type="dxa"/>
            <w:tcBorders>
              <w:top w:val="single" w:sz="4" w:space="0" w:color="000000"/>
              <w:left w:val="single" w:sz="4" w:space="0" w:color="000000"/>
              <w:right w:val="single" w:sz="4" w:space="0" w:color="000000"/>
            </w:tcBorders>
          </w:tcPr>
          <w:p>
            <w:pPr>
              <w:pStyle w:val="TableContents"/>
              <w:spacing w:before="0" w:after="160"/>
              <w:rPr>
                <w:b/>
                <w:bCs/>
              </w:rPr>
            </w:pPr>
            <w:r>
              <w:rPr>
                <w:b/>
                <w:bCs/>
              </w:rPr>
              <w:t>id</w:t>
            </w:r>
          </w:p>
        </w:tc>
      </w:tr>
      <w:tr>
        <w:trPr/>
        <w:tc>
          <w:tcPr>
            <w:tcW w:w="5101" w:type="dxa"/>
            <w:tcBorders>
              <w:left w:val="single" w:sz="4" w:space="0" w:color="000000"/>
            </w:tcBorders>
          </w:tcPr>
          <w:p>
            <w:pPr>
              <w:pStyle w:val="TableContents"/>
              <w:spacing w:before="0" w:after="160"/>
              <w:rPr>
                <w:b w:val="false"/>
                <w:bCs w:val="false"/>
              </w:rPr>
            </w:pPr>
            <w:r>
              <w:rPr>
                <w:b w:val="false"/>
                <w:bCs w:val="false"/>
              </w:rPr>
              <w:t>Affiliation, address, country</w:t>
            </w:r>
          </w:p>
        </w:tc>
        <w:tc>
          <w:tcPr>
            <w:tcW w:w="5102" w:type="dxa"/>
            <w:tcBorders>
              <w:left w:val="single" w:sz="4" w:space="0" w:color="000000"/>
              <w:right w:val="single" w:sz="4" w:space="0" w:color="000000"/>
            </w:tcBorders>
          </w:tcPr>
          <w:p>
            <w:pPr>
              <w:pStyle w:val="TableContents"/>
              <w:spacing w:before="0" w:after="160"/>
              <w:rPr>
                <w:b/>
                <w:bCs/>
              </w:rPr>
            </w:pPr>
            <w:r>
              <w:rPr>
                <w:b/>
                <w:bCs/>
              </w:rPr>
              <w:t>1</w:t>
            </w:r>
          </w:p>
        </w:tc>
      </w:tr>
    </w:tbl>
    <w:p>
      <w:pPr>
        <w:pStyle w:val="Normal"/>
        <w:rPr>
          <w:b/>
          <w:bCs/>
        </w:rPr>
      </w:pPr>
      <w:r>
        <w:rPr>
          <w:b/>
          <w:bC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statement</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text</w:t>
            </w:r>
          </w:p>
        </w:tc>
      </w:tr>
    </w:tbl>
    <w:p>
      <w:pPr>
        <w:pStyle w:val="BodyText"/>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attribute</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value</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text1" w:val="000000"/>
                <w:sz w:val="24"/>
                <w:szCs w:val="24"/>
                <w:lang w:val="en-GB"/>
              </w:rPr>
            </w:pPr>
            <w:r>
              <w:rPr>
                <w:rFonts w:cs="Open Sans" w:ascii="Open Sans" w:hAnsi="Open Sans"/>
                <w:color w:themeColor="text1" w:val="000000"/>
                <w:sz w:val="24"/>
                <w:szCs w:val="24"/>
                <w:lang w:val="en-GB"/>
              </w:rPr>
              <w:t>corresponding_email</w:t>
            </w:r>
          </w:p>
        </w:tc>
        <w:tc>
          <w:tcPr>
            <w:tcW w:w="5102" w:type="dxa"/>
            <w:tcBorders>
              <w:left w:val="single" w:sz="4" w:space="0" w:color="000000"/>
              <w:bottom w:val="single" w:sz="4" w:space="0" w:color="000000"/>
              <w:right w:val="single" w:sz="4" w:space="0" w:color="000000"/>
            </w:tcBorders>
          </w:tcPr>
          <w:p>
            <w:pPr>
              <w:pStyle w:val="Normal"/>
              <w:spacing w:lineRule="auto" w:line="360" w:before="0" w:after="0"/>
              <w:rPr>
                <w:rFonts w:cs="" w:asciiTheme="majorBidi" w:cstheme="majorBidi" w:hAnsiTheme="majorBidi"/>
                <w:sz w:val="24"/>
                <w:szCs w:val="24"/>
              </w:rPr>
            </w:pPr>
            <w:hyperlink r:id="rId2">
              <w:r>
                <w:rPr>
                  <w:rStyle w:val="Hyperlink"/>
                  <w:rFonts w:cs="" w:asciiTheme="majorBidi" w:cstheme="majorBidi" w:hAnsiTheme="majorBidi"/>
                  <w:sz w:val="24"/>
                  <w:szCs w:val="24"/>
                </w:rPr>
                <w:t>cmichello@gmail.com</w:t>
              </w:r>
            </w:hyperlink>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text1" w:val="000000"/>
                <w:sz w:val="24"/>
                <w:szCs w:val="24"/>
                <w:lang w:val="en-GB"/>
              </w:rPr>
            </w:pPr>
            <w:r>
              <w:rPr>
                <w:rFonts w:cs="Open Sans" w:ascii="Open Sans" w:hAnsi="Open Sans"/>
                <w:color w:themeColor="text1" w:val="000000"/>
                <w:sz w:val="24"/>
                <w:szCs w:val="24"/>
                <w:lang w:val="en-GB"/>
              </w:rPr>
              <w:t>keywords</w:t>
            </w:r>
          </w:p>
        </w:tc>
        <w:tc>
          <w:tcPr>
            <w:tcW w:w="5102" w:type="dxa"/>
            <w:tcBorders>
              <w:left w:val="single" w:sz="4" w:space="0" w:color="000000"/>
              <w:bottom w:val="single" w:sz="4" w:space="0" w:color="000000"/>
              <w:right w:val="single" w:sz="4" w:space="0" w:color="000000"/>
            </w:tcBorders>
          </w:tcPr>
          <w:p>
            <w:pPr>
              <w:pStyle w:val="Normal"/>
              <w:spacing w:before="0" w:after="160"/>
              <w:rPr/>
            </w:pPr>
            <w:r>
              <w:rPr/>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text1" w:val="000000"/>
                <w:sz w:val="24"/>
                <w:szCs w:val="24"/>
                <w:lang w:val="en-GB"/>
              </w:rPr>
            </w:pPr>
            <w:r>
              <w:rPr>
                <w:rFonts w:cs="Open Sans" w:ascii="Open Sans" w:hAnsi="Open Sans"/>
                <w:color w:themeColor="text1" w:val="000000"/>
                <w:sz w:val="24"/>
                <w:szCs w:val="24"/>
                <w:lang w:val="en-GB"/>
              </w:rPr>
              <w:t>keywords_es</w:t>
            </w:r>
          </w:p>
        </w:tc>
        <w:tc>
          <w:tcPr>
            <w:tcW w:w="5102" w:type="dxa"/>
            <w:tcBorders>
              <w:left w:val="single" w:sz="4" w:space="0" w:color="000000"/>
              <w:bottom w:val="single" w:sz="4" w:space="0" w:color="000000"/>
              <w:right w:val="single" w:sz="4" w:space="0" w:color="000000"/>
            </w:tcBorders>
          </w:tcPr>
          <w:p>
            <w:pPr>
              <w:pStyle w:val="Normal"/>
              <w:spacing w:before="0" w:after="160"/>
              <w:rPr/>
            </w:pPr>
            <w:r>
              <w:rPr/>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text1" w:val="000000"/>
                <w:sz w:val="24"/>
                <w:szCs w:val="24"/>
                <w:lang w:val="en-GB"/>
              </w:rPr>
            </w:pPr>
            <w:r>
              <w:rPr>
                <w:rFonts w:cs="Open Sans" w:ascii="Open Sans" w:hAnsi="Open Sans"/>
                <w:color w:themeColor="text1" w:val="000000"/>
                <w:sz w:val="24"/>
                <w:szCs w:val="24"/>
                <w:lang w:val="en-GB"/>
              </w:rPr>
              <w:t>abstract_picture</w:t>
            </w:r>
          </w:p>
        </w:tc>
        <w:tc>
          <w:tcPr>
            <w:tcW w:w="5102" w:type="dxa"/>
            <w:tcBorders>
              <w:left w:val="single" w:sz="4" w:space="0" w:color="000000"/>
              <w:bottom w:val="single" w:sz="4" w:space="0" w:color="000000"/>
              <w:right w:val="single" w:sz="4" w:space="0" w:color="000000"/>
            </w:tcBorders>
          </w:tcPr>
          <w:p>
            <w:pPr>
              <w:pStyle w:val="Normal"/>
              <w:spacing w:before="0" w:after="160"/>
              <w:rPr/>
            </w:pPr>
            <w:r>
              <w:rPr/>
            </w:r>
          </w:p>
        </w:tc>
      </w:tr>
    </w:tbl>
    <w:p>
      <w:pPr>
        <w:pStyle w:val="Normal"/>
        <w:rPr/>
      </w:pPr>
      <w:r>
        <w:rPr/>
      </w:r>
      <w:r>
        <w:br w:type="page"/>
      </w:r>
    </w:p>
    <w:p>
      <w:pPr>
        <w:pStyle w:val="Heading1"/>
        <w:spacing w:before="0" w:after="80"/>
        <w:rPr/>
      </w:pPr>
      <w:r>
        <w:rPr/>
        <w:t>[empty]</w:t>
      </w:r>
    </w:p>
    <w:p>
      <w:pPr>
        <w:pStyle w:val="Normal"/>
        <w:spacing w:lineRule="auto" w:line="360" w:before="0" w:after="0"/>
        <w:rPr/>
      </w:pPr>
      <w:r>
        <w:rPr>
          <w:rFonts w:cs="Times New Roman" w:ascii="Times New Roman" w:hAnsi="Times New Roman"/>
          <w:sz w:val="24"/>
          <w:szCs w:val="24"/>
        </w:rPr>
        <w:t>Welcome to the Somali Health Action Journal (SHAJ), an open-access online publication. The SHAJ offers a national and international platform for knowledge sharing on key health system topics in development and other similar settings. It aims to pave the way for interaction between Somali academics and their institutions, health system professionals, policy makers and international partners, to develop local evidence-based solutions for the health problems of the population. The Journal’s goals include building collaborative health research partnerships and a research culture that focuses on priority health needs. It also aims to promote research capacity building across academic health institutions and cross-university research collaborations.</w:t>
      </w:r>
    </w:p>
    <w:p>
      <w:pPr>
        <w:pStyle w:val="Normal"/>
        <w:spacing w:lineRule="auto" w:line="360" w:before="0" w:after="0"/>
        <w:rPr/>
      </w:pPr>
      <w:r>
        <w:rPr>
          <w:rFonts w:cs="Times New Roman" w:ascii="Times New Roman" w:hAnsi="Times New Roman"/>
          <w:sz w:val="24"/>
          <w:szCs w:val="24"/>
        </w:rPr>
        <w:t>The idea of this Journal evolved from a few international seminars and workshops, held in Sweden from 2014 and onwards. The participants included representatives from the Somali diaspora professionals. The aim was to revive a Somali-Swedish research cooperation programme which was terminated in the early 1990s due to civil unrest. Focusing on health and the challenges met in rebuilding the Somali health and health care system, the discussions pointed to the importance of public health-oriented research and the crucial role of universities in building capacity for this purpose [1, 2]. This led to the organization of a joint health research academics from Somali universities and health services under the guidance of Somali and Swedish mentors. In the absence of a local channel for the dissemination published in an international journal [3, 4], and others are in progress. While recognizing the scarcity of research publications, particularly by Somali authors dealing with Somali health problems, the parties decided to collaborate and create a platform for the dissemination of research and policy debates. During the planning process, it was agreed that the ownership of SHAJ shall rest with Somali universities. However, for practical reasons, on an interim basis the Journal will initially be hosted by the Somali-Swedish Researchers’ Association, which is a Swedish based non-governmental organization. The SHAJ initiative has also been supported by the World Health Organization’s country leadership. To start with, several commissioned articles will focus on pertinent health issues and interventions in the on-going projects on diverse issues such as mental health, female genital mutilation/cutting, strategies for malaria control in Somalia. An on-going bibliometric review will assess who has published what on health and health care in Somalia over the past four decades. Discussion papers will be invited on policy options for re-building the health system and the role of research networking in this process. The need for research dissemination is a critical reason national aspirations towards attainment of Universal Health Coverage (UHC) and other Sustainable health by the year 2030. The Journal will voice the opinions of many Somali health professionals and academic institutions operating for decades in their fragile health system with limited research capacity. The ensuing digital platform will also provide young Somali scholars and health care workers with access to evidence-based health information.</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Heading2"/>
        <w:rPr/>
      </w:pPr>
      <w:r>
        <w:rPr/>
        <w:t>SHAJ as a lever for health system recovery</w:t>
      </w:r>
    </w:p>
    <w:p>
      <w:pPr>
        <w:pStyle w:val="Normal"/>
        <w:spacing w:lineRule="auto" w:line="360" w:before="0" w:after="0"/>
        <w:rPr/>
      </w:pPr>
      <w:r>
        <w:rPr>
          <w:rFonts w:cs="Times New Roman" w:ascii="Times New Roman" w:hAnsi="Times New Roman"/>
          <w:sz w:val="24"/>
          <w:szCs w:val="24"/>
        </w:rPr>
        <w:t>The Journal will serve as a forum for documentation and assessment of health care delivery and health research burden of disease approach, predominantly designed for diseases affecting the poor and underprivileged, is an important pathway. The SHAJ, in its role as a public health envoy, will promote and focus on the following:</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hanging="0" w:left="0"/>
        <w:contextualSpacing/>
        <w:jc w:val="left"/>
        <w:rPr/>
      </w:pPr>
      <w:r>
        <w:rPr>
          <w:rFonts w:cs="Times New Roman" w:ascii="Times New Roman" w:hAnsi="Times New Roman"/>
          <w:sz w:val="24"/>
          <w:szCs w:val="24"/>
        </w:rPr>
        <w:t>* Research addressing the high burden of health challenges aligned with local health priorities and establishing linkages between academic institutions and stakeholders from the public and private health sectors;</w:t>
      </w:r>
    </w:p>
    <w:p>
      <w:pPr>
        <w:pStyle w:val="ListParagraph"/>
        <w:spacing w:lineRule="auto" w:line="360" w:before="0" w:after="0"/>
        <w:ind w:hanging="0" w:left="0"/>
        <w:contextualSpacing/>
        <w:jc w:val="left"/>
        <w:rPr/>
      </w:pPr>
      <w:r>
        <w:rPr>
          <w:rFonts w:cs="Times New Roman" w:ascii="Times New Roman" w:hAnsi="Times New Roman"/>
          <w:sz w:val="24"/>
          <w:szCs w:val="24"/>
        </w:rPr>
        <w:t>* Community-based research, as a vital strategy for developing effective and culturally relevant and essential health interventions and for advancing the roles and responsibilities of health authorities in achieving UHC with the Essential Package of Health Services, and</w:t>
      </w:r>
    </w:p>
    <w:p>
      <w:pPr>
        <w:pStyle w:val="ListParagraph"/>
        <w:spacing w:lineRule="auto" w:line="360" w:before="0" w:after="0"/>
        <w:ind w:hanging="0" w:left="0"/>
        <w:contextualSpacing/>
        <w:jc w:val="left"/>
        <w:rPr/>
      </w:pPr>
      <w:r>
        <w:rPr>
          <w:rFonts w:cs="Times New Roman" w:ascii="Times New Roman" w:hAnsi="Times New Roman"/>
          <w:sz w:val="24"/>
          <w:szCs w:val="24"/>
        </w:rPr>
        <w:t>* Studies on the district primary health care (PHC) services, generating research evidence to create integrating the vertical health programs into the PHC model.</w:t>
      </w:r>
    </w:p>
    <w:p>
      <w:pPr>
        <w:pStyle w:val="Normal"/>
        <w:spacing w:lineRule="auto" w:line="360" w:before="0" w:after="0"/>
        <w:rPr>
          <w:rFonts w:ascii="Times New Roman" w:hAnsi="Times New Roman" w:cs="Times New Roman"/>
          <w:b/>
          <w:bCs/>
          <w:sz w:val="24"/>
          <w:szCs w:val="24"/>
        </w:rPr>
      </w:pPr>
      <w:r>
        <w:rPr>
          <w:rFonts w:cs="Times New Roman" w:ascii="Times New Roman" w:hAnsi="Times New Roman"/>
          <w:b/>
          <w:bCs/>
          <w:sz w:val="24"/>
          <w:szCs w:val="24"/>
        </w:rPr>
      </w:r>
    </w:p>
    <w:p>
      <w:pPr>
        <w:pStyle w:val="Normal"/>
        <w:spacing w:lineRule="auto" w:line="360" w:before="0" w:after="0"/>
        <w:rPr/>
      </w:pPr>
      <w:r>
        <w:rPr>
          <w:rFonts w:cs="Times New Roman" w:ascii="Times New Roman" w:hAnsi="Times New Roman"/>
          <w:b/>
          <w:bCs/>
          <w:sz w:val="24"/>
          <w:szCs w:val="24"/>
        </w:rPr>
        <w:t>Scope and papers sought</w:t>
      </w:r>
    </w:p>
    <w:p>
      <w:pPr>
        <w:pStyle w:val="Normal"/>
        <w:spacing w:lineRule="auto" w:line="360" w:before="0" w:after="0"/>
        <w:rPr/>
      </w:pPr>
      <w:r>
        <w:rPr>
          <w:rFonts w:cs="Times New Roman" w:ascii="Times New Roman" w:hAnsi="Times New Roman"/>
          <w:sz w:val="24"/>
          <w:szCs w:val="24"/>
        </w:rPr>
        <w:t>The SHAJ seeks manuscripts addressing national health priorities and challenges confronting the Somali health system, bringing research analyses and recommendations about its strengthening to the fore. Authors, not least locally resident researchers, are hence encouraged to submit: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hanging="0" w:left="0"/>
        <w:contextualSpacing/>
        <w:rPr>
          <w:rFonts w:ascii="Calibri" w:hAnsi="Calibri"/>
        </w:rPr>
      </w:pPr>
      <w:r>
        <w:rPr>
          <w:rFonts w:cs="Times New Roman" w:ascii="Times New Roman" w:hAnsi="Times New Roman"/>
          <w:sz w:val="24"/>
          <w:szCs w:val="24"/>
        </w:rPr>
        <w:t>* Original Articles aligned with the SDGs and UHC priority interventions reaching out to the underprivileged and hard to access communities;</w:t>
      </w:r>
    </w:p>
    <w:p>
      <w:pPr>
        <w:pStyle w:val="ListParagraph"/>
        <w:spacing w:lineRule="auto" w:line="360" w:before="0" w:after="0"/>
        <w:ind w:hanging="0" w:left="0"/>
        <w:contextualSpacing/>
        <w:rPr>
          <w:rFonts w:ascii="Calibri" w:hAnsi="Calibri"/>
        </w:rPr>
      </w:pPr>
      <w:r>
        <w:rPr>
          <w:rFonts w:cs="Times New Roman" w:ascii="Times New Roman" w:hAnsi="Times New Roman"/>
          <w:sz w:val="24"/>
          <w:szCs w:val="24"/>
        </w:rPr>
        <w:t>* Short Communications; adding value and knowledge relevant to implementation processes;</w:t>
      </w:r>
    </w:p>
    <w:p>
      <w:pPr>
        <w:pStyle w:val="ListParagraph"/>
        <w:spacing w:lineRule="auto" w:line="360" w:before="0" w:after="0"/>
        <w:ind w:hanging="0" w:left="0"/>
        <w:contextualSpacing/>
        <w:rPr>
          <w:rFonts w:ascii="Calibri" w:hAnsi="Calibri"/>
        </w:rPr>
      </w:pPr>
      <w:r>
        <w:rPr>
          <w:rFonts w:cs="Times New Roman" w:ascii="Times New Roman" w:hAnsi="Times New Roman"/>
          <w:sz w:val="24"/>
          <w:szCs w:val="24"/>
        </w:rPr>
        <w:t>* Capacity Building papers documenting how essential research infrastructure and capability, as well as human resources in general, can be developed as a basis for public health work in a fragile country;</w:t>
      </w:r>
    </w:p>
    <w:p>
      <w:pPr>
        <w:pStyle w:val="ListParagraph"/>
        <w:spacing w:lineRule="auto" w:line="360" w:before="0" w:after="0"/>
        <w:ind w:hanging="0" w:left="0"/>
        <w:contextualSpacing/>
        <w:rPr>
          <w:rFonts w:ascii="Calibri" w:hAnsi="Calibri"/>
        </w:rPr>
      </w:pPr>
      <w:r>
        <w:rPr>
          <w:rFonts w:cs="Times New Roman" w:ascii="Times New Roman" w:hAnsi="Times New Roman"/>
          <w:sz w:val="24"/>
          <w:szCs w:val="24"/>
        </w:rPr>
        <w:t>* Networking experiences country;</w:t>
      </w:r>
    </w:p>
    <w:p>
      <w:pPr>
        <w:pStyle w:val="ListParagraph"/>
        <w:spacing w:lineRule="auto" w:line="360" w:before="0" w:after="0"/>
        <w:ind w:hanging="0" w:left="0"/>
        <w:contextualSpacing/>
        <w:rPr>
          <w:rFonts w:ascii="Calibri" w:hAnsi="Calibri"/>
        </w:rPr>
      </w:pPr>
      <w:r>
        <w:rPr>
          <w:rFonts w:cs="Times New Roman" w:ascii="Times New Roman" w:hAnsi="Times New Roman"/>
          <w:sz w:val="24"/>
          <w:szCs w:val="24"/>
        </w:rPr>
        <w:t>* Educational Articles that outline the design, implementation, and evaluation of initiatives to improve the competence and performance levels of the health workforce and the services they provide;</w:t>
      </w:r>
    </w:p>
    <w:p>
      <w:pPr>
        <w:pStyle w:val="ListParagraph"/>
        <w:spacing w:lineRule="auto" w:line="360" w:before="0" w:after="0"/>
        <w:ind w:hanging="0" w:left="0"/>
        <w:contextualSpacing/>
        <w:rPr>
          <w:rFonts w:ascii="Calibri" w:hAnsi="Calibri"/>
        </w:rPr>
      </w:pPr>
      <w:r>
        <w:rPr>
          <w:rFonts w:cs="Times New Roman" w:ascii="Times New Roman" w:hAnsi="Times New Roman"/>
          <w:sz w:val="24"/>
          <w:szCs w:val="24"/>
        </w:rPr>
        <w:t>* Review Articles on health promotion, disease prevention, and the diagnosis and care of diseases of public health importance;</w:t>
      </w:r>
    </w:p>
    <w:p>
      <w:pPr>
        <w:pStyle w:val="ListParagraph"/>
        <w:spacing w:lineRule="auto" w:line="360" w:before="0" w:after="0"/>
        <w:ind w:hanging="0" w:left="0"/>
        <w:contextualSpacing/>
        <w:rPr>
          <w:rFonts w:ascii="Calibri" w:hAnsi="Calibri"/>
        </w:rPr>
      </w:pPr>
      <w:r>
        <w:rPr>
          <w:rFonts w:cs="Times New Roman" w:ascii="Times New Roman" w:hAnsi="Times New Roman"/>
          <w:sz w:val="24"/>
          <w:szCs w:val="24"/>
        </w:rPr>
        <w:t>* Debate Articles; public health issues and policies of relevance for fragile states;</w:t>
      </w:r>
    </w:p>
    <w:p>
      <w:pPr>
        <w:pStyle w:val="ListParagraph"/>
        <w:spacing w:lineRule="auto" w:line="360" w:before="0" w:after="0"/>
        <w:ind w:hanging="0" w:left="0"/>
        <w:contextualSpacing/>
        <w:rPr>
          <w:rFonts w:ascii="Calibri" w:hAnsi="Calibri"/>
        </w:rPr>
      </w:pPr>
      <w:r>
        <w:rPr>
          <w:rFonts w:cs="Times New Roman" w:ascii="Times New Roman" w:hAnsi="Times New Roman"/>
          <w:sz w:val="24"/>
          <w:szCs w:val="24"/>
        </w:rPr>
        <w:t>* Guideline Articles of relevance for public health and evidence-based health care, and</w:t>
      </w:r>
    </w:p>
    <w:p>
      <w:pPr>
        <w:pStyle w:val="ListParagraph"/>
        <w:spacing w:lineRule="auto" w:line="360" w:before="0" w:after="0"/>
        <w:ind w:hanging="0" w:left="0"/>
        <w:contextualSpacing/>
        <w:rPr>
          <w:rFonts w:ascii="Calibri" w:hAnsi="Calibri"/>
        </w:rPr>
      </w:pPr>
      <w:r>
        <w:rPr>
          <w:rFonts w:cs="Times New Roman" w:ascii="Times New Roman" w:hAnsi="Times New Roman"/>
          <w:sz w:val="24"/>
          <w:szCs w:val="24"/>
        </w:rPr>
        <w:t>* Perspectives in Public Health articles presenting practice-based knowledge and opinion articles based on case studies and public health relevant news.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Heading2"/>
        <w:rPr/>
      </w:pPr>
      <w:r>
        <w:rPr/>
        <w:t>Vision and mission</w:t>
      </w:r>
    </w:p>
    <w:p>
      <w:pPr>
        <w:pStyle w:val="Normal"/>
        <w:spacing w:lineRule="auto" w:line="360" w:before="0" w:after="0"/>
        <w:rPr/>
      </w:pPr>
      <w:r>
        <w:rPr>
          <w:rFonts w:cs="Times New Roman" w:ascii="Times New Roman" w:hAnsi="Times New Roman"/>
          <w:sz w:val="24"/>
          <w:szCs w:val="24"/>
        </w:rPr>
        <w:t>The SHAJ will help foster public health interventions through the collaboration between key stakeholders and it will also contribute to knowledge and capacity development. The Journal aims to facilitate evidence-based implementation, placing local communities at the heart of decision making and transformation processes. The SHAJ will also encourage multisectoral health research, addressing the underlying environmental and social determinants of ill health. Our core mission is to communicate and disseminate updated evidence to. The Journal will serve as a bridge for peace and a voice for reconciliation and trust-building at all levels. Their commitment to  the  Journal’s  mission  and  to  the development of a local foundation for its management.</w:t>
      </w:r>
    </w:p>
    <w:p>
      <w:pPr>
        <w:pStyle w:val="Normal"/>
        <w:spacing w:lineRule="auto" w:line="360" w:before="0" w:after="0"/>
        <w:rPr>
          <w:rFonts w:ascii="Times New Roman" w:hAnsi="Times New Roman" w:cs="Times New Roman"/>
          <w:i/>
          <w:i/>
          <w:iCs/>
          <w:sz w:val="24"/>
          <w:szCs w:val="24"/>
        </w:rPr>
      </w:pPr>
      <w:r>
        <w:rPr>
          <w:rFonts w:cs="Times New Roman" w:ascii="Times New Roman" w:hAnsi="Times New Roman"/>
          <w:i/>
          <w:iCs/>
          <w:sz w:val="24"/>
          <w:szCs w:val="24"/>
        </w:rPr>
      </w:r>
    </w:p>
    <w:p>
      <w:pPr>
        <w:pStyle w:val="Normal"/>
        <w:spacing w:lineRule="auto" w:line="360" w:before="0" w:after="0"/>
        <w:rPr/>
      </w:pPr>
      <w:r>
        <w:rPr>
          <w:rFonts w:cs="Times New Roman" w:ascii="Times New Roman" w:hAnsi="Times New Roman"/>
          <w:i/>
          <w:iCs/>
          <w:sz w:val="24"/>
          <w:szCs w:val="24"/>
        </w:rPr>
        <w:t>Bridging the Know-do Gap</w:t>
      </w:r>
    </w:p>
    <w:p>
      <w:pPr>
        <w:pStyle w:val="Normal"/>
        <w:spacing w:lineRule="auto" w:line="360" w:before="0" w:after="0"/>
        <w:rPr/>
      </w:pPr>
      <w:r>
        <w:rPr>
          <w:rFonts w:cs="Times New Roman" w:ascii="Times New Roman" w:hAnsi="Times New Roman"/>
          <w:sz w:val="24"/>
          <w:szCs w:val="24"/>
        </w:rPr>
        <w:t>Knowledge translation  builds  on  a  strong  partnership between    the    service    delivery    system,    academic gained    in    preparing    for    this    revived    research collaboration between Somali and Swedish universities points  to  the  possibility  of  collaboration  on  a  wider, international  as  well  as  national  basis  [5]. The current efforts  to  revive  the  public  health  functions  of  the improve   health   systems’   performance   and   research capacity across the country. The SHAJ offers a platform to  highlight  research  generated  solutions  to  health problems,   and   to   increase   public   awareness   about the  need  to  reduce  health  inequities  by  pursuing  the strategic approach of “Health in All Policies”. Together with  community  engagement  and  empowerment,  this pragmatic approach will effectively bridge the know-do gap in addressing the social determinants of health.</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Heading1"/>
        <w:rPr/>
      </w:pPr>
      <w:r>
        <w:rPr/>
        <w:t>REFERENCES</w:t>
      </w:r>
    </w:p>
    <w:p>
      <w:pPr>
        <w:pStyle w:val="EndNoteBibliography"/>
        <w:spacing w:lineRule="auto" w:line="360"/>
        <w:jc w:val="both"/>
        <w:rPr>
          <w:lang w:val="en-GB"/>
        </w:rPr>
      </w:pPr>
      <w:r>
        <w:rPr>
          <w:lang w:val="en-GB"/>
        </w:rPr>
        <w:t xml:space="preserve">1. </w:t>
      </w:r>
      <w:r>
        <w:rPr/>
        <w:t>Haricharan HJ, Stuttaford M, London L. The role of community participation in primary health care: practices of South African health committees. Prim Health Care Res Dev. 2021;22:e31.</w:t>
      </w:r>
    </w:p>
    <w:p>
      <w:pPr>
        <w:pStyle w:val="EndNoteBibliography"/>
        <w:spacing w:lineRule="auto" w:line="360"/>
        <w:jc w:val="both"/>
        <w:rPr/>
      </w:pPr>
      <w:r>
        <w:rPr/>
        <w:t>2.</w:t>
        <w:tab/>
        <w:t>Karuga R, Kok M, Luitjens M, Mbindyo P, Broerse JE, Dieleman M. Participation in primary health care through community-level health committees in Sub-Saharan Africa: a qualitative synthesis. BMC public health. 2022;22(1):359.</w:t>
      </w:r>
    </w:p>
    <w:p>
      <w:pPr>
        <w:pStyle w:val="EndNoteBibliography"/>
        <w:spacing w:lineRule="auto" w:line="360"/>
        <w:jc w:val="both"/>
        <w:rPr/>
      </w:pPr>
      <w:r>
        <w:rPr/>
        <w:t>3.</w:t>
        <w:tab/>
        <w:t xml:space="preserve">United Republic of </w:t>
      </w:r>
      <w:r>
        <w:rPr>
          <w:rStyle w:val="Emphasis"/>
        </w:rPr>
        <w:t>Tanzania</w:t>
      </w:r>
      <w:r>
        <w:rPr>
          <w:i/>
          <w:iCs/>
        </w:rPr>
        <w:t>.</w:t>
      </w:r>
      <w:r>
        <w:rPr/>
        <w:t xml:space="preserve"> Tanzania National Health Policy</w:t>
      </w:r>
      <w:r>
        <w:rPr>
          <w:lang w:val="en-GB"/>
        </w:rPr>
        <w:t>.</w:t>
      </w:r>
      <w:r>
        <w:rPr/>
        <w:t xml:space="preserve"> </w:t>
      </w:r>
      <w:r>
        <w:rPr>
          <w:lang w:val="en-GB"/>
        </w:rPr>
        <w:t xml:space="preserve">Dar es Salaam: </w:t>
      </w:r>
      <w:r>
        <w:rPr/>
        <w:t>Ministry of Health</w:t>
      </w:r>
      <w:r>
        <w:rPr>
          <w:lang w:val="en-GB"/>
        </w:rPr>
        <w:t>: Tanzania,</w:t>
      </w:r>
      <w:r>
        <w:rPr/>
        <w:t xml:space="preserve"> 1990.</w:t>
      </w:r>
    </w:p>
    <w:p>
      <w:pPr>
        <w:pStyle w:val="EndNoteBibliography"/>
        <w:spacing w:lineRule="auto" w:line="360"/>
        <w:jc w:val="both"/>
        <w:rPr/>
      </w:pPr>
      <w:r>
        <w:rPr/>
        <w:t>4.</w:t>
        <w:tab/>
        <w:t>Mulumba M, London L, Nantaba J, Ngwena C. Using health committees to promote community participation as a social determinant of the right to health: lessons from Uganda and South Africa. Health Hum Rights. 2018;20(2):11.</w:t>
      </w:r>
    </w:p>
    <w:p>
      <w:pPr>
        <w:pStyle w:val="EndNoteBibliography"/>
        <w:spacing w:before="0" w:after="80"/>
        <w:rPr/>
      </w:pPr>
      <w:r>
        <w:rPr/>
        <w:t>5.</w:t>
        <w:tab/>
        <w:t>Fox JA. Social accountability: what does the evidence really say? World Dev. 2015;72:346-61.</w:t>
      </w:r>
    </w:p>
    <w:sectPr>
      <w:headerReference w:type="even" r:id="rId3"/>
      <w:headerReference w:type="default" r:id="rId4"/>
      <w:headerReference w:type="first" r:id="rId5"/>
      <w:type w:val="nextPage"/>
      <w:pgSz w:w="11906" w:h="16838"/>
      <w:pgMar w:left="851" w:right="851" w:gutter="0" w:header="0" w:top="1440" w:footer="0" w:bottom="1440"/>
      <w:pgNumType w:fmt="decimal"/>
      <w:formProt w:val="false"/>
      <w:textDirection w:val="lrTb"/>
      <w:docGrid w:type="default" w:linePitch="312"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Open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24"/>
  <w:defaultTabStop w:val="720"/>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04fb"/>
    <w:pPr>
      <w:widowControl/>
      <w:suppressAutoHyphens w:val="true"/>
      <w:bidi w:val="0"/>
      <w:spacing w:lineRule="auto" w:line="259" w:before="0" w:after="160"/>
      <w:jc w:val="left"/>
    </w:pPr>
    <w:rPr>
      <w:rFonts w:ascii="Calibri" w:hAnsi="Calibri" w:eastAsia="Calibri" w:cs="DejaVu Sans"/>
      <w:color w:val="auto"/>
      <w:kern w:val="2"/>
      <w:sz w:val="22"/>
      <w:szCs w:val="22"/>
      <w:lang w:val="en-US" w:eastAsia="en-US" w:bidi="ar-SA"/>
      <w14:ligatures w14:val="none"/>
    </w:rPr>
  </w:style>
  <w:style w:type="paragraph" w:styleId="Heading1">
    <w:name w:val="heading 1"/>
    <w:basedOn w:val="Normal"/>
    <w:next w:val="Normal"/>
    <w:link w:val="Heading1Char"/>
    <w:uiPriority w:val="9"/>
    <w:qFormat/>
    <w:rsid w:val="00cc04fb"/>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cc04fb"/>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unhideWhenUsed/>
    <w:qFormat/>
    <w:rsid w:val="00cc04fb"/>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cc04fb"/>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cc04fb"/>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cc04f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c04f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c04f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c04f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cc04fb"/>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qFormat/>
    <w:rsid w:val="00cc04fb"/>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qFormat/>
    <w:rsid w:val="00cc04fb"/>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cc04fb"/>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cc04fb"/>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cc04f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c04f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c04f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c04f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c04fb"/>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c04f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c04fb"/>
    <w:rPr>
      <w:i/>
      <w:iCs/>
      <w:color w:themeColor="text1" w:themeTint="bf" w:val="404040"/>
    </w:rPr>
  </w:style>
  <w:style w:type="character" w:styleId="IntenseEmphasis">
    <w:name w:val="Intense Emphasis"/>
    <w:basedOn w:val="DefaultParagraphFont"/>
    <w:uiPriority w:val="21"/>
    <w:qFormat/>
    <w:rsid w:val="00cc04fb"/>
    <w:rPr>
      <w:i/>
      <w:iCs/>
      <w:color w:themeColor="accent1" w:themeShade="bf" w:val="2F5496"/>
    </w:rPr>
  </w:style>
  <w:style w:type="character" w:styleId="IntenseQuoteChar" w:customStyle="1">
    <w:name w:val="Intense Quote Char"/>
    <w:basedOn w:val="DefaultParagraphFont"/>
    <w:link w:val="IntenseQuote"/>
    <w:uiPriority w:val="30"/>
    <w:qFormat/>
    <w:rsid w:val="00cc04fb"/>
    <w:rPr>
      <w:i/>
      <w:iCs/>
      <w:color w:themeColor="accent1" w:themeShade="bf" w:val="2F5496"/>
    </w:rPr>
  </w:style>
  <w:style w:type="character" w:styleId="IntenseReference">
    <w:name w:val="Intense Reference"/>
    <w:basedOn w:val="DefaultParagraphFont"/>
    <w:uiPriority w:val="32"/>
    <w:qFormat/>
    <w:rsid w:val="00cc04fb"/>
    <w:rPr>
      <w:b/>
      <w:bCs/>
      <w:smallCaps/>
      <w:color w:themeColor="accent1" w:themeShade="bf" w:val="2F5496"/>
      <w:spacing w:val="5"/>
    </w:rPr>
  </w:style>
  <w:style w:type="character" w:styleId="SourceText" w:customStyle="1">
    <w:name w:val="Source Text"/>
    <w:qFormat/>
    <w:rsid w:val="00cc04fb"/>
    <w:rPr>
      <w:rFonts w:ascii="Liberation Mono" w:hAnsi="Liberation Mono" w:eastAsia="Liberation Mono" w:cs="Liberation Mono"/>
    </w:rPr>
  </w:style>
  <w:style w:type="character" w:styleId="BodyTextChar" w:customStyle="1">
    <w:name w:val="Body Text Char"/>
    <w:basedOn w:val="DefaultParagraphFont"/>
    <w:qFormat/>
    <w:rsid w:val="00cc04fb"/>
    <w:rPr>
      <w:rFonts w:ascii="Calibri" w:hAnsi="Calibri" w:eastAsia="Calibri" w:cs="DejaVu Sans"/>
      <w14:ligatures w14:val="none"/>
    </w:rPr>
  </w:style>
  <w:style w:type="character" w:styleId="HeaderChar" w:customStyle="1">
    <w:name w:val="Header Char"/>
    <w:basedOn w:val="DefaultParagraphFont"/>
    <w:link w:val="Header"/>
    <w:uiPriority w:val="99"/>
    <w:qFormat/>
    <w:rsid w:val="00cc04fb"/>
    <w:rPr>
      <w:rFonts w:ascii="Calibri" w:hAnsi="Calibri" w:eastAsia="Calibri" w:cs="DejaVu Sans"/>
      <w14:ligatures w14:val="none"/>
    </w:rPr>
  </w:style>
  <w:style w:type="character" w:styleId="BodyTextChar1" w:customStyle="1">
    <w:name w:val="Body Text Char1"/>
    <w:basedOn w:val="DefaultParagraphFont"/>
    <w:uiPriority w:val="99"/>
    <w:semiHidden/>
    <w:qFormat/>
    <w:rsid w:val="00cc04fb"/>
    <w:rPr>
      <w:rFonts w:ascii="Calibri" w:hAnsi="Calibri" w:eastAsia="Calibri" w:cs="DejaVu Sans"/>
      <w14:ligatures w14:val="none"/>
    </w:rPr>
  </w:style>
  <w:style w:type="character" w:styleId="HeaderChar1" w:customStyle="1">
    <w:name w:val="Header Char1"/>
    <w:basedOn w:val="DefaultParagraphFont"/>
    <w:uiPriority w:val="99"/>
    <w:semiHidden/>
    <w:qFormat/>
    <w:rsid w:val="00cc04fb"/>
    <w:rPr>
      <w:rFonts w:ascii="Calibri" w:hAnsi="Calibri" w:eastAsia="Calibri" w:cs="DejaVu Sans"/>
      <w14:ligatures w14:val="none"/>
    </w:rPr>
  </w:style>
  <w:style w:type="character" w:styleId="Hyperlink">
    <w:name w:val="Hyperlink"/>
    <w:rPr>
      <w:color w:val="000080"/>
      <w:u w:val="single"/>
    </w:rPr>
  </w:style>
  <w:style w:type="character" w:styleId="UnresolvedMention">
    <w:name w:val="Unresolved Mention"/>
    <w:qFormat/>
    <w:rPr>
      <w:rFonts w:ascii="Times New Roman" w:hAnsi="Times New Roman" w:eastAsia="Times New Roman" w:cs="Times New Roman"/>
      <w:color w:val="605E5C"/>
      <w:sz w:val="24"/>
      <w:szCs w:val="24"/>
      <w:shd w:fill="E1DFDD" w:val="clear"/>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rsid w:val="00cc04fb"/>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c04fb"/>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c04f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c04fb"/>
    <w:pPr>
      <w:spacing w:before="160" w:after="160"/>
      <w:jc w:val="center"/>
    </w:pPr>
    <w:rPr>
      <w:i/>
      <w:iCs/>
      <w:color w:themeColor="text1" w:themeTint="bf" w:val="404040"/>
    </w:rPr>
  </w:style>
  <w:style w:type="paragraph" w:styleId="ListParagraph">
    <w:name w:val="List Paragraph"/>
    <w:basedOn w:val="Normal"/>
    <w:uiPriority w:val="34"/>
    <w:qFormat/>
    <w:rsid w:val="00cc04fb"/>
    <w:pPr>
      <w:spacing w:before="0" w:after="160"/>
      <w:ind w:left="720"/>
      <w:contextualSpacing/>
    </w:pPr>
    <w:rPr/>
  </w:style>
  <w:style w:type="paragraph" w:styleId="IntenseQuote">
    <w:name w:val="Intense Quote"/>
    <w:basedOn w:val="Normal"/>
    <w:next w:val="Normal"/>
    <w:link w:val="IntenseQuoteChar"/>
    <w:uiPriority w:val="30"/>
    <w:qFormat/>
    <w:rsid w:val="00cc04fb"/>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TableContents" w:customStyle="1">
    <w:name w:val="Table Contents"/>
    <w:basedOn w:val="Normal"/>
    <w:qFormat/>
    <w:rsid w:val="00cc04fb"/>
    <w:pPr>
      <w:widowControl w:val="false"/>
      <w:suppressLineNumbers/>
    </w:pPr>
    <w:rPr/>
  </w:style>
  <w:style w:type="paragraph" w:styleId="Rapportunderrubrik" w:customStyle="1">
    <w:name w:val="Rapportunderrubrik"/>
    <w:basedOn w:val="Normal"/>
    <w:qFormat/>
    <w:rsid w:val="00cc04fb"/>
    <w:pPr>
      <w:spacing w:lineRule="atLeast" w:line="360" w:before="360" w:after="0"/>
    </w:pPr>
    <w:rPr>
      <w:rFonts w:ascii="Georgia" w:hAnsi="Georgia" w:eastAsia="Times New Roman" w:cs="Times New Roman"/>
      <w:sz w:val="36"/>
      <w:szCs w:val="36"/>
      <w:lang w:val="sv-SE"/>
    </w:rPr>
  </w:style>
  <w:style w:type="paragraph" w:styleId="HeaderandFooter">
    <w:name w:val="Header and Footer"/>
    <w:basedOn w:val="Normal"/>
    <w:qFormat/>
    <w:pPr/>
    <w:rPr/>
  </w:style>
  <w:style w:type="paragraph" w:styleId="Header">
    <w:name w:val="header"/>
    <w:basedOn w:val="Normal"/>
    <w:link w:val="HeaderChar"/>
    <w:uiPriority w:val="99"/>
    <w:unhideWhenUsed/>
    <w:rsid w:val="00cc04fb"/>
    <w:pPr>
      <w:tabs>
        <w:tab w:val="clear" w:pos="720"/>
        <w:tab w:val="center" w:pos="4703" w:leader="none"/>
        <w:tab w:val="right" w:pos="9406" w:leader="none"/>
      </w:tabs>
      <w:spacing w:lineRule="auto" w:line="240" w:before="0" w:after="0"/>
    </w:pPr>
    <w:rPr/>
  </w:style>
  <w:style w:type="paragraph" w:styleId="Bibliography">
    <w:name w:val="Bibliography"/>
    <w:basedOn w:val="Normal"/>
    <w:next w:val="Normal"/>
    <w:uiPriority w:val="37"/>
    <w:unhideWhenUsed/>
    <w:qFormat/>
    <w:rsid w:val="00cc04fb"/>
    <w:pPr>
      <w:tabs>
        <w:tab w:val="clear" w:pos="720"/>
        <w:tab w:val="left" w:pos="504" w:leader="none"/>
      </w:tabs>
      <w:spacing w:lineRule="auto" w:line="240" w:before="0" w:after="240"/>
      <w:ind w:hanging="504" w:left="504"/>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Bibliography">
    <w:name w:val="EndNote Bibliography"/>
    <w:qFormat/>
    <w:pPr>
      <w:widowControl/>
      <w:suppressAutoHyphens w:val="true"/>
      <w:bidi w:val="0"/>
      <w:spacing w:lineRule="auto" w:line="240" w:before="0" w:after="0"/>
      <w:jc w:val="left"/>
    </w:pPr>
    <w:rPr>
      <w:rFonts w:ascii="Times New Roman" w:hAnsi="Times New Roman" w:eastAsia="SimSun" w:cs="Times New Roman"/>
      <w:color w:val="auto"/>
      <w:kern w:val="0"/>
      <w:sz w:val="24"/>
      <w:szCs w:val="24"/>
      <w:lang w:val="zh-CN" w:eastAsia="zh-C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michello@gmail.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4441</TotalTime>
  <Application>LibreOffice/24.8.1.2$Linux_X86_64 LibreOffice_project/480$Build-2</Application>
  <AppVersion>15.0000</AppVersion>
  <Pages>5</Pages>
  <Words>1283</Words>
  <Characters>7273</Characters>
  <CharactersWithSpaces>8555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2024-05-22T21:02:00Z</dcterms:created>
  <dc:creator>Kaspar Meili</dc:creator>
  <dc:description/>
  <dc:language>en-US</dc:language>
  <cp:lastModifiedBy>Kaspar Meili</cp:lastModifiedBy>
  <dcterms:modified xsi:type="dcterms:W3CDTF">2024-10-15T01:18:05Z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#000000,8,Calibri</vt:lpwstr>
  </property>
  <property fmtid="{D5CDD505-2E9C-101B-9397-08002B2CF9AE}" pid="3" name="ClassificationContentMarkingHeaderShapeIds">
    <vt:lpwstr>6084861f,45701cec,1f6597b5</vt:lpwstr>
  </property>
  <property fmtid="{D5CDD505-2E9C-101B-9397-08002B2CF9AE}" pid="4" name="ClassificationContentMarkingHeaderText">
    <vt:lpwstr>Begränsad delning</vt:lpwstr>
  </property>
  <property fmtid="{D5CDD505-2E9C-101B-9397-08002B2CF9AE}" pid="5" name="ZOTERO_PREF_1">
    <vt:lpwstr>&lt;data data-version="3" zotero-version="6.0.36"&gt;&lt;session id="mxMOl0fz"/&gt;&lt;style id="http://www.zotero.org/styles/plos" hasBibliography="1" bibliographyStyleHasBeenSet="1"/&gt;&lt;prefs&gt;&lt;pref name="fieldType" value="Field"/&gt;&lt;/prefs&gt;&lt;/data&gt;</vt:lpwstr>
  </property>
</Properties>
</file>