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_rels/document.xml.rels" ContentType="application/vnd.openxmlformats-package.relationships+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ind w:hanging="0" w:left="0"/>
        <w:rPr/>
      </w:pPr>
      <w:r>
        <w:rPr/>
        <w:t xml:space="preserve">Women survivors of female genital mutilation/ cutting: A collaborative process of engaging them as ambassadors of change in Hargeisa, Somaliland </w:t>
      </w:r>
    </w:p>
    <w:p>
      <w:pPr>
        <w:pStyle w:val="Heading2"/>
        <w:ind w:hanging="0" w:left="0"/>
        <w:rPr/>
      </w:pPr>
      <w:r>
        <w:rPr/>
        <w:t>METADATA</w:t>
      </w:r>
    </w:p>
    <w:p>
      <w:pPr>
        <w:pStyle w:val="Normal"/>
        <w:rPr/>
      </w:pPr>
      <w:r>
        <w:rPr/>
      </w:r>
    </w:p>
    <w:tbl>
      <w:tblPr>
        <w:tblW w:w="5000" w:type="pct"/>
        <w:jc w:val="left"/>
        <w:tblInd w:w="-65" w:type="dxa"/>
        <w:tblLayout w:type="fixed"/>
        <w:tblCellMar>
          <w:top w:w="55" w:type="dxa"/>
          <w:left w:w="55" w:type="dxa"/>
          <w:bottom w:w="55" w:type="dxa"/>
          <w:right w:w="55" w:type="dxa"/>
        </w:tblCellMar>
      </w:tblPr>
      <w:tblGrid>
        <w:gridCol w:w="4413"/>
        <w:gridCol w:w="2389"/>
        <w:gridCol w:w="3402"/>
      </w:tblGrid>
      <w:tr>
        <w:trPr/>
        <w:tc>
          <w:tcPr>
            <w:tcW w:w="4413" w:type="dxa"/>
            <w:tcBorders>
              <w:top w:val="single" w:sz="4" w:space="0" w:color="000000"/>
              <w:left w:val="single" w:sz="4" w:space="0" w:color="000000"/>
              <w:bottom w:val="single" w:sz="4" w:space="0" w:color="000000"/>
            </w:tcBorders>
          </w:tcPr>
          <w:p>
            <w:pPr>
              <w:pStyle w:val="TableContents"/>
              <w:spacing w:before="0" w:after="160"/>
              <w:rPr>
                <w:b/>
                <w:bCs/>
              </w:rPr>
            </w:pPr>
            <w:r>
              <w:rPr>
                <w:b/>
                <w:bCs/>
              </w:rPr>
              <w:t>author</w:t>
            </w:r>
          </w:p>
        </w:tc>
        <w:tc>
          <w:tcPr>
            <w:tcW w:w="2389"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affiliation_ids</w:t>
            </w:r>
          </w:p>
        </w:tc>
        <w:tc>
          <w:tcPr>
            <w:tcW w:w="34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orcid</w:t>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Beth Maina Ahlberg</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a*</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0000-0000-0000-0000</w:t>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Shadia Ahmed. Elmi</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b</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Abdiramahn Osman Gaas</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b</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Annika Johansson</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c</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Amina Mahmoud Warsame</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d</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bl>
    <w:p>
      <w:pPr>
        <w:pStyle w:val="Normal"/>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r>
    </w:p>
    <w:tbl>
      <w:tblPr>
        <w:tblW w:w="5000" w:type="pct"/>
        <w:jc w:val="left"/>
        <w:tblInd w:w="-65" w:type="dxa"/>
        <w:tblLayout w:type="fixed"/>
        <w:tblCellMar>
          <w:top w:w="55" w:type="dxa"/>
          <w:left w:w="55" w:type="dxa"/>
          <w:bottom w:w="55" w:type="dxa"/>
          <w:right w:w="55" w:type="dxa"/>
        </w:tblCellMar>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id</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sz w:val="24"/>
                <w:szCs w:val="24"/>
              </w:rPr>
            </w:pPr>
            <w:r>
              <w:rPr>
                <w:rFonts w:cs="Open Sans" w:ascii="Open Sans" w:hAnsi="Open Sans"/>
                <w:color w:themeColor="dark1" w:val="000000"/>
                <w:sz w:val="24"/>
                <w:szCs w:val="24"/>
                <w:lang w:val="en-GB"/>
              </w:rPr>
              <w:t>Skaraborg Institute for Research and Development, Skövde, Sweden</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a</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sz w:val="24"/>
                <w:szCs w:val="24"/>
              </w:rPr>
            </w:pPr>
            <w:r>
              <w:rPr>
                <w:rFonts w:cs="Open Sans" w:ascii="Open Sans" w:hAnsi="Open Sans"/>
                <w:color w:themeColor="dark1" w:val="000000"/>
                <w:sz w:val="24"/>
                <w:szCs w:val="24"/>
                <w:lang w:val="en-GB"/>
              </w:rPr>
              <w:t>Network against Female Genital Mutilation in Somaliland (NAFIS)</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b</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sz w:val="24"/>
                <w:szCs w:val="24"/>
              </w:rPr>
            </w:pPr>
            <w:r>
              <w:rPr>
                <w:rFonts w:cs="Open Sans" w:ascii="Open Sans" w:hAnsi="Open Sans"/>
                <w:color w:themeColor="dark1" w:val="000000"/>
                <w:sz w:val="24"/>
                <w:szCs w:val="24"/>
                <w:lang w:val="en-GB"/>
              </w:rPr>
              <w:t>Somali-Swedish Researchers’ Association (SSRA)</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c</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sz w:val="24"/>
                <w:szCs w:val="24"/>
              </w:rPr>
            </w:pPr>
            <w:r>
              <w:rPr>
                <w:rFonts w:cs="Open Sans" w:ascii="Open Sans" w:hAnsi="Open Sans"/>
                <w:color w:themeColor="dark1" w:val="000000"/>
                <w:sz w:val="24"/>
                <w:szCs w:val="24"/>
                <w:lang w:val="en-GB"/>
              </w:rPr>
              <w:t>The Somaliland Women’s Research and Action Group (SOWRAG)</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d</w:t>
            </w:r>
          </w:p>
        </w:tc>
      </w:tr>
    </w:tbl>
    <w:p>
      <w:pPr>
        <w:pStyle w:val="Normal"/>
        <w:rPr>
          <w:b/>
          <w:bCs/>
        </w:rPr>
      </w:pPr>
      <w:r>
        <w:rPr>
          <w:b/>
          <w:bCs/>
        </w:rPr>
      </w:r>
    </w:p>
    <w:tbl>
      <w:tblPr>
        <w:tblW w:w="5000" w:type="pct"/>
        <w:jc w:val="left"/>
        <w:tblInd w:w="-65" w:type="dxa"/>
        <w:tblLayout w:type="fixed"/>
        <w:tblCellMar>
          <w:top w:w="55" w:type="dxa"/>
          <w:left w:w="55" w:type="dxa"/>
          <w:bottom w:w="55" w:type="dxa"/>
          <w:right w:w="55" w:type="dxa"/>
        </w:tblCellMar>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statement</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text</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Publication Consent</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Write here how study participants granted consent to publish the study results if applicable. Write 'Not applicable' or leave empty otherwise.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Competing interests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List competing interest of authors or declare no ethical interests.</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Funding</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Provide details on funding, including grant id if applicable.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Author contributions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 xml:space="preserve">Provides consise author contributions using the CrediT terminology: </w:t>
            </w:r>
            <w:hyperlink r:id="rId2">
              <w:r>
                <w:rPr>
                  <w:rStyle w:val="Hyperlink"/>
                </w:rPr>
                <w:t>https://credit.niso.org/</w:t>
              </w:r>
            </w:hyperlink>
            <w:r>
              <w:rPr/>
              <w:t>. For example: MM was responsible for the conceptualization, MSS for data curation, ...</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Data availability</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Write if, how, and where data and other materials that are relevant for the study are accessible.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Acknowledgements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 xml:space="preserve">Acknowledge contributions or similar that do not warant authorship, e.g. we </w:t>
            </w:r>
            <w:r>
              <w:rPr>
                <w:lang w:val="en-GB"/>
              </w:rPr>
              <w:t>acknowledge all latex, libreoffice, pandoc, and rmarkdown contributors.</w:t>
            </w:r>
          </w:p>
        </w:tc>
      </w:tr>
    </w:tbl>
    <w:p>
      <w:pPr>
        <w:pStyle w:val="BodyText"/>
        <w:rPr/>
      </w:pPr>
      <w:r>
        <w:rPr/>
      </w:r>
    </w:p>
    <w:tbl>
      <w:tblPr>
        <w:tblW w:w="5000" w:type="pct"/>
        <w:jc w:val="left"/>
        <w:tblInd w:w="-65" w:type="dxa"/>
        <w:tblLayout w:type="fixed"/>
        <w:tblCellMar>
          <w:top w:w="55" w:type="dxa"/>
          <w:left w:w="55" w:type="dxa"/>
          <w:bottom w:w="55" w:type="dxa"/>
          <w:right w:w="55" w:type="dxa"/>
        </w:tblCellMar>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attribute</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value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corresponding_allstring</w:t>
            </w:r>
          </w:p>
        </w:tc>
        <w:tc>
          <w:tcPr>
            <w:tcW w:w="5102" w:type="dxa"/>
            <w:tcBorders>
              <w:left w:val="single" w:sz="4" w:space="0" w:color="000000"/>
              <w:bottom w:val="single" w:sz="4" w:space="0" w:color="000000"/>
              <w:right w:val="single" w:sz="4" w:space="0" w:color="000000"/>
            </w:tcBorders>
          </w:tcPr>
          <w:p>
            <w:pPr>
              <w:pStyle w:val="Normal"/>
              <w:spacing w:before="0" w:after="160"/>
              <w:rPr/>
            </w:pPr>
            <w:r>
              <w:rPr/>
              <w:t>Beth Maina Ahlberg, e-mail: Beth.maina.ahlberg@kbh.uu.se, Skaraborg Institute for Research and Development, Regionens Hus, 541 80, Skövde, Sweden</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responsible_editor</w:t>
            </w:r>
          </w:p>
        </w:tc>
        <w:tc>
          <w:tcPr>
            <w:tcW w:w="5102" w:type="dxa"/>
            <w:tcBorders>
              <w:left w:val="single" w:sz="4" w:space="0" w:color="000000"/>
              <w:bottom w:val="single" w:sz="4" w:space="0" w:color="000000"/>
              <w:right w:val="single" w:sz="4" w:space="0" w:color="000000"/>
            </w:tcBorders>
          </w:tcPr>
          <w:p>
            <w:pPr>
              <w:pStyle w:val="Normal"/>
              <w:spacing w:before="0" w:after="160"/>
              <w:rPr/>
            </w:pPr>
            <w:r>
              <w:rPr/>
              <w:t>Maria Emmelin</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keywords</w:t>
            </w:r>
          </w:p>
        </w:tc>
        <w:tc>
          <w:tcPr>
            <w:tcW w:w="5102" w:type="dxa"/>
            <w:tcBorders>
              <w:left w:val="single" w:sz="4" w:space="0" w:color="000000"/>
              <w:bottom w:val="single" w:sz="4" w:space="0" w:color="000000"/>
              <w:right w:val="single" w:sz="4" w:space="0" w:color="000000"/>
            </w:tcBorders>
          </w:tcPr>
          <w:p>
            <w:pPr>
              <w:pStyle w:val="Normal"/>
              <w:spacing w:before="0" w:after="160"/>
              <w:rPr/>
            </w:pPr>
            <w:r>
              <w:rPr/>
              <w:t>keyword1, keyword2, keyword3, ...</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keywords_es</w:t>
            </w:r>
          </w:p>
        </w:tc>
        <w:tc>
          <w:tcPr>
            <w:tcW w:w="5102" w:type="dxa"/>
            <w:tcBorders>
              <w:left w:val="single" w:sz="4" w:space="0" w:color="000000"/>
              <w:bottom w:val="single" w:sz="4" w:space="0" w:color="000000"/>
              <w:right w:val="single" w:sz="4" w:space="0" w:color="000000"/>
            </w:tcBorders>
          </w:tcPr>
          <w:p>
            <w:pPr>
              <w:pStyle w:val="Normal"/>
              <w:spacing w:before="0" w:after="160"/>
              <w:rPr/>
            </w:pPr>
            <w:r>
              <w:rPr/>
              <w:t>palabraclave1, palabraclave2, ….</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abstract_picture</w:t>
            </w:r>
          </w:p>
        </w:tc>
        <w:tc>
          <w:tcPr>
            <w:tcW w:w="5102" w:type="dxa"/>
            <w:tcBorders>
              <w:left w:val="single" w:sz="4" w:space="0" w:color="000000"/>
              <w:bottom w:val="single" w:sz="4" w:space="0" w:color="000000"/>
              <w:right w:val="single" w:sz="4" w:space="0" w:color="000000"/>
            </w:tcBorders>
          </w:tcPr>
          <w:p>
            <w:pPr>
              <w:pStyle w:val="Normal"/>
              <w:spacing w:before="0" w:after="160"/>
              <w:rPr/>
            </w:pPr>
            <w:r>
              <w:rPr/>
            </w:r>
          </w:p>
        </w:tc>
      </w:tr>
    </w:tbl>
    <w:p>
      <w:pPr>
        <w:pStyle w:val="Normal"/>
        <w:rPr/>
      </w:pPr>
      <w:r>
        <w:rPr/>
      </w:r>
    </w:p>
    <w:p>
      <w:pPr>
        <w:pStyle w:val="Heading2"/>
        <w:ind w:hanging="0" w:left="0"/>
        <w:rPr/>
      </w:pPr>
      <w:r>
        <w:rPr/>
        <w:t>ABSTRACT</w:t>
      </w:r>
    </w:p>
    <w:p>
      <w:pPr>
        <w:pStyle w:val="Normal"/>
        <w:rPr/>
      </w:pPr>
      <w:r>
        <w:rPr/>
        <w:t>Objective: WE THE PEOPLES OF THE UNITED NATIONS DETERMINED to save succeeding generations from the scourge of war, which twice in our lifetime has brought untold sorrow to mankind, and to reaffirm faith in fundamental human rights, in the dignity and worth of the human person, in the equal rights of men and women and of nations large and small, and to establish conditions under which justice and respect for the obligations arising from treaties and other sources of international law can be maintained, and to promote social progress and better standards of life in larger freedom,</w:t>
      </w:r>
    </w:p>
    <w:p>
      <w:pPr>
        <w:pStyle w:val="Normal"/>
        <w:rPr/>
      </w:pPr>
      <w:r>
        <w:rPr/>
        <w:t>Results: AND FOR THESE ENDS to practice tolerance and live together in peace with one another as good neighbours, and to unite our strength to maintain international peace and security, and</w:t>
      </w:r>
    </w:p>
    <w:p>
      <w:pPr>
        <w:pStyle w:val="BodyText"/>
        <w:rPr/>
      </w:pPr>
      <w:r>
        <w:rPr/>
        <w:t>to ensure, by the acceptance of principles and the institution of methods, that armed force shall not be used, save in the common interest, and to employ international machinery for the promotion of the economic and social advancement of all peoples,</w:t>
      </w:r>
    </w:p>
    <w:p>
      <w:pPr>
        <w:pStyle w:val="Normal"/>
        <w:rPr/>
      </w:pPr>
      <w:r>
        <w:rPr/>
        <w:t>Conclusion: HAVE RESOLVED TO COMBINE OUR EFFORTS TO ACCOMPLISH THESE AIMS. Accordingly, our respective Governments, through representatives assembled in the city of San Francisco, who have exhibited their full powers found to be in good and due form, have agreed to the present Charter of the United Nations and do hereby establish an international organization to be known as the United Nations.</w:t>
      </w:r>
    </w:p>
    <w:p>
      <w:pPr>
        <w:pStyle w:val="Heading2"/>
        <w:ind w:hanging="0" w:left="0"/>
        <w:rPr/>
      </w:pPr>
      <w:r>
        <w:rPr/>
        <w:t>ABSTRACT_ES</w:t>
      </w:r>
    </w:p>
    <w:p>
      <w:pPr>
        <w:pStyle w:val="Heading3"/>
        <w:ind w:hanging="0" w:left="0"/>
        <w:rPr/>
      </w:pPr>
      <w:r>
        <w:rPr/>
        <w:t>Spanish abstract example heading , first level 3 heading style after the level 2 ABSTRACT ES title</w:t>
      </w:r>
    </w:p>
    <w:p>
      <w:pPr>
        <w:pStyle w:val="Normal"/>
        <w:rPr/>
      </w:pPr>
      <w:r>
        <w:rPr/>
        <w:t>Objetivo: NOSOTROS LOS PUEBLOS DE LAS NACIONES UNIDAS DECIDIDOS a preservar a las generaciones venideras del flagelo de la guerra, que dos veces durante nuestra vida ha infligido a la humanidad sufrimientos indecibles, y a reafirmar la fe en los derechos fundamentales del hombre, en la dignidad y el valor de la persona humana, en la en la dignidad y el valor de la persona humana, en la igualdad de derechos de hombres y mujeres y de las naciones grandes y pequeñas, y a crear las condiciones la justicia y el respeto de las obligaciones derivadas de los tratados y de otras fuentes del derecho y promover el progreso social y elevar el nivel de vida dentro de un concepto más amplio de la libertad</w:t>
      </w:r>
    </w:p>
    <w:p>
      <w:pPr>
        <w:pStyle w:val="Normal"/>
        <w:rPr/>
      </w:pPr>
      <w:r>
        <w:rPr/>
        <w:t>Resultados: Y PARA ESTOS FINES a practicar la tolerancia y a convivir en paz unos con otros comoy a unir nuestras fuerzas para mantener la paz y la seguridad internacionales, para asegurar, mediante la aceptación de principios y la institución de métodos, que no se empleará la fuerza armada la fuerza armada, salvo en interés común, y a emplear los mecanismos internacionales para promover el progreso económico y social de todos los pueblos,</w:t>
      </w:r>
    </w:p>
    <w:p>
      <w:pPr>
        <w:pStyle w:val="Normal"/>
        <w:rPr/>
      </w:pPr>
      <w:r>
        <w:rPr/>
        <w:t>Concluyendo: HEMOS RESUELTO AUNAR NUESTROS ESFUERZOS PARA ALCANZAR ESTOS OBJETIVOS. En consecuencia, nuestros respectivos Gobiernos, por medio de representantes reunidos en la ciudad de San Francisco, que han exhibido sus plenos poderes reconocidos en buena y debida forma, han convenido en la presente Carta de las Naciones Unidas y por la presente establecen una organización internacional que se conocerá como las Naciones Unidas.</w:t>
      </w:r>
      <w:r>
        <w:br w:type="page"/>
      </w:r>
    </w:p>
    <w:p>
      <w:pPr>
        <w:pStyle w:val="Heading1"/>
        <w:spacing w:before="0" w:after="80"/>
        <w:ind w:hanging="0" w:left="0"/>
        <w:rPr/>
      </w:pPr>
      <w:r>
        <w:rPr/>
        <w:t>Introduction</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{"citationID":"uk5Fcgjw","properties":{"formattedCitation":"[1,2]","plainCitation":"[1,2]","noteIndex":0},"citationItems":[{"id":70,"uris":["http://zotero.org/users/3011573/items/J7A9EQH4"],"itemData":{"id":70,"type":"legislation","container-title":"U.N.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Assembly","given":""}],"accessed":{"date-parts":[["2010",5,3]]},"issued":{"date-parts":[["1948",12,10]]},"citation-key":"UNGUniversalDecla1948"}},{"id":552,"uris":["http://zotero.org/users/3011573/items/YSLI3RQS"],"itemData":{"id":552,"type":"document","publisher":"United Nations","title":"The 2030 Agenda for Sustainable Development","URL":"https://sustainabledevelopment.un.org/post2015/transformingourworld/publication","author":[{"family":"United Nations","given":""}],"accessed":{"date-parts":[["2020",1,15]]},"issued":{"date-parts":[["2015"]]},"citation-key":"United2030AgendaSus2015"}}],"schema":"https://github.com/citation-style-language/schema/raw/master/csl-citation.json"}</w:instrText>
      </w:r>
      <w:r>
        <w:rPr/>
      </w:r>
      <w:r>
        <w:rPr/>
        <w:fldChar w:fldCharType="separate"/>
      </w:r>
      <w:r>
        <w:rPr/>
      </w:r>
      <w:r>
        <w:rPr>
          <w:rFonts w:cs="Calibri"/>
        </w:rPr>
        <w:t>[1,2]</w:t>
      </w:r>
      <w:r>
        <w:rPr/>
      </w:r>
      <w:r>
        <w:rPr/>
        <w:fldChar w:fldCharType="end"/>
      </w:r>
      <w:r>
        <w:rPr/>
        <w:t>.✓✓</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{"citationID":"iaQHBn7A","properties":{"formattedCitation":"[3]","plainCitation":"[3]","noteIndex":0},"citationItems":[{"id":384,"uris":["http://zotero.org/users/3011573/items/89HXF27C"],"itemData":{"id":384,"type":"book","abstract":"In Development as Freedom Amartya Sen explains how in a world of unprecedented increase in overall opulence millions of people living in the Third World are still unfree. Even if they are not technically slaves, they are denied elementary freedoms and remain imprisoned in one way or another by economic poverty, social deprivation, political tyranny or cultural authoritarianism. The main purpose of development is to spread freedom and its 'thousand charms' to the unfree citizens.   Freedom, Sen persuasively argues, is at once the ultimate goal of social and economic arrangements and the most efficient means of realizing general welfare. Social institutions like markets, political parties, legislatures, the judiciary, and the media contribute to development by enhancing individual freedom and are in turn sustained by social values. Values, institutions, development, and freedom are all closely interrelated, and Sen links them together in an elegant analytical framework. By asking 'What is the relation between our collective economic wealth and our individual ability to live as we would like?' and by incorporating individual freedom as a social commitment into his analysis Sen allows economics once again, as it did in the time of Adam Smith, to address the social basis of individual well-being and freedom.","event-place":"New York","ISBN":"978-0-19-289330-7","number-of-pages":"384","publisher":"Oxford University Press","publisher-place":"New York","source":"Oxford University Press","title":"Development as Freedom","author":[{"family":"Sen","given":"Amartya"}],"issued":{"date-parts":[["2001",1,18]]},"citation-key":"SenDevelopmentFre2001"}}],"schema":"https://github.com/citation-style-language/schema/raw/master/csl-citation.json"}</w:instrText>
      </w:r>
      <w:r>
        <w:rPr/>
      </w:r>
      <w:r>
        <w:rPr/>
        <w:fldChar w:fldCharType="separate"/>
      </w:r>
      <w:r>
        <w:rPr/>
        <w:t>[3]</w:t>
      </w:r>
      <w:r>
        <w:rPr/>
      </w:r>
      <w:r>
        <w:rPr/>
        <w:fldChar w:fldCharType="end"/>
      </w:r>
      <w:r>
        <w:rPr/>
        <w:t>.</w:t>
      </w:r>
    </w:p>
    <w:p>
      <w:pPr>
        <w:pStyle w:val="Heading1"/>
        <w:ind w:hanging="0" w:left="0"/>
        <w:rPr/>
      </w:pPr>
      <w:r>
        <w:rPr/>
        <w:t>Methods</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{"citationID":"3N3GhZUp","properties":{"formattedCitation":"[4,5]","plainCitation":"[4,5]","noteIndex":0},"citationItems":[{"id":2715,"uris":["http://zotero.org/users/3011573/items/C6MQW325"],"itemData":{"id":2715,"type":"article-journal","container-title":"WHO chronicle","ISSN":"0042-9694","issue":"11","journalAbbreviation":"WHO Chron","language":"eng","note":"PMID: 11643481","page":"428-430","source":"PubMed","title":"Declaration of Alma-Ata","volume":"32","author":[{"literal":"International Conference on Primary Health Care"}],"issued":{"date-parts":[["1978",11]]},"citation-key":"InternDeclarationAlm1978"}},{"id":819,"uris":["http://zotero.org/users/3011573/items/A9P6LAZA"],"itemData":{"id":819,"type":"report","event-place":"Geneva","publisher":"WHO","publisher-place":"Geneva","title":"WHO methods and data sources for global burden of disease estimates 2000-2016","URL":"https://www.who.int/healthinfo/global_burden_disease/GlobalDALY_method_2000_2016.pdf","author":[{"family":"Ho","given":"Jessica"},{"family":"Mathers","given":"Colin"}],"accessed":{"date-parts":[["2022",2,1]]},"issued":{"date-parts":[["2018"]]},"citation-key":"HoMatherWHOMethodsDat2018"}}],"schema":"https://github.com/citation-style-language/schema/raw/master/csl-citation.json"}</w:instrText>
      </w:r>
      <w:r>
        <w:rPr/>
      </w:r>
      <w:r>
        <w:rPr/>
        <w:fldChar w:fldCharType="separate"/>
      </w:r>
      <w:r>
        <w:rPr/>
      </w:r>
      <w:r>
        <w:rPr>
          <w:rFonts w:cs="Calibri"/>
        </w:rPr>
        <w:t>[4,5]</w:t>
      </w:r>
      <w:r>
        <w:rPr/>
      </w:r>
      <w:r>
        <w:rPr/>
        <w:fldChar w:fldCharType="end"/>
      </w:r>
      <w:r>
        <w:rPr/>
        <w:t>.</w:t>
      </w:r>
    </w:p>
    <w:p>
      <w:pPr>
        <w:pStyle w:val="Heading3"/>
        <w:ind w:hanging="0" w:left="0"/>
        <w:rPr/>
      </w:pPr>
      <w:r>
        <w:rPr/>
        <w:t>Study participants</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{"citationID":"qbSM50eN","properties":{"formattedCitation":"[1,6\\uc0\\u8211{}9]","plainCitation":"[1,6–9]","noteIndex":0},"citationItems":[{"id":70,"uris":["http://zotero.org/users/3011573/items/J7A9EQH4"],"itemData":{"id":70,"type":"legislation","container-title":"U.N.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2594,"uris":["http://zotero.org/users/3011573/items/F7JJMQ6B"],"itemData":{"id":2594,"type":"article-journal","container-title":"Journal of Health Economics","DOI":"10.1016/0167-6296(88)90030-6","ISSN":"0167-6296","issue":"3","journalAbbreviation":"Journal of Health Economics","page":"289-290","source":"ScienceDirect","title":"A QALY is a QALY is a QALY — Or is it?","volume":"7","author":[{"family":"Weinstein","given":"Milton C."}],"issued":{"date-parts":[["1988",9,1]]},"citation-key":"WeinstQALYQALYQALY1988"}},{"id":2336,"uris":["http://zotero.org/users/3011573/items/DIR7JKWL"],"itemData":{"id":2336,"type":"article-journal","container-title":"Bulletin of the World Health Organization","ISSN":"0042-9686","issue":"12","journalAbbreviation":"Bull World Health Organ","language":"eng","note":"PMID: 12571729\nPMCID: PMC2567705","page":"983-984","source":"PubMed","title":"Constitution of the World Health Organization. 1946","volume":"80","author":[{"literal":"International Health Conference"}],"issued":{"date-parts":[["2002"]]},"citation-key":"InternConstitutionWo2002"}},{"id":2851,"uris":["http://zotero.org/users/3011573/items/TETH39VX"],"itemData":{"id":2851,"type":"post-weblog","container-title":"Centre for International Law","language":"en-US","title":"1946 Constitution of the World Health Organization","URL":"https://cil.nus.edu.sg/databasecil/1946-constitution-of-the-world-health-organization/","author":[{"family":"World Health Organisation","given":""}],"accessed":{"date-parts":[["2023",12,1]]},"issued":{"date-parts":[["1946"]]},"citation-key":"World1946Constituti1946"}},{"id":2504,"uris":["http://zotero.org/users/3011573/items/9ZM2CJKN"],"itemData":{"id":2504,"type":"legislation","container-title":"Kapitel 2","title":"Kungörelse 1974:152 Regereingsformen [Instrument of governement]","URL":"https://lagen.nu/1974:152","author":[{"family":"Kungörelse","given":""}],"accessed":{"date-parts":[["2022",1,2]]},"issued":{"date-parts":[["1974"]]},"citation-key":"KungorKungorelse19741974"}}],"schema":"https://github.com/citation-style-language/schema/raw/master/csl-citation.json"}</w:instrText>
      </w:r>
      <w:r>
        <w:rPr/>
      </w:r>
      <w:r>
        <w:rPr/>
        <w:fldChar w:fldCharType="separate"/>
      </w:r>
      <w:r>
        <w:rPr/>
      </w:r>
      <w:r>
        <w:rPr>
          <w:rFonts w:cs="Calibri"/>
          <w:kern w:val="0"/>
        </w:rPr>
        <w:t>[1,6–9]</w:t>
      </w:r>
      <w:r>
        <w:rPr/>
      </w:r>
      <w:r>
        <w:rPr/>
        <w:fldChar w:fldCharType="end"/>
      </w:r>
      <w:r>
        <w:rPr/>
        <w:t>.</w:t>
      </w:r>
    </w:p>
    <w:p>
      <w:pPr>
        <w:pStyle w:val="Heading2"/>
        <w:ind w:hanging="0" w:left="0"/>
        <w:rPr/>
      </w:pPr>
      <w:r>
        <w:rPr/>
        <w:t>Statistics</w:t>
      </w:r>
    </w:p>
    <w:p>
      <w:pPr>
        <w:pStyle w:val="Normal"/>
        <w:rPr/>
      </w:pPr>
      <w:r>
        <w:rPr/>
        <w:t xml:space="preserve">This paragraph also demonstraes inline equations [[mathinline$x^2 = \frac{1}{2}$mathinline]], followed full size equations by Lorem ipsum dolor sit amet, consectetur adipiscing elit, sed do eiusmod tempor incididunt ut labore et dolore magna aliqua </w:t>
      </w:r>
      <w:r>
        <w:fldChar w:fldCharType="begin"/>
      </w:r>
      <w:r>
        <w:rPr/>
        <w:instrText xml:space="preserve">ADDIN ZOTERO_ITEM CSL_CITATION {"citationID":"ex5r46RK","properties":{"formattedCitation":"[10]","plainCitation":"[10]","noteIndex":0},"citationItems":[{"id":374,"uris":["http://zotero.org/users/3011573/items/4E7BZFH8"],"itemData":{"id":374,"type":"webpage","title":"Statistics Sweden","URL":"https://www.scb.se","author":[{"family":"Statistics Sweden","given":""}],"accessed":{"date-parts":[["2018",10,14]]},"issued":{"date-parts":[["2023"]]},"citation-key":"StatisStatisticsSwed2023"}}],"schema":"https://github.com/citation-style-language/schema/raw/master/csl-citation.json"}</w:instrText>
      </w:r>
      <w:r>
        <w:rPr/>
      </w:r>
      <w:r>
        <w:rPr/>
        <w:fldChar w:fldCharType="separate"/>
      </w:r>
      <w:r>
        <w:rPr/>
      </w:r>
      <w:r>
        <w:rPr>
          <w:rFonts w:cs="Calibri"/>
        </w:rPr>
        <w:t>[10]</w:t>
      </w:r>
      <w:r>
        <w:rPr/>
      </w:r>
      <w:r>
        <w:rPr/>
        <w:fldChar w:fldCharType="end"/>
      </w:r>
      <w:r>
        <w:rPr/>
        <w:t xml:space="preserve">.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{"citationID":"y4zUl2vM","properties":{"formattedCitation":"[11,12]","plainCitation":"[11,12]","noteIndex":0},"citationItems":[{"id":80,"uris":["http://zotero.org/users/3011573/items/FGCAJ8XK"],"itemData":{"id":80,"type":"article-journal","abstract":"Three main explanations of the relationship between income and population health have been identified: the absolute, the contextual and the relative income hypotheses. The evidence about their relevance particularly in egalitarian societies is, however, inconsistent. This study aimed to test the three hypotheses in relation to psychological distress in northern Sweden.Data come from the 2014 cross-sectional survey from the four northern-most counties in Sweden, and included people aged 25–84 years (n = 21 004). Psychological distress was measured by the General Health Questionnaire-12 and income information came from population registers. Absolute income was operationalized by individual disposable income, contextual income as the municipal-level Gini coefficient and relative income by the Yitzhaki index. Prevalence ratios (PR) were calculated from log-binomial regression analyses.A gradient in poor mental health was observed across quintiles of individual income, with the poorest substantially more likely to report poor health compared with the highest quintile (PR = 1.56; 95% CI = 1.19, 2.04). Second, municipalities in the quintiles 2–3 of the Gini coefficient had a better mental health compared with those in the most equal municipalities. Third, a gradient in poor mental health across quintiles of relative deprivation was also found, with the most deprived quintile the most likely to report poor health (PR = 1.37; 95% CI = 1.06, 1.76).This study suggests a strong, moderate and lack of support for the absolute, relative and contextual income effect hypotheses, respectively. Interventions targeting a reduction in the individual income gap may be necessary in order to reduce psychosocial distress differences in northern Sweden.","container-title":"European Journal of Public Health","DOI":"10.1093/eurpub/cky110","ISSN":"1101-1262","issue":"6","journalAbbreviation":"European Journal of Public Health","page":"1056-1061","source":"Silverchair","title":"Whose income is more important: mine, yours or ours? Income inequality and mental health in northern Sweden","title-short":"Whose income is more important","volume":"28","author":[{"family":"San Sebastián","given":"Miguel"},{"family":"Mosquera","given":"Paola A"},{"family":"Gustafsson","given":"Per E"}],"issued":{"date-parts":[["2018",12,1]]},"citation-key":"SanSeMosqueGustafWhoseIncomeMo2018"}},{"id":3171,"uris":["http://zotero.org/users/3011573/items/5H46R8NM"],"itemData":{"id":3171,"type":"thesis","abstract":"Young people and migrants are both prioritized groups regarding sexual and reproductive health and rights (SRHR), but studies about the sexual andreproductive health (SRH) of young migrants in Swed ...","language":"eng","note":"publisher: Umeå universitet","source":"umu.diva-portal.org","title":"Leaving the door ajar : young migrants’ sexual and reproductive health in Sweden","title-short":"Leaving the door ajar","URL":"https://urn.kb.se/resolve?urn=urn:nbn:se:umu:diva-194449","author":[{"family":"Baroudi","given":"Mazen"}],"accessed":{"date-parts":[["2023",12,26]]},"issued":{"date-parts":[["2022"]]},"citation-key":"BaroudLeavingDoorAj2022"}}],"schema":"https://github.com/citation-style-language/schema/raw/master/csl-citation.json"}</w:instrText>
      </w:r>
      <w:r>
        <w:rPr/>
      </w:r>
      <w:r>
        <w:rPr/>
        <w:fldChar w:fldCharType="separate"/>
      </w:r>
      <w:r>
        <w:rPr/>
      </w:r>
      <w:r>
        <w:rPr>
          <w:rFonts w:cs="Calibri"/>
        </w:rPr>
        <w:t>[11,12]</w:t>
      </w:r>
      <w:r>
        <w:rPr/>
      </w:r>
      <w:r>
        <w:rPr/>
        <w:fldChar w:fldCharType="end"/>
      </w:r>
      <w:r>
        <w:rPr/>
        <w:t>.</w:t>
      </w:r>
    </w:p>
    <w:p>
      <w:pPr>
        <w:pStyle w:val="Normal"/>
        <w:rPr/>
      </w:pPr>
      <w:r>
        <w:rPr/>
        <w:t>[[math, form: 'x^3 – x^2 = sqrt(3.44)',math]]</w:t>
      </w:r>
    </w:p>
    <w:p>
      <w:pPr>
        <w:pStyle w:val="Normal"/>
        <w:rPr/>
      </w:pPr>
      <w:r>
        <w:rPr/>
        <w:t xml:space="preserve">Here we reference some figures and tables: </w:t>
      </w:r>
      <w:r>
        <w:rPr>
          <w:rStyle w:val="SourceText"/>
        </w:rPr>
        <w:t xml:space="preserve">Fig \@ref(fig1), Table \@ref(tab1), and Fig \@ref(fig2). </w:t>
      </w:r>
    </w:p>
    <w:p>
      <w:pPr>
        <w:pStyle w:val="Heading2"/>
        <w:ind w:hanging="0" w:left="0"/>
        <w:rPr/>
      </w:pPr>
      <w:r>
        <w:rPr/>
        <w:t>Ethics</w:t>
      </w:r>
    </w:p>
    <w:p>
      <w:pPr>
        <w:pStyle w:val="Normal"/>
        <w:rPr/>
      </w:pPr>
      <w:r>
        <w:rPr/>
        <w:t xml:space="preserve">The study was conducted in accordance of relevant guidelines and approved by the responsible ethical review institution. Participants provided informed consent. </w:t>
      </w:r>
    </w:p>
    <w:p>
      <w:pPr>
        <w:pStyle w:val="Normal"/>
        <w:rPr/>
      </w:pPr>
      <w:r>
        <w:rPr/>
      </w:r>
      <w:r>
        <w:br w:type="page"/>
      </w:r>
    </w:p>
    <w:p>
      <w:pPr>
        <w:pStyle w:val="Heading1"/>
        <w:spacing w:before="0" w:after="80"/>
        <w:ind w:hanging="0" w:left="0"/>
        <w:rPr/>
      </w:pPr>
      <w:r>
        <w:rPr/>
        <w:t>Results</w:t>
      </w:r>
    </w:p>
    <w:p>
      <w:pPr>
        <w:pStyle w:val="Heading2"/>
        <w:ind w:hanging="0" w:left="0"/>
        <w:rPr/>
      </w:pPr>
      <w:r>
        <w:rPr/>
        <w:t>Characteristics of participants</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4732" w:type="dxa"/>
        <w:jc w:val="left"/>
        <w:tblInd w:w="-109" w:type="dxa"/>
        <w:tblLayout w:type="fixed"/>
        <w:tblCellMar>
          <w:top w:w="0" w:type="dxa"/>
          <w:left w:w="108" w:type="dxa"/>
          <w:bottom w:w="0" w:type="dxa"/>
          <w:right w:w="108" w:type="dxa"/>
        </w:tblCellMar>
      </w:tblPr>
      <w:tblGrid>
        <w:gridCol w:w="3089"/>
        <w:gridCol w:w="1642"/>
      </w:tblGrid>
      <w:tr>
        <w:trPr/>
        <w:tc>
          <w:tcPr>
            <w:tcW w:w="3089" w:type="dxa"/>
            <w:tcBorders>
              <w:top w:val="single" w:sz="4" w:space="0" w:color="000000"/>
              <w:bottom w:val="single" w:sz="4" w:space="0" w:color="000000"/>
            </w:tcBorders>
            <w:shd w:fill="FFFFFF" w:val="clear"/>
          </w:tcPr>
          <w:p>
            <w:pPr>
              <w:pStyle w:val="Normal"/>
              <w:spacing w:lineRule="auto" w:line="240" w:before="0" w:after="0"/>
              <w:rPr>
                <w:rFonts w:ascii="Open Sans" w:hAnsi="Open Sans" w:cs="Open Sans"/>
                <w:b/>
                <w:sz w:val="20"/>
                <w:szCs w:val="20"/>
              </w:rPr>
            </w:pPr>
            <w:r>
              <w:rPr>
                <w:rFonts w:cs="Open Sans" w:ascii="Open Sans" w:hAnsi="Open Sans"/>
                <w:b/>
                <w:sz w:val="20"/>
                <w:szCs w:val="20"/>
              </w:rPr>
            </w:r>
          </w:p>
        </w:tc>
        <w:tc>
          <w:tcPr>
            <w:tcW w:w="1642" w:type="dxa"/>
            <w:tcBorders>
              <w:top w:val="single" w:sz="4" w:space="0" w:color="000000"/>
              <w:bottom w:val="single" w:sz="4" w:space="0" w:color="000000"/>
            </w:tcBorders>
            <w:shd w:fill="FFFFFF" w:val="clear"/>
          </w:tcPr>
          <w:p>
            <w:pPr>
              <w:pStyle w:val="Normal"/>
              <w:spacing w:lineRule="auto" w:line="240" w:before="0" w:after="0"/>
              <w:jc w:val="center"/>
              <w:rPr>
                <w:rFonts w:ascii="Open Sans" w:hAnsi="Open Sans" w:cs="Open Sans"/>
                <w:sz w:val="20"/>
                <w:szCs w:val="20"/>
              </w:rPr>
            </w:pPr>
            <w:r>
              <w:rPr>
                <w:rFonts w:cs="Open Sans" w:ascii="Open Sans" w:hAnsi="Open Sans"/>
                <w:b/>
                <w:kern w:val="0"/>
                <w:sz w:val="20"/>
                <w:szCs w:val="20"/>
              </w:rPr>
              <w:t>**N (%)**</w:t>
            </w:r>
          </w:p>
        </w:tc>
      </w:tr>
      <w:tr>
        <w:trPr/>
        <w:tc>
          <w:tcPr>
            <w:tcW w:w="3089" w:type="dxa"/>
            <w:tcBorders>
              <w:top w:val="single" w:sz="4" w:space="0" w:color="000000"/>
            </w:tcBorders>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#**First section heading**</w:t>
            </w:r>
          </w:p>
        </w:tc>
        <w:tc>
          <w:tcPr>
            <w:tcW w:w="1642" w:type="dxa"/>
            <w:tcBorders>
              <w:top w:val="single" w:sz="4"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sz w:val="18"/>
                <w:szCs w:val="18"/>
              </w:rPr>
            </w:r>
          </w:p>
          <w:p>
            <w:pPr>
              <w:pStyle w:val="Normal"/>
              <w:spacing w:lineRule="auto" w:line="240" w:before="0" w:after="0"/>
              <w:rPr>
                <w:rFonts w:ascii="Open Sans" w:hAnsi="Open Sans" w:cs="Open Sans"/>
                <w:sz w:val="18"/>
                <w:szCs w:val="18"/>
              </w:rPr>
            </w:pPr>
            <w:r>
              <w:rPr>
                <w:rFonts w:cs="Open Sans" w:ascii="Open Sans" w:hAnsi="Open Sans"/>
                <w:b w:val="false"/>
                <w:bCs w:val="false"/>
                <w:kern w:val="0"/>
                <w:sz w:val="18"/>
                <w:szCs w:val="18"/>
              </w:rPr>
              <w:t>* Men</w:t>
            </w:r>
            <w:r>
              <w:rPr>
                <w:rFonts w:cs="Open Sans" w:ascii="Open Sans" w:hAnsi="Open Sans"/>
                <w:b/>
                <w:kern w:val="0"/>
                <w:sz w:val="18"/>
                <w:szCs w:val="18"/>
              </w:rPr>
              <w: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Women✓</w:t>
            </w:r>
          </w:p>
          <w:p>
            <w:pPr>
              <w:pStyle w:val="Normal"/>
              <w:spacing w:lineRule="auto" w:line="240" w:before="0" w:after="0"/>
              <w:rPr>
                <w:rFonts w:ascii="Open Sans" w:hAnsi="Open Sans" w:cs="Open Sans"/>
                <w:sz w:val="18"/>
                <w:szCs w:val="18"/>
              </w:rPr>
            </w:pPr>
            <w:r>
              <w:rPr>
                <w:rFonts w:cs="Open Sans" w:ascii="Open Sans" w:hAnsi="Open Sans"/>
                <w:sz w:val="18"/>
                <w:szCs w:val="18"/>
              </w:rPr>
            </w:r>
          </w:p>
          <w:p>
            <w:pPr>
              <w:pStyle w:val="Normal"/>
              <w:spacing w:lineRule="auto" w:line="240" w:before="0" w:after="0"/>
              <w:rPr>
                <w:rFonts w:ascii="Open Sans" w:hAnsi="Open Sans" w:cs="Open Sans"/>
                <w:sz w:val="18"/>
                <w:szCs w:val="18"/>
              </w:rPr>
            </w:pPr>
            <w:r>
              <w:rPr>
                <w:rFonts w:cs="Open Sans" w:ascii="Open Sans" w:hAnsi="Open Sans"/>
                <w:kern w:val="0"/>
                <w:sz w:val="18"/>
                <w:szCs w:val="18"/>
              </w:rPr>
              <w:t>A subset of Commonmark markdown, including markdown lists are supported</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1656 (50.0)</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1656 (50.0)</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18–30</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31–45</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46–65</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200 (6.04)</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**To achieve intendation**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⠀At the beginning of the line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⠀use a braille blank unicode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⠀Character</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⠀Country 4</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42" w:type="dxa"/>
            <w:tcBorders/>
          </w:tcPr>
          <w:p>
            <w:pPr>
              <w:pStyle w:val="Normal"/>
              <w:spacing w:lineRule="auto" w:line="240" w:before="0" w:after="0"/>
              <w:jc w:val="center"/>
              <w:rPr>
                <w:rFonts w:ascii="Open Sans" w:hAnsi="Open Sans" w:cs="Open Sans"/>
                <w:sz w:val="18"/>
                <w:szCs w:val="18"/>
                <w:lang w:val="sv-SE"/>
              </w:rPr>
            </w:pPr>
            <w:r>
              <w:rPr>
                <w:rFonts w:cs="Open Sans" w:ascii="Open Sans" w:hAnsi="Open Sans"/>
                <w:sz w:val="18"/>
                <w:szCs w:val="18"/>
                <w:lang w:val="sv-SE"/>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(48.9)</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(23.1)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(7.3)</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(7.7)</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100(13.0)</w:t>
            </w:r>
          </w:p>
        </w:tc>
      </w:tr>
      <w:tr>
        <w:trPr/>
        <w:tc>
          <w:tcPr>
            <w:tcW w:w="3089" w:type="dxa"/>
            <w:tcBorders/>
            <w:shd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#**Socio-economic factors factors**</w:t>
            </w:r>
          </w:p>
        </w:tc>
        <w:tc>
          <w:tcPr>
            <w:tcW w:w="1642" w:type="dxa"/>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Low</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b/>
                <w:kern w:val="0"/>
                <w:sz w:val="18"/>
                <w:szCs w:val="18"/>
              </w:rPr>
              <w:t>**(sd)**</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w:t>
            </w:r>
          </w:p>
        </w:tc>
      </w:tr>
      <w:tr>
        <w:trPr/>
        <w:tc>
          <w:tcPr>
            <w:tcW w:w="3089" w:type="dxa"/>
            <w:tcBorders/>
            <w:shd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#**Culture-related factors**</w:t>
            </w:r>
          </w:p>
        </w:tc>
        <w:tc>
          <w:tcPr>
            <w:tcW w:w="1642" w:type="dxa"/>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b/>
                <w:sz w:val="18"/>
                <w:szCs w:val="18"/>
              </w:rPr>
            </w:pPr>
            <w:r>
              <w:rPr>
                <w:rFonts w:cs="Open Sans" w:ascii="Open Sans" w:hAnsi="Open Sans"/>
                <w:b/>
                <w:sz w:val="18"/>
                <w:szCs w:val="18"/>
              </w:rPr>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Concession</w:t>
            </w:r>
          </w:p>
          <w:p>
            <w:pPr>
              <w:pStyle w:val="Normal"/>
              <w:spacing w:lineRule="auto" w:line="240" w:before="0" w:after="0"/>
              <w:rPr>
                <w:rFonts w:ascii="Open Sans" w:hAnsi="Open Sans" w:cs="Open Sans"/>
                <w:sz w:val="18"/>
                <w:szCs w:val="18"/>
              </w:rPr>
            </w:pPr>
            <w:r>
              <w:rPr>
                <w:rFonts w:cs="Open Sans" w:ascii="Open Sans" w:hAnsi="Open Sans"/>
                <w:sz w:val="18"/>
                <w:szCs w:val="18"/>
              </w:rPr>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 (last 12 months)**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shd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shd w:fill="D0CECE" w:val="clear"/>
              </w:rPr>
              <w:t>#**Behavioural factors**</w:t>
            </w:r>
          </w:p>
        </w:tc>
        <w:tc>
          <w:tcPr>
            <w:tcW w:w="1642" w:type="dxa"/>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shd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#**Psychosomatic factors**</w:t>
            </w:r>
          </w:p>
        </w:tc>
        <w:tc>
          <w:tcPr>
            <w:tcW w:w="1642" w:type="dxa"/>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bottom w:val="single" w:sz="4"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Obese</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bl>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[[table,label: 'tab1',caption: '</w:t>
      </w:r>
      <w:r>
        <w:rPr>
          <w:rFonts w:cs="Open Sans" w:ascii="Open Sans" w:hAnsi="Open Sans"/>
          <w:bCs/>
          <w:kern w:val="0"/>
          <w:sz w:val="20"/>
          <w:szCs w:val="20"/>
        </w:rPr>
        <w:t>Characteristics of weighted study sample in a 1-column table.'</w:t>
      </w:r>
      <w:r>
        <w:rPr>
          <w:rFonts w:eastAsia="Times New Roman" w:cs="Times New Roman" w:ascii="Times New Roman" w:hAnsi="Times New Roman"/>
        </w:rPr>
        <w:t>,colwidths: [60,40], colaligns: [l,c],table]]</w:t>
      </w:r>
    </w:p>
    <w:p>
      <w:pPr>
        <w:pStyle w:val="Normal"/>
        <w:rPr/>
      </w:pPr>
      <w:r>
        <w:rPr/>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[[figure,src: 'figures/Fig1.pdf' , caption: 'A figure in the document. Single column.', label: 'fig1']]</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[[figure,src: 'figures/Fig1.pdf',wide, caption: 'A figure in the document. Double column.', label: 'fig2']]</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ectPr>
          <w:headerReference w:type="even" r:id="rId3"/>
          <w:headerReference w:type="default" r:id="rId4"/>
          <w:headerReference w:type="first" r:id="rId5"/>
          <w:type w:val="nextPage"/>
          <w:pgSz w:w="11906" w:h="16838"/>
          <w:pgMar w:left="851" w:right="851" w:gutter="0" w:header="0" w:top="1440" w:footer="0" w:bottom="1440"/>
          <w:pgNumType w:fmt="decimal"/>
          <w:formProt w:val="false"/>
          <w:textDirection w:val="lrTb"/>
          <w:docGrid w:type="default" w:linePitch="312" w:charSpace="9830"/>
        </w:sect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9771" w:type="dxa"/>
        <w:jc w:val="center"/>
        <w:tblInd w:w="0" w:type="dxa"/>
        <w:tblLayout w:type="fixed"/>
        <w:tblCellMar>
          <w:top w:w="100" w:type="dxa"/>
          <w:left w:w="100" w:type="dxa"/>
          <w:bottom w:w="100" w:type="dxa"/>
          <w:right w:w="100" w:type="dxa"/>
        </w:tblCellMar>
      </w:tblPr>
      <w:tblGrid>
        <w:gridCol w:w="3831"/>
        <w:gridCol w:w="1685"/>
        <w:gridCol w:w="1848"/>
        <w:gridCol w:w="2406"/>
      </w:tblGrid>
      <w:tr>
        <w:trPr>
          <w:trHeight w:val="466" w:hRule="atLeast"/>
        </w:trPr>
        <w:tc>
          <w:tcPr>
            <w:tcW w:w="3831"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685"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**N (%)**</w:t>
            </w:r>
          </w:p>
        </w:tc>
        <w:tc>
          <w:tcPr>
            <w:tcW w:w="1848"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**Crude PR (95% CI)**</w:t>
            </w:r>
          </w:p>
        </w:tc>
        <w:tc>
          <w:tcPr>
            <w:tcW w:w="240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**Adjusted PR (95% CI)**</w:t>
            </w:r>
          </w:p>
        </w:tc>
      </w:tr>
      <w:tr>
        <w:trPr>
          <w:trHeight w:val="215" w:hRule="atLeast"/>
        </w:trPr>
        <w:tc>
          <w:tcPr>
            <w:tcW w:w="3831" w:type="dxa"/>
            <w:tcBorders>
              <w:left w:val="single" w:sz="8" w:space="0" w:color="000000"/>
              <w:bottom w:val="single" w:sz="8" w:space="0" w:color="000000"/>
              <w:right w:val="single" w:sz="8" w:space="0" w:color="000000"/>
            </w:tcBorders>
            <w:shd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#**Socio-demographic factors**</w:t>
            </w:r>
          </w:p>
        </w:tc>
        <w:tc>
          <w:tcPr>
            <w:tcW w:w="1685"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5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Women</w:t>
            </w:r>
          </w:p>
        </w:tc>
        <w:tc>
          <w:tcPr>
            <w:tcW w:w="1685"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55"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18–29</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30–44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45–64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65–84</w:t>
            </w:r>
          </w:p>
        </w:tc>
        <w:tc>
          <w:tcPr>
            <w:tcW w:w="1685"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60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lang w:val="sv-SE"/>
              </w:rPr>
            </w:pPr>
            <w:r>
              <w:rPr>
                <w:rFonts w:cs="Open Sans" w:ascii="Open Sans" w:hAnsi="Open Sans"/>
                <w:b/>
                <w:kern w:val="0"/>
                <w:sz w:val="18"/>
                <w:szCs w:val="18"/>
                <w:lang w:val="sv-SE"/>
              </w:rPr>
              <w:t>**Region of residence**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Norrbotten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Västerbotten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Jämtland-Härjedalen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Stockholm</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85"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7" w:hRule="atLeast"/>
        </w:trPr>
        <w:tc>
          <w:tcPr>
            <w:tcW w:w="3831" w:type="dxa"/>
            <w:tcBorders>
              <w:left w:val="single" w:sz="8" w:space="0" w:color="000000"/>
              <w:bottom w:val="single" w:sz="8" w:space="0" w:color="000000"/>
              <w:right w:val="single" w:sz="8" w:space="0" w:color="000000"/>
            </w:tcBorders>
            <w:shd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#**Socio-economic factors**</w:t>
            </w:r>
          </w:p>
        </w:tc>
        <w:tc>
          <w:tcPr>
            <w:tcW w:w="1685"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84"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Low</w:t>
            </w:r>
          </w:p>
        </w:tc>
        <w:tc>
          <w:tcPr>
            <w:tcW w:w="1685"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467"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5"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63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5"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52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Q1 (richest)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Q2</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Q3</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Q5 (poorest)</w:t>
            </w:r>
          </w:p>
        </w:tc>
        <w:tc>
          <w:tcPr>
            <w:tcW w:w="1685"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0" w:hRule="atLeast"/>
        </w:trPr>
        <w:tc>
          <w:tcPr>
            <w:tcW w:w="3831" w:type="dxa"/>
            <w:tcBorders>
              <w:left w:val="single" w:sz="8" w:space="0" w:color="000000"/>
              <w:bottom w:val="single" w:sz="8" w:space="0" w:color="000000"/>
              <w:right w:val="single" w:sz="8" w:space="0" w:color="000000"/>
            </w:tcBorders>
            <w:shd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#**Culture-related factors**</w:t>
            </w:r>
          </w:p>
        </w:tc>
        <w:tc>
          <w:tcPr>
            <w:tcW w:w="1685"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33"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Concession</w:t>
            </w:r>
          </w:p>
        </w:tc>
        <w:tc>
          <w:tcPr>
            <w:tcW w:w="1685"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5"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09" w:hRule="atLeast"/>
        </w:trPr>
        <w:tc>
          <w:tcPr>
            <w:tcW w:w="3831" w:type="dxa"/>
            <w:tcBorders>
              <w:left w:val="single" w:sz="8" w:space="0" w:color="000000"/>
              <w:bottom w:val="single" w:sz="8" w:space="0" w:color="000000"/>
              <w:right w:val="single" w:sz="8" w:space="0" w:color="000000"/>
            </w:tcBorders>
            <w:shd w:fill="D0CECE" w:val="clear"/>
          </w:tcPr>
          <w:p>
            <w:pPr>
              <w:pStyle w:val="Normal"/>
              <w:spacing w:lineRule="auto" w:line="240" w:before="0" w:after="0"/>
              <w:rPr>
                <w:rFonts w:ascii="Open Sans" w:hAnsi="Open Sans" w:cs="Open Sans"/>
                <w:b/>
                <w:sz w:val="18"/>
                <w:szCs w:val="18"/>
                <w:shd w:fill="D0CECE" w:val="clear"/>
              </w:rPr>
            </w:pPr>
            <w:r>
              <w:rPr>
                <w:rFonts w:cs="Open Sans" w:ascii="Open Sans" w:hAnsi="Open Sans"/>
                <w:b/>
                <w:kern w:val="0"/>
                <w:sz w:val="18"/>
                <w:szCs w:val="18"/>
                <w:shd w:fill="D0CECE" w:val="clear"/>
              </w:rPr>
              <w:t>#**Behavioural factors**</w:t>
            </w:r>
          </w:p>
        </w:tc>
        <w:tc>
          <w:tcPr>
            <w:tcW w:w="1685" w:type="dxa"/>
            <w:tcBorders>
              <w:bottom w:val="single" w:sz="8" w:space="0" w:color="000000"/>
              <w:right w:val="single" w:sz="8" w:space="0" w:color="000000"/>
            </w:tcBorders>
            <w:shd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1848" w:type="dxa"/>
            <w:tcBorders>
              <w:bottom w:val="single" w:sz="8" w:space="0" w:color="000000"/>
              <w:right w:val="single" w:sz="8" w:space="0" w:color="000000"/>
            </w:tcBorders>
            <w:shd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2406" w:type="dxa"/>
            <w:tcBorders>
              <w:bottom w:val="single" w:sz="8" w:space="0" w:color="000000"/>
              <w:right w:val="single" w:sz="8" w:space="0" w:color="000000"/>
            </w:tcBorders>
            <w:shd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r>
      <w:tr>
        <w:trPr>
          <w:trHeight w:val="67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Yes</w:t>
            </w:r>
          </w:p>
        </w:tc>
        <w:tc>
          <w:tcPr>
            <w:tcW w:w="1685"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363" w:hRule="atLeast"/>
        </w:trPr>
        <w:tc>
          <w:tcPr>
            <w:tcW w:w="3831" w:type="dxa"/>
            <w:tcBorders>
              <w:left w:val="single" w:sz="8" w:space="0" w:color="000000"/>
              <w:bottom w:val="single" w:sz="8" w:space="0" w:color="000000"/>
              <w:right w:val="single" w:sz="8" w:space="0" w:color="000000"/>
            </w:tcBorders>
            <w:shd w:fill="D0CECE"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#**Psychosomatic factors**</w:t>
            </w:r>
          </w:p>
        </w:tc>
        <w:tc>
          <w:tcPr>
            <w:tcW w:w="1685" w:type="dxa"/>
            <w:tcBorders>
              <w:bottom w:val="single" w:sz="8" w:space="0" w:color="000000"/>
              <w:right w:val="single" w:sz="8" w:space="0" w:color="000000"/>
            </w:tcBorders>
            <w:shd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shd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9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5"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96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**Weight (BMI)**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Obese</w:t>
            </w:r>
          </w:p>
        </w:tc>
        <w:tc>
          <w:tcPr>
            <w:tcW w:w="1685"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**Stress**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5"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bl>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[[table,label: 'tab2',caption: 'More data in a two-column wide table.', wide, fullgrid, colwidths: [40,20,20,20], colaligns: [l,c,c,c], table]]</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type="page"/>
      </w:r>
    </w:p>
    <w:tbl>
      <w:tblPr>
        <w:tblW w:w="9771" w:type="dxa"/>
        <w:jc w:val="center"/>
        <w:tblInd w:w="0" w:type="dxa"/>
        <w:tblLayout w:type="fixed"/>
        <w:tblCellMar>
          <w:top w:w="100" w:type="dxa"/>
          <w:left w:w="100" w:type="dxa"/>
          <w:bottom w:w="100" w:type="dxa"/>
          <w:right w:w="100" w:type="dxa"/>
        </w:tblCellMar>
      </w:tblPr>
      <w:tblGrid>
        <w:gridCol w:w="3831"/>
        <w:gridCol w:w="1685"/>
        <w:gridCol w:w="1848"/>
        <w:gridCol w:w="2406"/>
      </w:tblGrid>
      <w:tr>
        <w:trPr>
          <w:trHeight w:val="466" w:hRule="atLeast"/>
        </w:trPr>
        <w:tc>
          <w:tcPr>
            <w:tcW w:w="3831" w:type="dxa"/>
            <w:tcBorders>
              <w:top w:val="single" w:sz="8" w:space="0" w:color="000000"/>
              <w:left w:val="single" w:sz="8" w:space="0" w:color="000000"/>
              <w:bottom w:val="single" w:sz="8" w:space="0" w:color="000000"/>
              <w:right w:val="single" w:sz="8" w:space="0" w:color="000000"/>
            </w:tcBorders>
          </w:tcPr>
          <w:p>
            <w:pPr>
              <w:pStyle w:val="Normal"/>
              <w:pageBreakBefore/>
              <w:spacing w:lineRule="auto" w:line="240" w:before="0" w:after="0"/>
              <w:jc w:val="center"/>
              <w:rPr>
                <w:rFonts w:ascii="Open Sans" w:hAnsi="Open Sans" w:cs="Open Sans"/>
                <w:sz w:val="18"/>
                <w:szCs w:val="18"/>
              </w:rPr>
            </w:pPr>
            <w:r>
              <w:rPr>
                <w:rFonts w:cs="Open Sans" w:ascii="Open Sans" w:hAnsi="Open Sans"/>
                <w:sz w:val="18"/>
                <w:szCs w:val="18"/>
              </w:rPr>
            </w:r>
          </w:p>
        </w:tc>
        <w:tc>
          <w:tcPr>
            <w:tcW w:w="1685"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**N (%)**</w:t>
            </w:r>
          </w:p>
        </w:tc>
        <w:tc>
          <w:tcPr>
            <w:tcW w:w="1848"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**Crude PR (95% CI)**</w:t>
            </w:r>
          </w:p>
        </w:tc>
        <w:tc>
          <w:tcPr>
            <w:tcW w:w="240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**Adjusted PR (95% CI)**</w:t>
            </w:r>
          </w:p>
        </w:tc>
      </w:tr>
      <w:tr>
        <w:trPr>
          <w:trHeight w:val="215" w:hRule="atLeast"/>
        </w:trPr>
        <w:tc>
          <w:tcPr>
            <w:tcW w:w="3831" w:type="dxa"/>
            <w:tcBorders>
              <w:left w:val="single" w:sz="8" w:space="0" w:color="000000"/>
              <w:bottom w:val="single" w:sz="8" w:space="0" w:color="000000"/>
              <w:right w:val="single" w:sz="8" w:space="0" w:color="000000"/>
            </w:tcBorders>
            <w:shd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#**Socio-demographic factors**</w:t>
            </w:r>
          </w:p>
        </w:tc>
        <w:tc>
          <w:tcPr>
            <w:tcW w:w="1685"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5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Women</w:t>
            </w:r>
          </w:p>
        </w:tc>
        <w:tc>
          <w:tcPr>
            <w:tcW w:w="1685"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55"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18–29</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30–44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45–64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65–84</w:t>
            </w:r>
          </w:p>
        </w:tc>
        <w:tc>
          <w:tcPr>
            <w:tcW w:w="1685"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60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lang w:val="sv-SE"/>
              </w:rPr>
            </w:pPr>
            <w:r>
              <w:rPr>
                <w:rFonts w:cs="Open Sans" w:ascii="Open Sans" w:hAnsi="Open Sans"/>
                <w:b/>
                <w:kern w:val="0"/>
                <w:sz w:val="18"/>
                <w:szCs w:val="18"/>
                <w:lang w:val="sv-SE"/>
              </w:rPr>
              <w:t>**Region of residence**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Norrbotten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Västerbotten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Jämtland-Härjedalen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Stockholm</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85"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7" w:hRule="atLeast"/>
        </w:trPr>
        <w:tc>
          <w:tcPr>
            <w:tcW w:w="3831" w:type="dxa"/>
            <w:tcBorders>
              <w:left w:val="single" w:sz="8" w:space="0" w:color="000000"/>
              <w:bottom w:val="single" w:sz="8" w:space="0" w:color="000000"/>
              <w:right w:val="single" w:sz="8" w:space="0" w:color="000000"/>
            </w:tcBorders>
            <w:shd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#**Socio-economic factors**</w:t>
            </w:r>
          </w:p>
        </w:tc>
        <w:tc>
          <w:tcPr>
            <w:tcW w:w="1685"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84"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Low</w:t>
            </w:r>
          </w:p>
        </w:tc>
        <w:tc>
          <w:tcPr>
            <w:tcW w:w="1685"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467"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5"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63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5"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52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Q1 (richest)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Q2</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Q3</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Q5 (poorest)</w:t>
            </w:r>
          </w:p>
        </w:tc>
        <w:tc>
          <w:tcPr>
            <w:tcW w:w="1685"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0" w:hRule="atLeast"/>
        </w:trPr>
        <w:tc>
          <w:tcPr>
            <w:tcW w:w="3831" w:type="dxa"/>
            <w:tcBorders>
              <w:left w:val="single" w:sz="8" w:space="0" w:color="000000"/>
              <w:bottom w:val="single" w:sz="8" w:space="0" w:color="000000"/>
              <w:right w:val="single" w:sz="8" w:space="0" w:color="000000"/>
            </w:tcBorders>
            <w:shd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#**Culture-related factors**</w:t>
            </w:r>
          </w:p>
        </w:tc>
        <w:tc>
          <w:tcPr>
            <w:tcW w:w="1685"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33"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Concession</w:t>
            </w:r>
          </w:p>
        </w:tc>
        <w:tc>
          <w:tcPr>
            <w:tcW w:w="1685"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5"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09" w:hRule="atLeast"/>
        </w:trPr>
        <w:tc>
          <w:tcPr>
            <w:tcW w:w="3831" w:type="dxa"/>
            <w:tcBorders>
              <w:left w:val="single" w:sz="8" w:space="0" w:color="000000"/>
              <w:bottom w:val="single" w:sz="8" w:space="0" w:color="000000"/>
              <w:right w:val="single" w:sz="8" w:space="0" w:color="000000"/>
            </w:tcBorders>
            <w:shd w:fill="D0CECE" w:val="clear"/>
          </w:tcPr>
          <w:p>
            <w:pPr>
              <w:pStyle w:val="Normal"/>
              <w:spacing w:lineRule="auto" w:line="240" w:before="0" w:after="0"/>
              <w:rPr>
                <w:rFonts w:ascii="Open Sans" w:hAnsi="Open Sans" w:cs="Open Sans"/>
                <w:b/>
                <w:sz w:val="18"/>
                <w:szCs w:val="18"/>
                <w:shd w:fill="D0CECE" w:val="clear"/>
              </w:rPr>
            </w:pPr>
            <w:r>
              <w:rPr>
                <w:rFonts w:cs="Open Sans" w:ascii="Open Sans" w:hAnsi="Open Sans"/>
                <w:b/>
                <w:kern w:val="0"/>
                <w:sz w:val="18"/>
                <w:szCs w:val="18"/>
                <w:shd w:fill="D0CECE" w:val="clear"/>
              </w:rPr>
              <w:t>#**Behavioural factors**</w:t>
            </w:r>
          </w:p>
        </w:tc>
        <w:tc>
          <w:tcPr>
            <w:tcW w:w="1685" w:type="dxa"/>
            <w:tcBorders>
              <w:bottom w:val="single" w:sz="8" w:space="0" w:color="000000"/>
              <w:right w:val="single" w:sz="8" w:space="0" w:color="000000"/>
            </w:tcBorders>
            <w:shd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1848" w:type="dxa"/>
            <w:tcBorders>
              <w:bottom w:val="single" w:sz="8" w:space="0" w:color="000000"/>
              <w:right w:val="single" w:sz="8" w:space="0" w:color="000000"/>
            </w:tcBorders>
            <w:shd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2406" w:type="dxa"/>
            <w:tcBorders>
              <w:bottom w:val="single" w:sz="8" w:space="0" w:color="000000"/>
              <w:right w:val="single" w:sz="8" w:space="0" w:color="000000"/>
            </w:tcBorders>
            <w:shd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r>
      <w:tr>
        <w:trPr>
          <w:trHeight w:val="67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Yes</w:t>
            </w:r>
          </w:p>
        </w:tc>
        <w:tc>
          <w:tcPr>
            <w:tcW w:w="1685"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363" w:hRule="atLeast"/>
        </w:trPr>
        <w:tc>
          <w:tcPr>
            <w:tcW w:w="3831" w:type="dxa"/>
            <w:tcBorders>
              <w:left w:val="single" w:sz="8" w:space="0" w:color="000000"/>
              <w:bottom w:val="single" w:sz="8" w:space="0" w:color="000000"/>
              <w:right w:val="single" w:sz="8" w:space="0" w:color="000000"/>
            </w:tcBorders>
            <w:shd w:fill="D0CECE"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#**Psychosomatic factors**</w:t>
            </w:r>
          </w:p>
        </w:tc>
        <w:tc>
          <w:tcPr>
            <w:tcW w:w="1685" w:type="dxa"/>
            <w:tcBorders>
              <w:bottom w:val="single" w:sz="8" w:space="0" w:color="000000"/>
              <w:right w:val="single" w:sz="8" w:space="0" w:color="000000"/>
            </w:tcBorders>
            <w:shd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shd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9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5"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96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**Weight (BMI)**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Obese</w:t>
            </w:r>
          </w:p>
        </w:tc>
        <w:tc>
          <w:tcPr>
            <w:tcW w:w="1685"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**Stress**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5"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8"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bl>
    <w:p>
      <w:pPr>
        <w:pStyle w:val="Normal"/>
        <w:rPr>
          <w:rFonts w:ascii="Times New Roman" w:hAnsi="Times New Roman" w:eastAsia="Times New Roman" w:cs="Times New Roman"/>
        </w:rPr>
      </w:pPr>
      <w:r>
        <w:rPr>
          <w:rFonts w:eastAsia="Times New Roman" w:cs="Times New Roman" w:ascii="Times New Roman" w:hAnsi="Times New Roman"/>
        </w:rPr>
        <w:t>[[table,label: 'tab3',caption: 'A landscape page table.', landscape, fullgrid, colwidths: [40,20,20,20], colaligns: [l,c,c,c], table]]</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spacing w:before="0" w:after="80"/>
        <w:ind w:hanging="0" w:left="0"/>
        <w:rPr/>
      </w:pPr>
      <w:r>
        <w:rPr/>
        <w:t>Discussion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ind w:hanging="0" w:left="0"/>
        <w:rPr/>
      </w:pPr>
      <w:r>
        <w:rPr/>
        <w:t>Methodological considerations</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ind w:hanging="0" w:left="0"/>
        <w:rPr/>
      </w:pPr>
      <w:r>
        <w:rPr/>
        <w:t>Conclusion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r>
        <w:br w:type="page"/>
      </w:r>
    </w:p>
    <w:p>
      <w:pPr>
        <w:pStyle w:val="Heading1"/>
        <w:spacing w:before="0" w:after="80"/>
        <w:ind w:hanging="0" w:left="0"/>
        <w:rPr/>
      </w:pPr>
      <w:r>
        <w:rPr/>
        <w:t>References</w:t>
      </w:r>
    </w:p>
    <w:p>
      <w:pPr>
        <w:pStyle w:val="Bibliography"/>
        <w:rPr>
          <w:rFonts w:cs="Calibri"/>
        </w:rPr>
      </w:pPr>
      <w:r>
        <w:fldChar w:fldCharType="begin"/>
      </w:r>
      <w:r>
        <w:rPr/>
        <w:instrText xml:space="preserve">ADDIN ZOTERO_BIBL {"uncited":[],"omitted":[],"custom":[]} CSL_BIBLIOGRAPHY</w:instrText>
      </w:r>
      <w:r>
        <w:rPr/>
      </w:r>
      <w:r>
        <w:rPr/>
        <w:fldChar w:fldCharType="separate"/>
      </w:r>
      <w:r>
        <w:rPr/>
      </w:r>
      <w:r>
        <w:rPr>
          <w:rFonts w:cs="Calibri"/>
        </w:rPr>
        <w:t xml:space="preserve">1. </w:t>
        <w:tab/>
        <w:t>U.N. General Assembly. The Universal Declaration of Human Rights. U.N. UDHR, Res 217 A Dec 10, 1948. Available: https://www.un.org/en/universal-declaration-human-rights/index.html</w:t>
      </w:r>
    </w:p>
    <w:p>
      <w:pPr>
        <w:pStyle w:val="Bibliography"/>
        <w:rPr>
          <w:rFonts w:cs="Calibri"/>
        </w:rPr>
      </w:pPr>
      <w:r>
        <w:rPr>
          <w:rFonts w:cs="Calibri"/>
        </w:rPr>
        <w:t xml:space="preserve">2. </w:t>
        <w:tab/>
        <w:t>United Nations. The 2030 Agenda for Sustainable Development. United Nations; 2015. Available: https://sustainabledevelopment.un.org/post2015/transformingourworld/publication</w:t>
      </w:r>
    </w:p>
    <w:p>
      <w:pPr>
        <w:pStyle w:val="Bibliography"/>
        <w:rPr>
          <w:rFonts w:cs="Calibri"/>
        </w:rPr>
      </w:pPr>
      <w:r>
        <w:rPr>
          <w:rFonts w:cs="Calibri"/>
        </w:rPr>
        <w:t xml:space="preserve">3. </w:t>
        <w:tab/>
        <w:t xml:space="preserve">Sen A. Development as Freedom. New York: Oxford University Press; 2001. </w:t>
      </w:r>
    </w:p>
    <w:p>
      <w:pPr>
        <w:pStyle w:val="Bibliography"/>
        <w:rPr>
          <w:rFonts w:cs="Calibri"/>
        </w:rPr>
      </w:pPr>
      <w:r>
        <w:rPr>
          <w:rFonts w:cs="Calibri"/>
        </w:rPr>
        <w:t xml:space="preserve">4. </w:t>
        <w:tab/>
        <w:t xml:space="preserve">International Conference on Primary Health Care. Declaration of Alma-Ata. WHO Chron. 1978;32: 428–430. </w:t>
      </w:r>
    </w:p>
    <w:p>
      <w:pPr>
        <w:pStyle w:val="Bibliography"/>
        <w:rPr>
          <w:rFonts w:cs="Calibri"/>
        </w:rPr>
      </w:pPr>
      <w:r>
        <w:rPr>
          <w:rFonts w:cs="Calibri"/>
        </w:rPr>
        <w:t xml:space="preserve">5. </w:t>
        <w:tab/>
        <w:t>Ho J, Mathers C. WHO methods and data sources for global burden of disease estimates 2000-2016. Geneva: WHO; 2018. Available: https://www.who.int/healthinfo/global_burden_disease/GlobalDALY_method_2000_2016.pdf</w:t>
      </w:r>
    </w:p>
    <w:p>
      <w:pPr>
        <w:pStyle w:val="Bibliography"/>
        <w:rPr>
          <w:rFonts w:cs="Calibri"/>
        </w:rPr>
      </w:pPr>
      <w:r>
        <w:rPr>
          <w:rFonts w:cs="Calibri"/>
        </w:rPr>
        <w:t xml:space="preserve">6. </w:t>
        <w:tab/>
        <w:t>Weinstein MC. A QALY is a QALY is a QALY — Or is it? Journal of Health Economics. 1988;7: 289–290. doi:10.1016/0167-6296(88)90030-6</w:t>
      </w:r>
    </w:p>
    <w:p>
      <w:pPr>
        <w:pStyle w:val="Bibliography"/>
        <w:rPr>
          <w:rFonts w:cs="Calibri"/>
        </w:rPr>
      </w:pPr>
      <w:r>
        <w:rPr>
          <w:rFonts w:cs="Calibri"/>
        </w:rPr>
        <w:t xml:space="preserve">7. </w:t>
        <w:tab/>
        <w:t xml:space="preserve">International Health Conference. Constitution of the World Health Organization. 1946. Bull World Health Organ. 2002;80: 983–984. </w:t>
      </w:r>
    </w:p>
    <w:p>
      <w:pPr>
        <w:pStyle w:val="Bibliography"/>
        <w:rPr>
          <w:rFonts w:cs="Calibri"/>
        </w:rPr>
      </w:pPr>
      <w:r>
        <w:rPr>
          <w:rFonts w:cs="Calibri"/>
        </w:rPr>
        <w:t xml:space="preserve">8. </w:t>
        <w:tab/>
        <w:t>World Health Organisation. 1946 Constitution of the World Health Organization. In: Centre for International Law [Internet]. 1946 [cited 1 Dec 2023]. Available: https://cil.nus.edu.sg/databasecil/1946-constitution-of-the-world-health-organization/</w:t>
      </w:r>
    </w:p>
    <w:p>
      <w:pPr>
        <w:pStyle w:val="Bibliography"/>
        <w:rPr>
          <w:rFonts w:cs="Calibri"/>
        </w:rPr>
      </w:pPr>
      <w:r>
        <w:rPr>
          <w:rFonts w:cs="Calibri"/>
        </w:rPr>
        <w:t xml:space="preserve">9. </w:t>
        <w:tab/>
        <w:t>Kungörelse. Kungörelse 1974:152 Regereingsformen [Instrument of governement]. Kapitel 2 1974. Available: https://lagen.nu/1974:152</w:t>
      </w:r>
    </w:p>
    <w:p>
      <w:pPr>
        <w:pStyle w:val="Bibliography"/>
        <w:rPr>
          <w:rFonts w:cs="Calibri"/>
        </w:rPr>
      </w:pPr>
      <w:r>
        <w:rPr>
          <w:rFonts w:cs="Calibri"/>
        </w:rPr>
        <w:t xml:space="preserve">10. </w:t>
        <w:tab/>
        <w:t>Statistics Sweden. Statistics Sweden. 2023 [cited 14 Oct 2018]. Available: https://www.scb.se</w:t>
      </w:r>
    </w:p>
    <w:p>
      <w:pPr>
        <w:pStyle w:val="Bibliography"/>
        <w:rPr>
          <w:rFonts w:cs="Calibri"/>
        </w:rPr>
      </w:pPr>
      <w:r>
        <w:rPr>
          <w:rFonts w:cs="Calibri"/>
        </w:rPr>
        <w:t xml:space="preserve">11. </w:t>
        <w:tab/>
        <w:t>San Sebastián M, Mosquera PA, Gustafsson PE. Whose income is more important: mine, yours or ours? Income inequality and mental health in northern Sweden. European Journal of Public Health. 2018;28: 1056–1061. doi:10.1093/eurpub/cky110</w:t>
      </w:r>
    </w:p>
    <w:p>
      <w:pPr>
        <w:pStyle w:val="Bibliography"/>
        <w:rPr>
          <w:rFonts w:cs="Calibri"/>
        </w:rPr>
      </w:pPr>
      <w:r>
        <w:rPr>
          <w:rFonts w:cs="Calibri"/>
        </w:rPr>
        <w:t xml:space="preserve">12. </w:t>
        <w:tab/>
        <w:t>Baroudi M. Leaving the door ajar : young migrants’ sexual and reproductive health in Sweden. Umeå universitet. 2022. Available: https://urn.kb.se/resolve?urn=urn:nbn:se:umu:diva-194449</w:t>
      </w:r>
    </w:p>
    <w:p>
      <w:pPr>
        <w:pStyle w:val="Normal"/>
        <w:rPr/>
      </w:pPr>
      <w:r/>
      <w:r>
        <w:rPr/>
        <w:fldChar w:fldCharType="end"/>
      </w:r>
      <w:r>
        <w:rPr/>
      </w:r>
    </w:p>
    <w:p>
      <w:pPr>
        <w:pStyle w:val="Normal"/>
        <w:spacing w:before="0" w:after="160"/>
        <w:rPr/>
      </w:pPr>
      <w:r>
        <w:rPr/>
      </w:r>
    </w:p>
    <w:sectPr>
      <w:headerReference w:type="even" r:id="rId6"/>
      <w:headerReference w:type="default" r:id="rId7"/>
      <w:headerReference w:type="first" r:id="rId8"/>
      <w:type w:val="nextPage"/>
      <w:pgSz w:w="12240" w:h="15840"/>
      <w:pgMar w:left="1417" w:right="1417" w:gutter="0" w:header="0" w:top="1417" w:footer="0" w:bottom="1417"/>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Open Sans">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40"/>
  <w:defaultTabStop w:val="720"/>
  <w:autoHyphenation w:val="true"/>
  <w:hyphenationZone w:val="36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kern w:val="2"/>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2"/>
      <w:sz w:val="22"/>
      <w:szCs w:val="22"/>
      <w:lang w:val="en-US" w:eastAsia="en-US" w:bidi="ar-SA"/>
    </w:rPr>
  </w:style>
  <w:style w:type="paragraph" w:styleId="Heading1">
    <w:name w:val="heading 1"/>
    <w:basedOn w:val="Normal"/>
    <w:next w:val="Normal"/>
    <w:link w:val="Heading1Char"/>
    <w:qFormat/>
    <w:pPr>
      <w:keepNext w:val="true"/>
      <w:keepLines/>
      <w:spacing w:before="360" w:after="80"/>
      <w:outlineLvl w:val="0"/>
    </w:pPr>
    <w:rPr>
      <w:rFonts w:ascii="Calibri Light" w:hAnsi="Calibri Light" w:eastAsia="Calibri" w:cs="DejaVu Sans"/>
      <w:color w:themeColor="accent1" w:themeShade="bf" w:val="2F5496"/>
      <w:sz w:val="40"/>
      <w:szCs w:val="40"/>
    </w:rPr>
  </w:style>
  <w:style w:type="paragraph" w:styleId="Heading2">
    <w:name w:val="heading 2"/>
    <w:basedOn w:val="Normal"/>
    <w:next w:val="Normal"/>
    <w:link w:val="Heading2Char"/>
    <w:qFormat/>
    <w:pPr>
      <w:keepNext w:val="true"/>
      <w:keepLines/>
      <w:spacing w:before="160" w:after="80"/>
      <w:outlineLvl w:val="1"/>
    </w:pPr>
    <w:rPr>
      <w:rFonts w:ascii="Calibri Light" w:hAnsi="Calibri Light" w:eastAsia="Calibri" w:cs="DejaVu Sans"/>
      <w:color w:themeColor="accent1" w:themeShade="bf" w:val="2F5496"/>
      <w:sz w:val="32"/>
      <w:szCs w:val="32"/>
    </w:rPr>
  </w:style>
  <w:style w:type="paragraph" w:styleId="Heading3">
    <w:name w:val="heading 3"/>
    <w:basedOn w:val="Normal"/>
    <w:next w:val="Normal"/>
    <w:link w:val="Heading3Char"/>
    <w:qFormat/>
    <w:pPr>
      <w:keepNext w:val="true"/>
      <w:keepLines/>
      <w:spacing w:before="160" w:after="80"/>
      <w:outlineLvl w:val="2"/>
    </w:pPr>
    <w:rPr>
      <w:rFonts w:eastAsia="Calibri" w:cs="DejaVu Sans"/>
      <w:color w:themeColor="accent1" w:themeShade="bf" w:val="2F5496"/>
      <w:sz w:val="28"/>
      <w:szCs w:val="28"/>
    </w:rPr>
  </w:style>
  <w:style w:type="paragraph" w:styleId="Heading4">
    <w:name w:val="heading 4"/>
    <w:basedOn w:val="Normal"/>
    <w:next w:val="Normal"/>
    <w:link w:val="Heading4Char"/>
    <w:qFormat/>
    <w:pPr>
      <w:keepNext w:val="true"/>
      <w:keepLines/>
      <w:spacing w:before="80" w:after="40"/>
      <w:outlineLvl w:val="3"/>
    </w:pPr>
    <w:rPr>
      <w:rFonts w:eastAsia="Calibri" w:cs="DejaVu Sans"/>
      <w:i/>
      <w:iCs/>
      <w:color w:themeColor="accent1" w:themeShade="bf" w:val="2F5496"/>
    </w:rPr>
  </w:style>
  <w:style w:type="paragraph" w:styleId="Heading5">
    <w:name w:val="heading 5"/>
    <w:basedOn w:val="Normal"/>
    <w:next w:val="Normal"/>
    <w:link w:val="Heading5Char"/>
    <w:qFormat/>
    <w:pPr>
      <w:keepNext w:val="true"/>
      <w:keepLines/>
      <w:spacing w:before="80" w:after="40"/>
      <w:outlineLvl w:val="4"/>
    </w:pPr>
    <w:rPr>
      <w:rFonts w:eastAsia="Calibri" w:cs="DejaVu Sans"/>
      <w:color w:themeColor="accent1" w:themeShade="bf" w:val="2F5496"/>
    </w:rPr>
  </w:style>
  <w:style w:type="paragraph" w:styleId="Heading6">
    <w:name w:val="heading 6"/>
    <w:basedOn w:val="Normal"/>
    <w:next w:val="Normal"/>
    <w:link w:val="Heading6Char"/>
    <w:qFormat/>
    <w:pPr>
      <w:keepNext w:val="true"/>
      <w:keepLines/>
      <w:spacing w:before="40" w:after="0"/>
      <w:outlineLvl w:val="5"/>
    </w:pPr>
    <w:rPr>
      <w:rFonts w:eastAsia="Calibri" w:cs="DejaVu Sans"/>
      <w:i/>
      <w:iCs/>
      <w:color w:themeColor="text1" w:themeTint="a6" w:val="595959"/>
    </w:rPr>
  </w:style>
  <w:style w:type="paragraph" w:styleId="Heading7">
    <w:name w:val="heading 7"/>
    <w:basedOn w:val="Normal"/>
    <w:next w:val="Normal"/>
    <w:link w:val="Heading7Char"/>
    <w:qFormat/>
    <w:pPr>
      <w:keepNext w:val="true"/>
      <w:keepLines/>
      <w:spacing w:before="40" w:after="0"/>
      <w:outlineLvl w:val="6"/>
    </w:pPr>
    <w:rPr>
      <w:rFonts w:eastAsia="Calibri" w:cs="DejaVu Sans"/>
      <w:color w:themeColor="text1" w:themeTint="a6" w:val="595959"/>
    </w:rPr>
  </w:style>
  <w:style w:type="paragraph" w:styleId="Heading8">
    <w:name w:val="heading 8"/>
    <w:basedOn w:val="Normal"/>
    <w:next w:val="Normal"/>
    <w:link w:val="Heading8Char"/>
    <w:qFormat/>
    <w:pPr>
      <w:keepNext w:val="true"/>
      <w:keepLines/>
      <w:spacing w:before="0" w:after="0"/>
      <w:outlineLvl w:val="7"/>
    </w:pPr>
    <w:rPr>
      <w:rFonts w:eastAsia="Calibri" w:cs="DejaVu Sans"/>
      <w:i/>
      <w:iCs/>
      <w:color w:themeColor="text1" w:themeTint="d8" w:val="272727"/>
    </w:rPr>
  </w:style>
  <w:style w:type="paragraph" w:styleId="Heading9">
    <w:name w:val="heading 9"/>
    <w:basedOn w:val="Normal"/>
    <w:next w:val="Normal"/>
    <w:link w:val="Heading9Char"/>
    <w:qFormat/>
    <w:pPr>
      <w:keepNext w:val="true"/>
      <w:keepLines/>
      <w:spacing w:before="0" w:after="0"/>
      <w:outlineLvl w:val="8"/>
    </w:pPr>
    <w:rPr>
      <w:rFonts w:eastAsia="Calibri" w:cs="DejaVu Sans"/>
      <w:color w:themeColor="text1" w:themeTint="d8" w:val="272727"/>
    </w:rPr>
  </w:style>
  <w:style w:type="character" w:styleId="DefaultParagraphFont">
    <w:name w:val="Default Paragraph Font"/>
    <w:qFormat/>
    <w:rPr/>
  </w:style>
  <w:style w:type="character" w:styleId="Heading1Char">
    <w:name w:val="Heading 1 Char"/>
    <w:basedOn w:val="DefaultParagraphFont"/>
    <w:link w:val="Heading1"/>
    <w:qFormat/>
    <w:rPr>
      <w:rFonts w:ascii="Calibri Light" w:hAnsi="Calibri Light" w:eastAsia="Calibri" w:cs="DejaVu Sans"/>
      <w:color w:themeColor="accent1" w:themeShade="bf" w:val="2F5496"/>
      <w:sz w:val="40"/>
      <w:szCs w:val="40"/>
    </w:rPr>
  </w:style>
  <w:style w:type="character" w:styleId="Heading2Char">
    <w:name w:val="Heading 2 Char"/>
    <w:basedOn w:val="DefaultParagraphFont"/>
    <w:link w:val="Heading2"/>
    <w:qFormat/>
    <w:rPr>
      <w:rFonts w:ascii="Calibri Light" w:hAnsi="Calibri Light" w:eastAsia="Calibri" w:cs="DejaVu Sans"/>
      <w:color w:themeColor="accent1" w:themeShade="bf" w:val="2F5496"/>
      <w:sz w:val="32"/>
      <w:szCs w:val="32"/>
    </w:rPr>
  </w:style>
  <w:style w:type="character" w:styleId="Heading3Char">
    <w:name w:val="Heading 3 Char"/>
    <w:basedOn w:val="DefaultParagraphFont"/>
    <w:link w:val="Heading3"/>
    <w:qFormat/>
    <w:rPr>
      <w:rFonts w:eastAsia="Calibri" w:cs="DejaVu Sans"/>
      <w:color w:themeColor="accent1" w:themeShade="bf" w:val="2F5496"/>
      <w:sz w:val="28"/>
      <w:szCs w:val="28"/>
    </w:rPr>
  </w:style>
  <w:style w:type="character" w:styleId="Heading4Char">
    <w:name w:val="Heading 4 Char"/>
    <w:basedOn w:val="DefaultParagraphFont"/>
    <w:link w:val="Heading4"/>
    <w:qFormat/>
    <w:rPr>
      <w:rFonts w:eastAsia="Calibri" w:cs="DejaVu Sans"/>
      <w:i/>
      <w:iCs/>
      <w:color w:themeColor="accent1" w:themeShade="bf" w:val="2F5496"/>
    </w:rPr>
  </w:style>
  <w:style w:type="character" w:styleId="Heading5Char">
    <w:name w:val="Heading 5 Char"/>
    <w:basedOn w:val="DefaultParagraphFont"/>
    <w:link w:val="Heading5"/>
    <w:qFormat/>
    <w:rPr>
      <w:rFonts w:eastAsia="Calibri" w:cs="DejaVu Sans"/>
      <w:color w:themeColor="accent1" w:themeShade="bf" w:val="2F5496"/>
    </w:rPr>
  </w:style>
  <w:style w:type="character" w:styleId="Heading6Char">
    <w:name w:val="Heading 6 Char"/>
    <w:basedOn w:val="DefaultParagraphFont"/>
    <w:link w:val="Heading6"/>
    <w:qFormat/>
    <w:rPr>
      <w:rFonts w:eastAsia="Calibri" w:cs="DejaVu Sans"/>
      <w:i/>
      <w:iCs/>
      <w:color w:themeColor="text1" w:themeTint="a6" w:val="595959"/>
    </w:rPr>
  </w:style>
  <w:style w:type="character" w:styleId="Heading7Char">
    <w:name w:val="Heading 7 Char"/>
    <w:basedOn w:val="DefaultParagraphFont"/>
    <w:link w:val="Heading7"/>
    <w:qFormat/>
    <w:rPr>
      <w:rFonts w:eastAsia="Calibri" w:cs="DejaVu Sans"/>
      <w:color w:themeColor="text1" w:themeTint="a6" w:val="595959"/>
    </w:rPr>
  </w:style>
  <w:style w:type="character" w:styleId="Heading8Char">
    <w:name w:val="Heading 8 Char"/>
    <w:basedOn w:val="DefaultParagraphFont"/>
    <w:link w:val="Heading8"/>
    <w:qFormat/>
    <w:rPr>
      <w:rFonts w:eastAsia="Calibri" w:cs="DejaVu Sans"/>
      <w:i/>
      <w:iCs/>
      <w:color w:themeColor="text1" w:themeTint="d8" w:val="272727"/>
    </w:rPr>
  </w:style>
  <w:style w:type="character" w:styleId="Heading9Char">
    <w:name w:val="Heading 9 Char"/>
    <w:basedOn w:val="DefaultParagraphFont"/>
    <w:link w:val="Heading9"/>
    <w:qFormat/>
    <w:rPr>
      <w:rFonts w:eastAsia="Calibri" w:cs="DejaVu Sans"/>
      <w:color w:themeColor="text1" w:themeTint="d8" w:val="272727"/>
    </w:rPr>
  </w:style>
  <w:style w:type="character" w:styleId="TitleChar">
    <w:name w:val="Title Char"/>
    <w:basedOn w:val="DefaultParagraphFont"/>
    <w:link w:val="Title"/>
    <w:qFormat/>
    <w:rPr>
      <w:rFonts w:ascii="Calibri Light" w:hAnsi="Calibri Light" w:eastAsia="Calibri" w:cs="DejaVu Sans"/>
      <w:spacing w:val="-10"/>
      <w:kern w:val="2"/>
      <w:sz w:val="56"/>
      <w:szCs w:val="56"/>
    </w:rPr>
  </w:style>
  <w:style w:type="character" w:styleId="SubtitleChar">
    <w:name w:val="Subtitle Char"/>
    <w:basedOn w:val="DefaultParagraphFont"/>
    <w:link w:val="Subtitle"/>
    <w:qFormat/>
    <w:rPr>
      <w:rFonts w:eastAsia="Calibri" w:cs="DejaVu Sans"/>
      <w:color w:themeColor="text1" w:themeTint="a6" w:val="595959"/>
      <w:spacing w:val="15"/>
      <w:sz w:val="28"/>
      <w:szCs w:val="28"/>
    </w:rPr>
  </w:style>
  <w:style w:type="character" w:styleId="QuoteChar">
    <w:name w:val="Quote Char"/>
    <w:basedOn w:val="DefaultParagraphFont"/>
    <w:link w:val="Quote"/>
    <w:qFormat/>
    <w:rPr>
      <w:i/>
      <w:iCs/>
      <w:color w:themeColor="text1" w:themeTint="bf" w:val="404040"/>
    </w:rPr>
  </w:style>
  <w:style w:type="character" w:styleId="IntenseEmphasis">
    <w:name w:val="Intense Emphasis"/>
    <w:basedOn w:val="DefaultParagraphFont"/>
    <w:qFormat/>
    <w:rPr>
      <w:i/>
      <w:iCs/>
      <w:color w:themeColor="accent1" w:themeShade="bf" w:val="2F5496"/>
    </w:rPr>
  </w:style>
  <w:style w:type="character" w:styleId="IntenseQuoteChar">
    <w:name w:val="Intense Quote Char"/>
    <w:basedOn w:val="DefaultParagraphFont"/>
    <w:link w:val="IntenseQuote"/>
    <w:qFormat/>
    <w:rPr>
      <w:i/>
      <w:iCs/>
      <w:color w:themeColor="accent1" w:themeShade="bf" w:val="2F5496"/>
    </w:rPr>
  </w:style>
  <w:style w:type="character" w:styleId="IntenseReference">
    <w:name w:val="Intense Reference"/>
    <w:basedOn w:val="DefaultParagraphFont"/>
    <w:qFormat/>
    <w:rPr>
      <w:b/>
      <w:bCs/>
      <w:smallCaps/>
      <w:color w:themeColor="accent1" w:themeShade="bf" w:val="2F5496"/>
      <w:spacing w:val="5"/>
    </w:rPr>
  </w:style>
  <w:style w:type="character" w:styleId="SourceText">
    <w:name w:val="Source Text"/>
    <w:qFormat/>
    <w:rPr>
      <w:rFonts w:ascii="Liberation Mono" w:hAnsi="Liberation Mono" w:eastAsia="Liberation Mono" w:cs="Liberation Mono"/>
    </w:rPr>
  </w:style>
  <w:style w:type="character" w:styleId="BodyTextChar">
    <w:name w:val="Body Text Char"/>
    <w:basedOn w:val="DefaultParagraphFont"/>
    <w:qFormat/>
    <w:rPr>
      <w:rFonts w:ascii="Calibri" w:hAnsi="Calibri" w:eastAsia="Calibri" w:cs="DejaVu Sans"/>
    </w:rPr>
  </w:style>
  <w:style w:type="character" w:styleId="HeaderChar">
    <w:name w:val="Header Char"/>
    <w:basedOn w:val="DefaultParagraphFont"/>
    <w:link w:val="Header"/>
    <w:qFormat/>
    <w:rPr>
      <w:rFonts w:ascii="Calibri" w:hAnsi="Calibri" w:eastAsia="Calibri" w:cs="DejaVu Sans"/>
    </w:rPr>
  </w:style>
  <w:style w:type="character" w:styleId="BodyTextChar1">
    <w:name w:val="Body Text Char1"/>
    <w:basedOn w:val="DefaultParagraphFont"/>
    <w:qFormat/>
    <w:rPr>
      <w:rFonts w:ascii="Calibri" w:hAnsi="Calibri" w:eastAsia="Calibri" w:cs="DejaVu Sans"/>
    </w:rPr>
  </w:style>
  <w:style w:type="character" w:styleId="HeaderChar1">
    <w:name w:val="Header Char1"/>
    <w:basedOn w:val="DefaultParagraphFont"/>
    <w:qFormat/>
    <w:rPr>
      <w:rFonts w:ascii="Calibri" w:hAnsi="Calibri" w:eastAsia="Calibri" w:cs="DejaVu San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link w:val="BodyTextChar"/>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qFormat/>
    <w:pPr>
      <w:spacing w:lineRule="auto" w:line="240" w:before="0" w:after="80"/>
      <w:contextualSpacing/>
    </w:pPr>
    <w:rPr>
      <w:rFonts w:ascii="Calibri Light" w:hAnsi="Calibri Light" w:eastAsia="Calibri" w:cs="DejaVu Sans"/>
      <w:spacing w:val="-10"/>
      <w:kern w:val="2"/>
      <w:sz w:val="56"/>
      <w:szCs w:val="56"/>
    </w:rPr>
  </w:style>
  <w:style w:type="paragraph" w:styleId="Subtitle">
    <w:name w:val="Subtitle"/>
    <w:basedOn w:val="Normal"/>
    <w:next w:val="Normal"/>
    <w:link w:val="SubtitleChar"/>
    <w:qFormat/>
    <w:pPr/>
    <w:rPr>
      <w:rFonts w:eastAsia="Calibri" w:cs="DejaVu Sans"/>
      <w:color w:themeColor="text1" w:themeTint="a6" w:val="595959"/>
      <w:spacing w:val="15"/>
      <w:sz w:val="28"/>
      <w:szCs w:val="28"/>
    </w:rPr>
  </w:style>
  <w:style w:type="paragraph" w:styleId="Quote">
    <w:name w:val="Quote"/>
    <w:basedOn w:val="Normal"/>
    <w:next w:val="Normal"/>
    <w:link w:val="QuoteChar"/>
    <w:qFormat/>
    <w:pPr>
      <w:spacing w:before="160" w:after="160"/>
      <w:jc w:val="center"/>
    </w:pPr>
    <w:rPr>
      <w:i/>
      <w:iCs/>
      <w:color w:themeColor="text1" w:themeTint="bf" w:val="404040"/>
    </w:rPr>
  </w:style>
  <w:style w:type="paragraph" w:styleId="ListParagraph">
    <w:name w:val="List Paragraph"/>
    <w:basedOn w:val="Normal"/>
    <w:qFormat/>
    <w:pPr>
      <w:spacing w:before="0" w:after="160"/>
      <w:ind w:left="720"/>
      <w:contextualSpacing/>
    </w:pPr>
    <w:rPr/>
  </w:style>
  <w:style w:type="paragraph" w:styleId="IntenseQuote">
    <w:name w:val="Intense Quote"/>
    <w:basedOn w:val="Normal"/>
    <w:next w:val="Normal"/>
    <w:link w:val="IntenseQuoteChar"/>
    <w:qFormat/>
    <w:pPr>
      <w:pBdr>
        <w:top w:val="single" w:sz="4" w:space="10" w:color="2F5496"/>
        <w:bottom w:val="single" w:sz="4" w:space="10" w:color="2F5496"/>
      </w:pBdr>
      <w:spacing w:before="360" w:after="360"/>
      <w:ind w:left="864" w:right="864"/>
      <w:jc w:val="center"/>
    </w:pPr>
    <w:rPr>
      <w:i/>
      <w:iCs/>
      <w:color w:themeColor="accent1" w:themeShade="bf" w:val="2F5496"/>
    </w:rPr>
  </w:style>
  <w:style w:type="paragraph" w:styleId="TableContents">
    <w:name w:val="Table Contents"/>
    <w:basedOn w:val="Normal"/>
    <w:qFormat/>
    <w:pPr>
      <w:widowControl w:val="false"/>
      <w:suppressLineNumbers/>
    </w:pPr>
    <w:rPr/>
  </w:style>
  <w:style w:type="paragraph" w:styleId="Rapportunderrubrik">
    <w:name w:val="Rapportunderrubrik"/>
    <w:basedOn w:val="Normal"/>
    <w:qFormat/>
    <w:pPr>
      <w:spacing w:lineRule="atLeast" w:line="360" w:before="360" w:after="0"/>
    </w:pPr>
    <w:rPr>
      <w:rFonts w:ascii="Georgia" w:hAnsi="Georgia" w:eastAsia="Times New Roman" w:cs="Times New Roman"/>
      <w:sz w:val="36"/>
      <w:szCs w:val="36"/>
      <w:lang w:val="sv-SE"/>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703" w:leader="none"/>
        <w:tab w:val="right" w:pos="9406" w:leader="none"/>
      </w:tabs>
      <w:spacing w:lineRule="auto" w:line="240" w:before="0" w:after="0"/>
    </w:pPr>
    <w:rPr/>
  </w:style>
  <w:style w:type="paragraph" w:styleId="Bibliography">
    <w:name w:val="Bibliography"/>
    <w:basedOn w:val="Normal"/>
    <w:next w:val="Normal"/>
    <w:qFormat/>
    <w:pPr>
      <w:tabs>
        <w:tab w:val="clear" w:pos="720"/>
        <w:tab w:val="left" w:pos="504" w:leader="none"/>
      </w:tabs>
      <w:spacing w:lineRule="auto" w:line="240" w:before="0" w:after="240"/>
      <w:ind w:hanging="504" w:left="504"/>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dit.niso.org/"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6992</TotalTime>
  <Application>LibreOffice/25.2.6.2$Linux_X86_64 LibreOffice_project/520$Build-2</Application>
  <AppVersion>15.0000</AppVersion>
  <Pages>15</Pages>
  <Words>3021</Words>
  <Characters>17548</Characters>
  <CharactersWithSpaces>20305</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2024-05-22T21:02:00Z</dcterms:created>
  <dc:creator>Kaspar Meili</dc:creator>
  <dc:description/>
  <dc:language>en-US</dc:language>
  <cp:lastModifiedBy>Kaspar Meili</cp:lastModifiedBy>
  <dcterms:modified xsi:type="dcterms:W3CDTF">2025-09-18T12:46:34Z</dcterms:modified>
  <cp:revision>124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id="mxMOl0fz"/&gt;&lt;style id="http://www.zotero.org/styles/plos" hasBibliography="1" bibliographyStyleHasBeenSet="1"/&gt;&lt;prefs&gt;&lt;pref name="fieldType" value="Field"/&gt;&lt;/prefs&gt;&lt;/data&gt;</vt:lpwstr>
  </property>
</Properties>
</file>