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 xml:space="preserve">Women survivors of female genital mutilation/ cutting: A collaborative process of engaging them as ambassadors of change in Hargeisa, Somaliland </w:t>
      </w:r>
    </w:p>
    <w:p>
      <w:pPr>
        <w:pStyle w:val="Heading2"/>
        <w:rPr/>
      </w:pPr>
      <w:r>
        <w:rPr/>
        <w:t>METADATA</w:t>
      </w:r>
    </w:p>
    <w:p>
      <w:pPr>
        <w:pStyle w:val="Normal"/>
        <w:rPr/>
      </w:pPr>
      <w:r>
        <w:rPr/>
      </w:r>
    </w:p>
    <w:tbl>
      <w:tblPr>
        <w:tblW w:w="5000" w:type="pct"/>
        <w:jc w:val="left"/>
        <w:tblInd w:w="-65" w:type="dxa"/>
        <w:tblLayout w:type="fixed"/>
        <w:tblCellMar>
          <w:top w:w="55" w:type="dxa"/>
          <w:left w:w="55" w:type="dxa"/>
          <w:bottom w:w="55" w:type="dxa"/>
          <w:right w:w="55" w:type="dxa"/>
        </w:tblCellMar>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 xml:space="preserve">Beth Maina Ahlberga </w:t>
            </w:r>
            <w:r>
              <w:rPr>
                <w:rFonts w:cs="Open Sans" w:ascii="Open Sans" w:hAnsi="Open Sans"/>
                <w:color w:themeColor="dark1" w:val="000000"/>
                <w:sz w:val="24"/>
                <w:szCs w:val="32"/>
                <w:lang w:val="es-ES"/>
              </w:rPr>
              <w:t>s</w:t>
            </w:r>
            <w:r>
              <w:rPr>
                <w:rFonts w:cs="Open Sans" w:ascii="Open Sans" w:hAnsi="Open Sans"/>
                <w:color w:themeColor="dark1" w:val="000000"/>
                <w:sz w:val="24"/>
                <w:szCs w:val="32"/>
                <w:lang w:val="es-ES"/>
              </w:rPr>
              <w:t>Warsamed</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a</w:t>
            </w:r>
            <w:r>
              <w:rPr/>
              <w:t>*</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a</w:t>
            </w:r>
            <w:r>
              <w:rPr/>
              <w:t>,</w:t>
            </w:r>
            <w:r>
              <w:rPr/>
              <w:t>b</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b</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65" w:type="dxa"/>
        <w:tblLayout w:type="fixed"/>
        <w:tblCellMar>
          <w:top w:w="55" w:type="dxa"/>
          <w:left w:w="55" w:type="dxa"/>
          <w:bottom w:w="55" w:type="dxa"/>
          <w:right w:w="55" w:type="dxa"/>
        </w:tblCellMar>
      </w:tblPr>
      <w:tblGrid>
        <w:gridCol w:w="5102"/>
        <w:gridCol w:w="5102"/>
      </w:tblGrid>
      <w:tr>
        <w:trPr/>
        <w:tc>
          <w:tcPr>
            <w:tcW w:w="5102"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a</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b</w:t>
            </w:r>
          </w:p>
        </w:tc>
      </w:tr>
    </w:tbl>
    <w:p>
      <w:pPr>
        <w:pStyle w:val="Normal"/>
        <w:rPr>
          <w:b/>
          <w:bCs/>
        </w:rPr>
      </w:pPr>
      <w:r>
        <w:rPr>
          <w:b/>
          <w:bCs/>
        </w:rPr>
      </w:r>
    </w:p>
    <w:tbl>
      <w:tblPr>
        <w:tblW w:w="5000" w:type="pct"/>
        <w:jc w:val="left"/>
        <w:tblInd w:w="-65" w:type="dxa"/>
        <w:tblLayout w:type="fixed"/>
        <w:tblCellMar>
          <w:top w:w="55" w:type="dxa"/>
          <w:left w:w="55" w:type="dxa"/>
          <w:bottom w:w="55" w:type="dxa"/>
          <w:right w:w="55" w:type="dxa"/>
        </w:tblCellMar>
      </w:tblPr>
      <w:tblGrid>
        <w:gridCol w:w="5102"/>
        <w:gridCol w:w="5102"/>
      </w:tblGrid>
      <w:tr>
        <w:trPr/>
        <w:tc>
          <w:tcPr>
            <w:tcW w:w="5102"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65" w:type="dxa"/>
        <w:tblLayout w:type="fixed"/>
        <w:tblCellMar>
          <w:top w:w="55" w:type="dxa"/>
          <w:left w:w="55" w:type="dxa"/>
          <w:bottom w:w="55" w:type="dxa"/>
          <w:right w:w="55" w:type="dxa"/>
        </w:tblCellMar>
      </w:tblPr>
      <w:tblGrid>
        <w:gridCol w:w="5102"/>
        <w:gridCol w:w="5102"/>
      </w:tblGrid>
      <w:tr>
        <w:trPr/>
        <w:tc>
          <w:tcPr>
            <w:tcW w:w="5102"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2"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108" w:type="dxa"/>
        <w:tblLayout w:type="fixed"/>
        <w:tblCellMar>
          <w:top w:w="0" w:type="dxa"/>
          <w:left w:w="108" w:type="dxa"/>
          <w:bottom w:w="0" w:type="dxa"/>
          <w:right w:w="108" w:type="dxa"/>
        </w:tblCellMar>
      </w:tblPr>
      <w:tblGrid>
        <w:gridCol w:w="3089"/>
        <w:gridCol w:w="1643"/>
      </w:tblGrid>
      <w:tr>
        <w:trPr/>
        <w:tc>
          <w:tcPr>
            <w:tcW w:w="3089" w:type="dxa"/>
            <w:tcBorders>
              <w:top w:val="single" w:sz="4" w:space="0" w:color="000000"/>
              <w:bottom w:val="single" w:sz="4" w:space="0" w:color="000000"/>
            </w:tcBorders>
            <w:shd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3" w:type="dxa"/>
            <w:tcBorders>
              <w:top w:val="single" w:sz="4" w:space="0" w:color="000000"/>
              <w:bottom w:val="single" w:sz="4" w:space="0" w:color="000000"/>
            </w:tcBorders>
            <w:shd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3"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b w:val="false"/>
                <w:bCs w:val="false"/>
                <w:kern w:val="0"/>
                <w:sz w:val="18"/>
                <w:szCs w:val="18"/>
              </w:rPr>
              <w:t>* Men</w:t>
            </w:r>
            <w:r>
              <w:rPr>
                <w:rFonts w:cs="Open Sans" w:ascii="Open Sans" w:hAnsi="Open Sans"/>
                <w:b/>
                <w:kern w:val="0"/>
                <w:sz w:val="18"/>
                <w:szCs w:val="18"/>
              </w:rPr>
              <w: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Women✓</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A subset of Commonmark markdown, including markdown lists are supported</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**To achieve intendation**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⠀At the beginning of the line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⠀use a braille blank unicode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⠀Character</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43"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3"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3"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b/>
                <w:sz w:val="18"/>
                <w:szCs w:val="18"/>
              </w:rPr>
            </w:pPr>
            <w:r>
              <w:rPr>
                <w:rFonts w:cs="Open Sans" w:ascii="Open Sans" w:hAnsi="Open Sans"/>
                <w:b/>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Concession</w:t>
            </w:r>
          </w:p>
          <w:p>
            <w:pPr>
              <w:pStyle w:val="Normal"/>
              <w:spacing w:lineRule="auto" w:line="240" w:before="0" w:after="0"/>
              <w:rPr>
                <w:rFonts w:ascii="Open Sans" w:hAnsi="Open Sans" w:cs="Open Sans"/>
                <w:sz w:val="18"/>
                <w:szCs w:val="18"/>
              </w:rPr>
            </w:pPr>
            <w:r>
              <w:rPr>
                <w:rFonts w:cs="Open Sans" w:ascii="Open Sans" w:hAnsi="Open Sans"/>
                <w:sz w:val="18"/>
                <w:szCs w:val="18"/>
              </w:rPr>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3"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3"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3"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[60,40],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default" r:id="rId3"/>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Pr>
      <w:tblGrid>
        <w:gridCol w:w="3831"/>
        <w:gridCol w:w="1686"/>
        <w:gridCol w:w="1847"/>
        <w:gridCol w:w="2407"/>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Pr>
      <w:tblGrid>
        <w:gridCol w:w="3831"/>
        <w:gridCol w:w="1686"/>
        <w:gridCol w:w="1847"/>
        <w:gridCol w:w="2407"/>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rFonts w:ascii="Times New Roman" w:hAnsi="Times New Roman" w:eastAsia="Times New Roman" w:cs="Times New Roman"/>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default" r:id="rId4"/>
      <w:headerReference w:type="first" r:id="rId5"/>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2"/>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Calibri Light" w:hAnsi="Calibri Light" w:eastAsia="Calibri" w:cs="DejaVu Sans"/>
      <w:color w:themeColor="accent1" w:themeShade="bf" w:val="2F5496"/>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Calibri Light" w:hAnsi="Calibri Light" w:eastAsia="Calibri" w:cs="DejaVu Sans"/>
      <w:color w:themeColor="accent1" w:themeShade="bf" w:val="2F5496"/>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Calibri" w:cs="DejaVu Sans"/>
      <w:color w:themeColor="accent1" w:themeShade="bf" w:val="2F5496"/>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Calibri" w:cs="DejaVu Sans"/>
      <w:i/>
      <w:iCs/>
      <w:color w:themeColor="accent1" w:themeShade="bf" w:val="2F5496"/>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Calibri" w:cs="DejaVu Sans"/>
      <w:color w:themeColor="accent1" w:themeShade="bf" w:val="2F5496"/>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Calibri"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Calibri"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Calibri"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Calibri"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DejaVu Sans"/>
      <w:color w:themeColor="accent1" w:themeShade="bf" w:val="2F5496"/>
      <w:sz w:val="32"/>
      <w:szCs w:val="32"/>
    </w:rPr>
  </w:style>
  <w:style w:type="character" w:styleId="Heading3Char">
    <w:name w:val="Heading 3 Char"/>
    <w:basedOn w:val="DefaultParagraphFont"/>
    <w:link w:val="Heading3"/>
    <w:qFormat/>
    <w:rPr>
      <w:rFonts w:eastAsia="Calibri" w:cs="DejaVu Sans"/>
      <w:color w:themeColor="accent1" w:themeShade="bf" w:val="2F5496"/>
      <w:sz w:val="28"/>
      <w:szCs w:val="28"/>
    </w:rPr>
  </w:style>
  <w:style w:type="character" w:styleId="Heading4Char">
    <w:name w:val="Heading 4 Char"/>
    <w:basedOn w:val="DefaultParagraphFont"/>
    <w:link w:val="Heading4"/>
    <w:qFormat/>
    <w:rPr>
      <w:rFonts w:eastAsia="Calibri" w:cs="DejaVu Sans"/>
      <w:i/>
      <w:iCs/>
      <w:color w:themeColor="accent1" w:themeShade="bf" w:val="2F5496"/>
    </w:rPr>
  </w:style>
  <w:style w:type="character" w:styleId="Heading5Char">
    <w:name w:val="Heading 5 Char"/>
    <w:basedOn w:val="DefaultParagraphFont"/>
    <w:link w:val="Heading5"/>
    <w:qFormat/>
    <w:rPr>
      <w:rFonts w:eastAsia="Calibri" w:cs="DejaVu Sans"/>
      <w:color w:themeColor="accent1" w:themeShade="bf" w:val="2F5496"/>
    </w:rPr>
  </w:style>
  <w:style w:type="character" w:styleId="Heading6Char">
    <w:name w:val="Heading 6 Char"/>
    <w:basedOn w:val="DefaultParagraphFont"/>
    <w:link w:val="Heading6"/>
    <w:qFormat/>
    <w:rPr>
      <w:rFonts w:eastAsia="Calibri" w:cs="DejaVu Sans"/>
      <w:i/>
      <w:iCs/>
      <w:color w:themeColor="dark1" w:themeTint="a6" w:val="595959"/>
    </w:rPr>
  </w:style>
  <w:style w:type="character" w:styleId="Heading7Char">
    <w:name w:val="Heading 7 Char"/>
    <w:basedOn w:val="DefaultParagraphFont"/>
    <w:link w:val="Heading7"/>
    <w:qFormat/>
    <w:rPr>
      <w:rFonts w:eastAsia="Calibri" w:cs="DejaVu Sans"/>
      <w:color w:themeColor="dark1" w:themeTint="a6" w:val="595959"/>
    </w:rPr>
  </w:style>
  <w:style w:type="character" w:styleId="Heading8Char">
    <w:name w:val="Heading 8 Char"/>
    <w:basedOn w:val="DefaultParagraphFont"/>
    <w:link w:val="Heading8"/>
    <w:qFormat/>
    <w:rPr>
      <w:rFonts w:eastAsia="Calibri" w:cs="DejaVu Sans"/>
      <w:i/>
      <w:iCs/>
      <w:color w:themeColor="dark1" w:themeTint="d8" w:val="272727"/>
    </w:rPr>
  </w:style>
  <w:style w:type="character" w:styleId="Heading9Char">
    <w:name w:val="Heading 9 Char"/>
    <w:basedOn w:val="DefaultParagraphFont"/>
    <w:link w:val="Heading9"/>
    <w:qFormat/>
    <w:rPr>
      <w:rFonts w:eastAsia="Calibri" w:cs="DejaVu Sans"/>
      <w:color w:themeColor="dark1" w:themeTint="d8" w:val="272727"/>
    </w:rPr>
  </w:style>
  <w:style w:type="character" w:styleId="TitleChar">
    <w:name w:val="Title Char"/>
    <w:basedOn w:val="DefaultParagraphFont"/>
    <w:link w:val="Title"/>
    <w:qFormat/>
    <w:rPr>
      <w:rFonts w:ascii="Calibri Light" w:hAnsi="Calibri Light" w:eastAsia="Calibri" w:cs="DejaVu Sans"/>
      <w:spacing w:val="-10"/>
      <w:kern w:val="2"/>
      <w:sz w:val="56"/>
      <w:szCs w:val="56"/>
    </w:rPr>
  </w:style>
  <w:style w:type="character" w:styleId="SubtitleChar">
    <w:name w:val="Subtitle Char"/>
    <w:basedOn w:val="DefaultParagraphFont"/>
    <w:link w:val="Subtitle"/>
    <w:qFormat/>
    <w:rPr>
      <w:rFonts w:eastAsia="Calibri" w:cs="DejaVu Sans"/>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SourceText">
    <w:name w:val="Source Text"/>
    <w:qFormat/>
    <w:rPr>
      <w:rFonts w:ascii="Liberation Mono" w:hAnsi="Liberation Mono" w:eastAsia="Liberation Mono" w:cs="Liberation Mono"/>
    </w:rPr>
  </w:style>
  <w:style w:type="character" w:styleId="BodyTextChar">
    <w:name w:val="Body Text Char"/>
    <w:basedOn w:val="DefaultParagraphFont"/>
    <w:qFormat/>
    <w:rPr>
      <w:rFonts w:ascii="Calibri" w:hAnsi="Calibri" w:eastAsia="Calibri" w:cs="DejaVu Sans"/>
    </w:rPr>
  </w:style>
  <w:style w:type="character" w:styleId="HeaderChar">
    <w:name w:val="Header Char"/>
    <w:basedOn w:val="DefaultParagraphFont"/>
    <w:link w:val="Header"/>
    <w:qFormat/>
    <w:rPr>
      <w:rFonts w:ascii="Calibri" w:hAnsi="Calibri" w:eastAsia="Calibri" w:cs="DejaVu Sans"/>
    </w:rPr>
  </w:style>
  <w:style w:type="character" w:styleId="BodyTextChar1">
    <w:name w:val="Body Text Char1"/>
    <w:basedOn w:val="DefaultParagraphFont"/>
    <w:qFormat/>
    <w:rPr>
      <w:rFonts w:ascii="Calibri" w:hAnsi="Calibri" w:eastAsia="Calibri" w:cs="DejaVu Sans"/>
    </w:rPr>
  </w:style>
  <w:style w:type="character" w:styleId="HeaderChar1">
    <w:name w:val="Header Char1"/>
    <w:basedOn w:val="DefaultParagraphFont"/>
    <w:qFormat/>
    <w:rPr>
      <w:rFonts w:ascii="Calibri" w:hAnsi="Calibri" w:eastAsia="Calibri" w:cs="DejaVu San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Calibri Light" w:hAnsi="Calibri Light" w:eastAsia="Calibri" w:cs="DejaVu Sans"/>
      <w:spacing w:val="-10"/>
      <w:kern w:val="2"/>
      <w:sz w:val="56"/>
      <w:szCs w:val="56"/>
    </w:rPr>
  </w:style>
  <w:style w:type="paragraph" w:styleId="Subtitle">
    <w:name w:val="Subtitle"/>
    <w:basedOn w:val="Normal"/>
    <w:next w:val="Normal"/>
    <w:link w:val="SubtitleChar"/>
    <w:qFormat/>
    <w:pPr/>
    <w:rPr>
      <w:rFonts w:eastAsia="Calibri"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2F5496"/>
        <w:bottom w:val="single" w:sz="4" w:space="10" w:color="2F5496"/>
      </w:pBdr>
      <w:spacing w:before="360" w:after="360"/>
      <w:ind w:left="864" w:right="864"/>
      <w:jc w:val="center"/>
    </w:pPr>
    <w:rPr>
      <w:i/>
      <w:iCs/>
      <w:color w:themeColor="accent1" w:themeShade="bf" w:val="2F5496"/>
    </w:rPr>
  </w:style>
  <w:style w:type="paragraph" w:styleId="TableContents">
    <w:name w:val="Table Contents"/>
    <w:basedOn w:val="Normal"/>
    <w:qFormat/>
    <w:pPr>
      <w:widowControl w:val="false"/>
      <w:suppressLineNumbers/>
    </w:pPr>
    <w:rPr/>
  </w:style>
  <w:style w:type="paragraph" w:styleId="Rapportunderrubrik">
    <w:name w:val="Rapportunderrubrik"/>
    <w:basedOn w:val="Normal"/>
    <w:qFormat/>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qFormat/>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6892</TotalTime>
  <Application>LibreOffice/25.2.5.2$Linux_X86_64 LibreOffice_project/520$Build-2</Application>
  <AppVersion>15.0000</AppVersion>
  <Pages>15</Pages>
  <Words>2999</Words>
  <Characters>17338</Characters>
  <CharactersWithSpaces>20083</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2025-09-08T22:53:13Z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