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" w:cs="Roboto" w:eastAsia="Roboto" w:hAnsi="Roboto"/>
          <w:b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4 September 2025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{{full_salutation}}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b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salutation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}}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I am writing to brief you on the </w:t>
      </w: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CARE Index 2025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- critical new research that directly impacts your constituents and presents immediate policy opportunities.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The Challenge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</w:t>
        <w:br w:type="textWrapping"/>
        <w:t xml:space="preserve">The CARE Index 2025 (Caregiving and Ageing Readiness Evaluation) is Australia's first comprehensive assessment of our national preparedness for a rapidly ageing population. This landmark study commissioned by Violet reveals a critical finding: Australia scored just 23.1 out of 100 across five key pressure points - preparedness, planning, emotional toll, relationship strain, and competing demands. We are dangerously underprepared for what lies ahead.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Why This Matters </w:t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This result directly impacts your constituents and presents immediate policy opportunities.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{{percentage_electorate}} of your constituents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 are "Sandwich Generation" voters managing competing care responsibilities for elderly parents and their own children 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while attempting to remain in the workforce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6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88% feel unprepared and overwhelmed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by current or anticipated caregiving demands.</w:t>
        <w:br w:type="textWrapping"/>
      </w:r>
      <w:r w:rsidDel="00000000" w:rsidR="00000000" w:rsidRPr="00000000">
        <w:rPr>
          <w:rFonts w:ascii="Roboto" w:cs="Roboto" w:eastAsia="Roboto" w:hAnsi="Roboto"/>
          <w:i w:val="1"/>
          <w:sz w:val="18"/>
          <w:szCs w:val="18"/>
          <w:rtl w:val="0"/>
        </w:rPr>
        <w:t xml:space="preserve">Submissions from your constituents have been provided in this package.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6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Almost 60% of Australians are already caring or will be within a decade,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with two-thirds being women who face a 42% lifetime earnings gap while performing the equivalent of a 31.7 hour unpaid second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6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$6+ billion annual economic impact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 from inappropriate care settings, preventable hospitalisations and low-value care due to inadequate planning, guidance and family support.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6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Mental health crisis among family caregivers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 is creating workplace absence, relationship breakdown, and financial hardship, affecting hundreds of thousands of voters.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Why Act Now</w:t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Australia will experience a 400% increase in people reaching 85 years by 2031. We have proven solutions ready for immediate implementation through existing infrastructure like the Carer Gateway (over $1 billion invested) and Violet’s technology-enabled platform already serving 30,000+ Australians.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The Opportunity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</w:t>
        <w:br w:type="textWrapping"/>
        <w:t xml:space="preserve">This research provides you with media-ready solutions for high-priority constituent concerns, evidence-based policy frameworks, and the first comprehensive national data on Australia's fastest-growing voter issue.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I would welcome the opportunity to brief you further on how the CARE Index findings can support your advocacy for constituents facing these challenges.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b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sz w:val="18"/>
          <w:szCs w:val="18"/>
          <w:rtl w:val="0"/>
        </w:rPr>
        <w:t xml:space="preserve">Yours sincerely,</w:t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Kate Carnell AO</w:t>
        <w:br w:type="textWrapping"/>
        <w:t xml:space="preserve">Chair, Violet</w:t>
      </w:r>
      <w:r w:rsidDel="00000000" w:rsidR="00000000" w:rsidRPr="00000000">
        <w:rPr>
          <w:rFonts w:ascii="Roboto" w:cs="Roboto" w:eastAsia="Roboto" w:hAnsi="Roboto"/>
          <w:i w:val="1"/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.0000000000002" w:top="1417.3228346456694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i w:val="1"/>
        <w:sz w:val="16"/>
        <w:szCs w:val="16"/>
        <w:rtl w:val="0"/>
      </w:rPr>
      <w:t xml:space="preserve">Attachment: Campaign submissions, CARE Index 2025 Executive Summary, Violet briefing note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4724400</wp:posOffset>
          </wp:positionH>
          <wp:positionV relativeFrom="paragraph">
            <wp:posOffset>-28574</wp:posOffset>
          </wp:positionV>
          <wp:extent cx="1147763" cy="42133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7763" cy="42133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