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и отработать уже имеющиеся навыки по работе с редактором emacs.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редактор emacs, поскольку изначально он не был установлен в системе (рис. 1).</w:t>
      </w:r>
    </w:p>
    <w:p>
      <w:pPr>
        <w:pStyle w:val="CaptionedFigure"/>
      </w:pPr>
      <w:r>
        <w:drawing>
          <wp:inline>
            <wp:extent cx="3744227" cy="962526"/>
            <wp:effectExtent b="0" l="0" r="0" t="0"/>
            <wp:docPr descr="Установка редактора" title="" id="23" name="Picture"/>
            <a:graphic>
              <a:graphicData uri="http://schemas.openxmlformats.org/drawingml/2006/picture">
                <pic:pic>
                  <pic:nvPicPr>
                    <pic:cNvPr descr="image/1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редактора</w:t>
      </w:r>
    </w:p>
    <w:p>
      <w:pPr>
        <w:pStyle w:val="BodyText"/>
      </w:pPr>
      <w:r>
        <w:t xml:space="preserve">Создадим файл lab07.sh (рис. 2).</w:t>
      </w:r>
    </w:p>
    <w:p>
      <w:pPr>
        <w:pStyle w:val="CaptionedFigure"/>
      </w:pPr>
      <w:r>
        <w:drawing>
          <wp:inline>
            <wp:extent cx="2127183" cy="529389"/>
            <wp:effectExtent b="0" l="0" r="0" t="0"/>
            <wp:docPr descr="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1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83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Вставим в него необходимый текст (рис. 3).</w:t>
      </w:r>
    </w:p>
    <w:p>
      <w:pPr>
        <w:pStyle w:val="CaptionedFigure"/>
      </w:pPr>
      <w:r>
        <w:drawing>
          <wp:inline>
            <wp:extent cx="1886551" cy="2675823"/>
            <wp:effectExtent b="0" l="0" r="0" t="0"/>
            <wp:docPr descr="Вставленный текст" title="" id="29" name="Picture"/>
            <a:graphic>
              <a:graphicData uri="http://schemas.openxmlformats.org/drawingml/2006/picture">
                <pic:pic>
                  <pic:nvPicPr>
                    <pic:cNvPr descr="image/1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51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Вставленный текст</w:t>
      </w:r>
    </w:p>
    <w:p>
      <w:pPr>
        <w:pStyle w:val="BodyText"/>
      </w:pPr>
      <w:r>
        <w:t xml:space="preserve">Проделанные действия: вырезать строку, вставить строку, выделить область текста, вставить выделенную область текста, отменить последнее действие (рис. 4),(рис. 5),(рис. 6),(рис. 7).</w:t>
      </w:r>
    </w:p>
    <w:p>
      <w:pPr>
        <w:pStyle w:val="CaptionedFigure"/>
      </w:pPr>
      <w:r>
        <w:drawing>
          <wp:inline>
            <wp:extent cx="1626669" cy="1645920"/>
            <wp:effectExtent b="0" l="0" r="0" t="0"/>
            <wp:docPr descr="Вырезать строку" title="" id="32" name="Picture"/>
            <a:graphic>
              <a:graphicData uri="http://schemas.openxmlformats.org/drawingml/2006/picture">
                <pic:pic>
                  <pic:nvPicPr>
                    <pic:cNvPr descr="image/11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69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Вырезать строку</w:t>
      </w:r>
    </w:p>
    <w:p>
      <w:pPr>
        <w:pStyle w:val="CaptionedFigure"/>
      </w:pPr>
      <w:r>
        <w:drawing>
          <wp:inline>
            <wp:extent cx="1703671" cy="1828800"/>
            <wp:effectExtent b="0" l="0" r="0" t="0"/>
            <wp:docPr descr="Вставить строку" title="" id="35" name="Picture"/>
            <a:graphic>
              <a:graphicData uri="http://schemas.openxmlformats.org/drawingml/2006/picture">
                <pic:pic>
                  <pic:nvPicPr>
                    <pic:cNvPr descr="image/11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Вставить строку</w:t>
      </w:r>
    </w:p>
    <w:p>
      <w:pPr>
        <w:pStyle w:val="CaptionedFigure"/>
      </w:pPr>
      <w:r>
        <w:drawing>
          <wp:inline>
            <wp:extent cx="5245768" cy="1809549"/>
            <wp:effectExtent b="0" l="0" r="0" t="0"/>
            <wp:docPr descr="Выделить область текста" title="" id="38" name="Picture"/>
            <a:graphic>
              <a:graphicData uri="http://schemas.openxmlformats.org/drawingml/2006/picture">
                <pic:pic>
                  <pic:nvPicPr>
                    <pic:cNvPr descr="image/11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Выделить область текста</w:t>
      </w:r>
    </w:p>
    <w:p>
      <w:pPr>
        <w:pStyle w:val="CaptionedFigure"/>
      </w:pPr>
      <w:r>
        <w:drawing>
          <wp:inline>
            <wp:extent cx="1944303" cy="2646947"/>
            <wp:effectExtent b="0" l="0" r="0" t="0"/>
            <wp:docPr descr="Вставить выделенную область текста" title="" id="41" name="Picture"/>
            <a:graphic>
              <a:graphicData uri="http://schemas.openxmlformats.org/drawingml/2006/picture">
                <pic:pic>
                  <pic:nvPicPr>
                    <pic:cNvPr descr="image/11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Вставить выделенную область текста</w:t>
      </w:r>
    </w:p>
    <w:p>
      <w:pPr>
        <w:pStyle w:val="BodyText"/>
      </w:pPr>
      <w:r>
        <w:t xml:space="preserve">Вывод списка активных буферов на экран (рис. 8).</w:t>
      </w:r>
    </w:p>
    <w:p>
      <w:pPr>
        <w:pStyle w:val="CaptionedFigure"/>
      </w:pPr>
      <w:r>
        <w:drawing>
          <wp:inline>
            <wp:extent cx="5334000" cy="3562089"/>
            <wp:effectExtent b="0" l="0" r="0" t="0"/>
            <wp:docPr descr="Доступные буферы" title="" id="44" name="Picture"/>
            <a:graphic>
              <a:graphicData uri="http://schemas.openxmlformats.org/drawingml/2006/picture">
                <pic:pic>
                  <pic:nvPicPr>
                    <pic:cNvPr descr="image/11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Доступные буферы</w:t>
      </w:r>
    </w:p>
    <w:p>
      <w:pPr>
        <w:pStyle w:val="BodyText"/>
      </w:pPr>
      <w:r>
        <w:t xml:space="preserve">Перемещение между буферами без открытия меню (рис. 9).</w:t>
      </w:r>
    </w:p>
    <w:p>
      <w:pPr>
        <w:pStyle w:val="CaptionedFigure"/>
      </w:pPr>
      <w:r>
        <w:drawing>
          <wp:inline>
            <wp:extent cx="3426593" cy="413886"/>
            <wp:effectExtent b="0" l="0" r="0" t="0"/>
            <wp:docPr descr="Перемещение между буферами в строке" title="" id="47" name="Picture"/>
            <a:graphic>
              <a:graphicData uri="http://schemas.openxmlformats.org/drawingml/2006/picture">
                <pic:pic>
                  <pic:nvPicPr>
                    <pic:cNvPr descr="image/11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между буферами в строке</w:t>
      </w:r>
    </w:p>
    <w:p>
      <w:pPr>
        <w:pStyle w:val="BodyText"/>
      </w:pPr>
      <w:r>
        <w:t xml:space="preserve">Организация 4-х буферов на экране (рис. 10).</w:t>
      </w:r>
    </w:p>
    <w:p>
      <w:pPr>
        <w:pStyle w:val="CaptionedFigure"/>
      </w:pPr>
      <w:r>
        <w:drawing>
          <wp:inline>
            <wp:extent cx="5334000" cy="7633137"/>
            <wp:effectExtent b="0" l="0" r="0" t="0"/>
            <wp:docPr descr="4 буфера" title="" id="50" name="Picture"/>
            <a:graphic>
              <a:graphicData uri="http://schemas.openxmlformats.org/drawingml/2006/picture">
                <pic:pic>
                  <pic:nvPicPr>
                    <pic:cNvPr descr="image/11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4 буфера</w:t>
      </w:r>
    </w:p>
    <w:p>
      <w:pPr>
        <w:pStyle w:val="BodyText"/>
      </w:pPr>
      <w:r>
        <w:t xml:space="preserve">Созданные новые файлы в каждом из буферов (рис. 11).</w:t>
      </w:r>
    </w:p>
    <w:p>
      <w:pPr>
        <w:pStyle w:val="CaptionedFigure"/>
      </w:pPr>
      <w:r>
        <w:drawing>
          <wp:inline>
            <wp:extent cx="5334000" cy="7730569"/>
            <wp:effectExtent b="0" l="0" r="0" t="0"/>
            <wp:docPr descr="Новые файлы в буферах" title="" id="53" name="Picture"/>
            <a:graphic>
              <a:graphicData uri="http://schemas.openxmlformats.org/drawingml/2006/picture">
                <pic:pic>
                  <pic:nvPicPr>
                    <pic:cNvPr descr="image/11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Новые файлы в буферах</w:t>
      </w:r>
    </w:p>
    <w:p>
      <w:pPr>
        <w:pStyle w:val="BodyText"/>
      </w:pPr>
      <w:r>
        <w:t xml:space="preserve">Случайный текст в каждом из новых файлов (рис. 12).</w:t>
      </w:r>
    </w:p>
    <w:p>
      <w:pPr>
        <w:pStyle w:val="CaptionedFigure"/>
      </w:pPr>
      <w:r>
        <w:drawing>
          <wp:inline>
            <wp:extent cx="5334000" cy="7653130"/>
            <wp:effectExtent b="0" l="0" r="0" t="0"/>
            <wp:docPr descr="Текст в буферах" title="" id="56" name="Picture"/>
            <a:graphic>
              <a:graphicData uri="http://schemas.openxmlformats.org/drawingml/2006/picture">
                <pic:pic>
                  <pic:nvPicPr>
                    <pic:cNvPr descr="image/11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в буферах</w:t>
      </w:r>
    </w:p>
    <w:p>
      <w:pPr>
        <w:pStyle w:val="BodyText"/>
      </w:pPr>
      <w:r>
        <w:t xml:space="preserve">Поиск текста (рис. 13).</w:t>
      </w:r>
    </w:p>
    <w:p>
      <w:pPr>
        <w:pStyle w:val="CaptionedFigure"/>
      </w:pPr>
      <w:r>
        <w:drawing>
          <wp:inline>
            <wp:extent cx="981776" cy="933650"/>
            <wp:effectExtent b="0" l="0" r="0" t="0"/>
            <wp:docPr descr="Поиск по файлу" title="" id="59" name="Picture"/>
            <a:graphic>
              <a:graphicData uri="http://schemas.openxmlformats.org/drawingml/2006/picture">
                <pic:pic>
                  <pic:nvPicPr>
                    <pic:cNvPr descr="image/11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76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Поиск по файлу</w:t>
      </w:r>
    </w:p>
    <w:p>
      <w:pPr>
        <w:pStyle w:val="BodyText"/>
      </w:pPr>
      <w:r>
        <w:t xml:space="preserve">Поиск текста при замене (рис. 14).</w:t>
      </w:r>
    </w:p>
    <w:p>
      <w:pPr>
        <w:pStyle w:val="CaptionedFigure"/>
      </w:pPr>
      <w:r>
        <w:drawing>
          <wp:inline>
            <wp:extent cx="2791326" cy="3734602"/>
            <wp:effectExtent b="0" l="0" r="0" t="0"/>
            <wp:docPr descr="Поиск при замене" title="" id="62" name="Picture"/>
            <a:graphic>
              <a:graphicData uri="http://schemas.openxmlformats.org/drawingml/2006/picture">
                <pic:pic>
                  <pic:nvPicPr>
                    <pic:cNvPr descr="image/11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Поиск при замене</w:t>
      </w:r>
    </w:p>
    <w:p>
      <w:pPr>
        <w:pStyle w:val="BodyText"/>
      </w:pPr>
      <w:r>
        <w:t xml:space="preserve">Замена текста (рис. 15).</w:t>
      </w:r>
    </w:p>
    <w:p>
      <w:pPr>
        <w:pStyle w:val="CaptionedFigure"/>
      </w:pPr>
      <w:r>
        <w:drawing>
          <wp:inline>
            <wp:extent cx="2849077" cy="3339966"/>
            <wp:effectExtent b="0" l="0" r="0" t="0"/>
            <wp:docPr descr="Результат замены" title="" id="65" name="Picture"/>
            <a:graphic>
              <a:graphicData uri="http://schemas.openxmlformats.org/drawingml/2006/picture">
                <pic:pic>
                  <pic:nvPicPr>
                    <pic:cNvPr descr="image/11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 замены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новые и отработали уже имеющиеся навыки работы с редактором emacs</w:t>
      </w:r>
    </w:p>
    <w:bookmarkEnd w:id="68"/>
    <w:bookmarkStart w:id="69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Emacs - это мощный текстовый редактор, разработанный Ричардом Столлманом. Он предлагает широкий спектр возможностей, включая редактирование текста, управление файлами, интеграцию с различными программами и многое другое.</w:t>
      </w:r>
    </w:p>
    <w:p>
      <w:pPr>
        <w:numPr>
          <w:ilvl w:val="0"/>
          <w:numId w:val="1001"/>
        </w:numPr>
      </w:pPr>
      <w:r>
        <w:t xml:space="preserve">Некоторые особенности Emacs, которые могут сделать его сложным для освоения новичком, включают:</w:t>
      </w:r>
    </w:p>
    <w:p>
      <w:pPr>
        <w:numPr>
          <w:ilvl w:val="1"/>
          <w:numId w:val="1002"/>
        </w:numPr>
        <w:pStyle w:val="Compact"/>
      </w:pPr>
      <w:r>
        <w:t xml:space="preserve">Большое количество клавиатурных сочетаний (комбинации клавиш)</w:t>
      </w:r>
    </w:p>
    <w:p>
      <w:pPr>
        <w:numPr>
          <w:ilvl w:val="1"/>
          <w:numId w:val="1002"/>
        </w:numPr>
        <w:pStyle w:val="Compact"/>
      </w:pPr>
      <w:r>
        <w:t xml:space="preserve">Нетривиальная навигация и управление буферами</w:t>
      </w:r>
    </w:p>
    <w:p>
      <w:pPr>
        <w:numPr>
          <w:ilvl w:val="1"/>
          <w:numId w:val="1002"/>
        </w:numPr>
        <w:pStyle w:val="Compact"/>
      </w:pPr>
      <w:r>
        <w:t xml:space="preserve">Необходимость изучения основных концепций, таких как режимы, расширения и настройка конфигурации</w:t>
      </w:r>
    </w:p>
    <w:p>
      <w:pPr>
        <w:numPr>
          <w:ilvl w:val="0"/>
          <w:numId w:val="1001"/>
        </w:numPr>
      </w:pPr>
      <w:r>
        <w:t xml:space="preserve">В Emacs:</w:t>
      </w:r>
    </w:p>
    <w:p>
      <w:pPr>
        <w:numPr>
          <w:ilvl w:val="1"/>
          <w:numId w:val="1003"/>
        </w:numPr>
        <w:pStyle w:val="Compact"/>
      </w:pPr>
      <w:r>
        <w:t xml:space="preserve">Буфер - это область памяти, в которой хранится текст, с которым вы работаете.</w:t>
      </w:r>
    </w:p>
    <w:p>
      <w:pPr>
        <w:numPr>
          <w:ilvl w:val="1"/>
          <w:numId w:val="1003"/>
        </w:numPr>
        <w:pStyle w:val="Compact"/>
      </w:pPr>
      <w:r>
        <w:t xml:space="preserve">Окно - это область на экране, в которой отображается содержимое буфера.</w:t>
      </w:r>
    </w:p>
    <w:p>
      <w:pPr>
        <w:numPr>
          <w:ilvl w:val="0"/>
          <w:numId w:val="1001"/>
        </w:numPr>
      </w:pPr>
      <w:r>
        <w:t xml:space="preserve">Да, в Emacs можно открыть более 10 буферов в одном окне. Emacs поддерживает множественные буферы и переключение между ними.</w:t>
      </w:r>
    </w:p>
    <w:p>
      <w:pPr>
        <w:numPr>
          <w:ilvl w:val="0"/>
          <w:numId w:val="1001"/>
        </w:numPr>
      </w:pPr>
      <w:r>
        <w:t xml:space="preserve">При запуске Emacs по умолчанию создаются следующие буферы: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scratch</w:t>
      </w:r>
      <w:r>
        <w:t xml:space="preserve"> </w:t>
      </w:r>
      <w:r>
        <w:t xml:space="preserve">- буфер для экспериментов и временных заметок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Messages</w:t>
      </w:r>
      <w:r>
        <w:t xml:space="preserve"> </w:t>
      </w:r>
      <w:r>
        <w:t xml:space="preserve">- буфер, в котором отображаются сообщения Emacs</w:t>
      </w:r>
    </w:p>
    <w:p>
      <w:pPr>
        <w:numPr>
          <w:ilvl w:val="0"/>
          <w:numId w:val="1001"/>
        </w:numPr>
      </w:pPr>
      <w:r>
        <w:t xml:space="preserve">Чтобы ввести комбинации клавиш:</w:t>
      </w:r>
    </w:p>
    <w:p>
      <w:pPr>
        <w:numPr>
          <w:ilvl w:val="1"/>
          <w:numId w:val="1005"/>
        </w:numPr>
        <w:pStyle w:val="Compact"/>
      </w:pPr>
      <w:r>
        <w:t xml:space="preserve">C-c | - нажмите Ctrl+c, затем нажмите |</w:t>
      </w:r>
    </w:p>
    <w:p>
      <w:pPr>
        <w:numPr>
          <w:ilvl w:val="1"/>
          <w:numId w:val="1005"/>
        </w:numPr>
        <w:pStyle w:val="Compact"/>
      </w:pPr>
      <w:r>
        <w:t xml:space="preserve">C-c C-| - нажмите Ctrl+c, затем Ctrl+|</w:t>
      </w:r>
    </w:p>
    <w:p>
      <w:pPr>
        <w:numPr>
          <w:ilvl w:val="0"/>
          <w:numId w:val="1001"/>
        </w:numPr>
      </w:pPr>
      <w:r>
        <w:t xml:space="preserve">Чтобы поделить текущее окно на две части, используйте команду</w:t>
      </w:r>
      <w:r>
        <w:t xml:space="preserve"> </w:t>
      </w:r>
      <w:r>
        <w:rPr>
          <w:rStyle w:val="VerbatimChar"/>
        </w:rPr>
        <w:t xml:space="preserve">split-window-horizontally</w:t>
      </w:r>
      <w:r>
        <w:t xml:space="preserve"> </w:t>
      </w:r>
      <w:r>
        <w:t xml:space="preserve">(C-x 2).</w:t>
      </w:r>
    </w:p>
    <w:p>
      <w:pPr>
        <w:numPr>
          <w:ilvl w:val="0"/>
          <w:numId w:val="1001"/>
        </w:numPr>
      </w:pPr>
      <w:r>
        <w:t xml:space="preserve">Настройки редактора Emacs хранятся в файле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init.el</w:t>
      </w:r>
      <w:r>
        <w:t xml:space="preserve">) в домашнем каталоге пользователя.</w:t>
      </w:r>
    </w:p>
    <w:p>
      <w:pPr>
        <w:numPr>
          <w:ilvl w:val="0"/>
          <w:numId w:val="1001"/>
        </w:numPr>
      </w:pPr>
      <w:r>
        <w:t xml:space="preserve">Клавиша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в Emacs по умолчанию переводит редактор в режим вставки (insert mode). Эту клавишу можно переназначить на другие функции при помощи настройки конфигурации.</w:t>
      </w:r>
    </w:p>
    <w:p>
      <w:pPr>
        <w:numPr>
          <w:ilvl w:val="0"/>
          <w:numId w:val="1001"/>
        </w:numPr>
      </w:pPr>
      <w:r>
        <w:t xml:space="preserve">Выбор между Emacs и Vi (Vim) - это вопрос личных предпочтений. Emacs может показаться более сложным для новичков, но он предлагает более богатый набор возможностей и расширений. Vi (Vim) более компактен и может быть предпочтительнее для некоторых пользователей. Оба редактора являются мощными инструментами, и выбор зависит от ваших потребностей и привычек.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</dc:title>
  <dc:creator>Филипьева Ксения Дмитриевна</dc:creator>
  <dc:language>ru-RU</dc:language>
  <cp:keywords/>
  <dcterms:created xsi:type="dcterms:W3CDTF">2024-04-20T18:26:52Z</dcterms:created>
  <dcterms:modified xsi:type="dcterms:W3CDTF">2024-04-20T18:26:52Z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1.3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№11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