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0F0FD" w14:textId="77777777" w:rsidR="00035CA1" w:rsidRPr="00293E99" w:rsidRDefault="00035CA1" w:rsidP="00437F0B">
      <w:pPr>
        <w:pStyle w:val="BodyText"/>
        <w:spacing w:before="120"/>
        <w:ind w:left="-142"/>
        <w:rPr>
          <w:rFonts w:ascii="Verdana" w:hAnsi="Verdana"/>
          <w:b/>
          <w:sz w:val="10"/>
          <w:szCs w:val="15"/>
          <w:lang w:val="en-GB"/>
        </w:rPr>
      </w:pPr>
      <w:r w:rsidRPr="00293E99">
        <w:rPr>
          <w:rFonts w:ascii="Verdana" w:hAnsi="Verdana"/>
          <w:b/>
          <w:noProof/>
          <w:sz w:val="10"/>
          <w:szCs w:val="15"/>
          <w:lang w:val="en-GB"/>
        </w:rPr>
        <mc:AlternateContent>
          <mc:Choice Requires="wps">
            <w:drawing>
              <wp:anchor distT="0" distB="0" distL="0" distR="0" simplePos="0" relativeHeight="251662336" behindDoc="1" locked="0" layoutInCell="1" allowOverlap="1" wp14:anchorId="034A024A" wp14:editId="49468555">
                <wp:simplePos x="0" y="0"/>
                <wp:positionH relativeFrom="page">
                  <wp:posOffset>443159</wp:posOffset>
                </wp:positionH>
                <wp:positionV relativeFrom="paragraph">
                  <wp:posOffset>165784</wp:posOffset>
                </wp:positionV>
                <wp:extent cx="6668134"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134" cy="1270"/>
                        </a:xfrm>
                        <a:custGeom>
                          <a:avLst/>
                          <a:gdLst/>
                          <a:ahLst/>
                          <a:cxnLst/>
                          <a:rect l="l" t="t" r="r" b="b"/>
                          <a:pathLst>
                            <a:path w="6668134">
                              <a:moveTo>
                                <a:pt x="0" y="0"/>
                              </a:moveTo>
                              <a:lnTo>
                                <a:pt x="666766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AEBCBC" id="Graphic 6" o:spid="_x0000_s1026" style="position:absolute;margin-left:34.9pt;margin-top:13.05pt;width:525.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66813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t+jFQIAAFsEAAAOAAAAZHJzL2Uyb0RvYy54bWysVMFu2zAMvQ/YPwi6L06yNe2MOMXQoMOA&#13;&#10;oivQDDsrshwbk0WNVOL070fJdpJ2t2E+CJT4RD7yUV7eHlsrDgapAVfI2WQqhXEaysbtCvljc//h&#13;&#10;RgoKypXKgjOFfDEkb1fv3y07n5s51GBLg4KDOMo7X8g6BJ9nGenatIom4I1jZwXYqsBb3GUlqo6j&#13;&#10;tzabT6eLrAMsPYI2RHy67p1yleJXldHhe1WRCcIWkrmFtGJat3HNVkuV71D5utEDDfUPLFrVOE56&#13;&#10;CrVWQYk9Nn+FahuNQFCFiYY2g6pqtEk1cDWz6ZtqnmvlTaqFm0P+1Cb6f2H14+HZP2GkTv4B9C/i&#13;&#10;jmSdp/zkiRsaMMcK24hl4uKYuvhy6qI5BqH5cLFY3Mw+fpJCs282v05NzlQ+3tV7Cl8NpDjq8ECh&#13;&#10;16AcLVWPlj660URWMmpok4ZBCtYQpWANt72GXoV4L5KLpujOROJZCwezgeQNb5gztbPXuksUl3K9&#13;&#10;WMykGKtkbI9gI6bhXvVGSs32ZXHWRRafr+ZXaTQIbFPeN9ZGFoS77Z1FcVBxMNMX6+AIr2AeKawV&#13;&#10;1T0uuQaYdYNOvTRRpC2UL08oOp7mQtLvvUIjhf3meFzi6I8GjsZ2NDDYO0gPJDWIc26OPxV6EdMX&#13;&#10;MrCyjzAOo8pH0WLpJ2y86eDLPkDVREXTDPWMhg1PcCpweG3xiVzuE+r8T1j9AQAA//8DAFBLAwQU&#13;&#10;AAYACAAAACEACvnsH+IAAAAOAQAADwAAAGRycy9kb3ducmV2LnhtbEyPQUvDQBCF74L/YZmCN7tJ&#13;&#10;hGjSbEqteFEQWqV43GSnSWh2dtndtvHfuznpZWDm8d58r1pPemQXdH4wJCBdJsCQWqMG6gR8fb7e&#13;&#10;PwHzQZKSoyEU8IMe1vXtTSVLZa60w8s+dCyGkC+lgD4EW3Lu2x619EtjkaJ2NE7LEFfXceXkNYbr&#13;&#10;kWdJknMtB4ofemlx22N72p+1AJcdN9vm7R399/PH4VFZbYfkIMTdYnpZxbFZAQs4hT8HzB0iP9QR&#13;&#10;rDFnUp6NAvIi4gcBWZ4Cm/U0LQpgzXx5AF5X/H+N+hcAAP//AwBQSwECLQAUAAYACAAAACEAtoM4&#13;&#10;kv4AAADhAQAAEwAAAAAAAAAAAAAAAAAAAAAAW0NvbnRlbnRfVHlwZXNdLnhtbFBLAQItABQABgAI&#13;&#10;AAAAIQA4/SH/1gAAAJQBAAALAAAAAAAAAAAAAAAAAC8BAABfcmVscy8ucmVsc1BLAQItABQABgAI&#13;&#10;AAAAIQDAVt+jFQIAAFsEAAAOAAAAAAAAAAAAAAAAAC4CAABkcnMvZTJvRG9jLnhtbFBLAQItABQA&#13;&#10;BgAIAAAAIQAK+ewf4gAAAA4BAAAPAAAAAAAAAAAAAAAAAG8EAABkcnMvZG93bnJldi54bWxQSwUG&#13;&#10;AAAAAAQABADzAAAAfgUAAAAA&#13;&#10;" path="m,l6667661,e" filled="f">
                <v:path arrowok="t"/>
                <w10:wrap type="topAndBottom" anchorx="page"/>
              </v:shape>
            </w:pict>
          </mc:Fallback>
        </mc:AlternateContent>
      </w:r>
    </w:p>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35CA1" w:rsidRPr="00293E99" w14:paraId="644D8F62" w14:textId="77777777" w:rsidTr="00112270">
        <w:tc>
          <w:tcPr>
            <w:tcW w:w="9640" w:type="dxa"/>
          </w:tcPr>
          <w:p w14:paraId="4774BB98" w14:textId="54F6A347" w:rsidR="004E269A" w:rsidRPr="00293E99" w:rsidRDefault="00941620" w:rsidP="00437F0B">
            <w:pPr>
              <w:pStyle w:val="NormalWeb"/>
              <w:spacing w:before="120" w:beforeAutospacing="0" w:after="0" w:afterAutospacing="0"/>
              <w:jc w:val="both"/>
              <w:rPr>
                <w:rFonts w:ascii="Verdana" w:hAnsi="Verdana"/>
                <w:b w:val="0"/>
                <w:bCs w:val="0"/>
                <w:color w:val="002060"/>
                <w:sz w:val="32"/>
                <w:szCs w:val="32"/>
                <w:lang w:val="en-GB"/>
              </w:rPr>
            </w:pPr>
            <w:r w:rsidRPr="00293E99">
              <w:rPr>
                <w:rFonts w:ascii="Verdana" w:hAnsi="Verdana"/>
                <w:color w:val="002060"/>
                <w:sz w:val="32"/>
                <w:szCs w:val="32"/>
                <w:lang w:val="en-GB"/>
              </w:rPr>
              <w:t xml:space="preserve">Compartment </w:t>
            </w:r>
            <w:r w:rsidR="00FF0E0F">
              <w:rPr>
                <w:rFonts w:ascii="Verdana" w:hAnsi="Verdana"/>
                <w:color w:val="002060"/>
                <w:sz w:val="32"/>
                <w:szCs w:val="32"/>
                <w:lang w:val="en-GB"/>
              </w:rPr>
              <w:t xml:space="preserve">Insolvency </w:t>
            </w:r>
            <w:r w:rsidR="00F61180">
              <w:rPr>
                <w:rFonts w:ascii="Verdana" w:hAnsi="Verdana"/>
                <w:color w:val="002060"/>
                <w:sz w:val="32"/>
                <w:szCs w:val="32"/>
                <w:lang w:val="en-GB"/>
              </w:rPr>
              <w:t>i</w:t>
            </w:r>
            <w:r w:rsidR="00FF0E0F">
              <w:rPr>
                <w:rFonts w:ascii="Verdana" w:hAnsi="Verdana"/>
                <w:color w:val="002060"/>
                <w:sz w:val="32"/>
                <w:szCs w:val="32"/>
                <w:lang w:val="en-GB"/>
              </w:rPr>
              <w:t xml:space="preserve">n </w:t>
            </w:r>
            <w:r w:rsidR="00F127C1" w:rsidRPr="00293E99">
              <w:rPr>
                <w:rFonts w:ascii="Verdana" w:hAnsi="Verdana"/>
                <w:color w:val="002060"/>
                <w:sz w:val="32"/>
                <w:szCs w:val="32"/>
                <w:lang w:val="en-GB"/>
              </w:rPr>
              <w:t xml:space="preserve">Luxembourg </w:t>
            </w:r>
            <w:r w:rsidR="00FF0E0F">
              <w:rPr>
                <w:rFonts w:ascii="Verdana" w:hAnsi="Verdana"/>
                <w:color w:val="002060"/>
                <w:sz w:val="32"/>
                <w:szCs w:val="32"/>
                <w:lang w:val="en-GB"/>
              </w:rPr>
              <w:t>Investment</w:t>
            </w:r>
            <w:r w:rsidR="00BA28D3">
              <w:rPr>
                <w:rFonts w:ascii="Verdana" w:hAnsi="Verdana"/>
                <w:color w:val="002060"/>
                <w:sz w:val="32"/>
                <w:szCs w:val="32"/>
                <w:lang w:val="en-GB"/>
              </w:rPr>
              <w:t xml:space="preserve"> Fund</w:t>
            </w:r>
            <w:r w:rsidR="00F127C1" w:rsidRPr="00293E99">
              <w:rPr>
                <w:rFonts w:ascii="Verdana" w:hAnsi="Verdana"/>
                <w:color w:val="002060"/>
                <w:sz w:val="32"/>
                <w:szCs w:val="32"/>
                <w:lang w:val="en-GB"/>
              </w:rPr>
              <w:t>s</w:t>
            </w:r>
          </w:p>
        </w:tc>
      </w:tr>
      <w:tr w:rsidR="00035CA1" w:rsidRPr="00293E99" w14:paraId="3FCD02A3" w14:textId="77777777" w:rsidTr="00112270">
        <w:tc>
          <w:tcPr>
            <w:tcW w:w="9640" w:type="dxa"/>
          </w:tcPr>
          <w:p w14:paraId="0E82824A" w14:textId="3297C887" w:rsidR="00035CA1" w:rsidRPr="00293E99" w:rsidRDefault="00F127C1" w:rsidP="00437F0B">
            <w:pPr>
              <w:pStyle w:val="NormalWeb"/>
              <w:spacing w:before="120" w:beforeAutospacing="0" w:after="0" w:afterAutospacing="0"/>
              <w:jc w:val="both"/>
              <w:rPr>
                <w:rFonts w:ascii="Verdana" w:hAnsi="Verdana"/>
                <w:b w:val="0"/>
                <w:bCs w:val="0"/>
                <w:color w:val="002060"/>
                <w:sz w:val="28"/>
                <w:szCs w:val="28"/>
                <w:lang w:val="en-GB"/>
              </w:rPr>
            </w:pPr>
            <w:r w:rsidRPr="00293E99">
              <w:rPr>
                <w:rFonts w:ascii="Verdana" w:hAnsi="Verdana"/>
                <w:color w:val="002060"/>
                <w:sz w:val="21"/>
                <w:szCs w:val="21"/>
                <w:lang w:val="en-GB"/>
              </w:rPr>
              <w:t>Ruling 186/25</w:t>
            </w:r>
            <w:r w:rsidR="000D0796">
              <w:rPr>
                <w:rFonts w:ascii="Verdana" w:hAnsi="Verdana"/>
                <w:color w:val="002060"/>
                <w:sz w:val="21"/>
                <w:szCs w:val="21"/>
                <w:lang w:val="en-GB"/>
              </w:rPr>
              <w:t xml:space="preserve"> and the </w:t>
            </w:r>
            <w:r w:rsidR="00FF0E0F">
              <w:rPr>
                <w:rFonts w:ascii="Verdana" w:hAnsi="Verdana"/>
                <w:color w:val="002060"/>
                <w:sz w:val="21"/>
                <w:szCs w:val="21"/>
                <w:lang w:val="en-GB"/>
              </w:rPr>
              <w:t>Boundary Between Bankruptcy and Judicial Liquidation After the 2023 Reform</w:t>
            </w:r>
          </w:p>
        </w:tc>
      </w:tr>
      <w:tr w:rsidR="004E269A" w:rsidRPr="00293E99" w14:paraId="6E55619F" w14:textId="77777777" w:rsidTr="00112270">
        <w:trPr>
          <w:trHeight w:val="76"/>
        </w:trPr>
        <w:tc>
          <w:tcPr>
            <w:tcW w:w="9640" w:type="dxa"/>
          </w:tcPr>
          <w:p w14:paraId="36EAF212" w14:textId="300D816E" w:rsidR="004E269A" w:rsidRPr="00293E99" w:rsidRDefault="004E269A" w:rsidP="004E269A">
            <w:pPr>
              <w:pStyle w:val="NormalWeb"/>
              <w:spacing w:before="120" w:beforeAutospacing="0" w:after="0" w:afterAutospacing="0"/>
              <w:jc w:val="both"/>
              <w:rPr>
                <w:rFonts w:ascii="Verdana" w:hAnsi="Verdana"/>
                <w:color w:val="002060"/>
                <w:sz w:val="15"/>
                <w:szCs w:val="15"/>
                <w:lang w:val="en-GB"/>
              </w:rPr>
            </w:pPr>
            <w:r w:rsidRPr="00293E99">
              <w:rPr>
                <w:rFonts w:ascii="Verdana" w:hAnsi="Verdana"/>
                <w:color w:val="002060"/>
                <w:sz w:val="15"/>
                <w:szCs w:val="15"/>
                <w:lang w:val="en-GB"/>
              </w:rPr>
              <w:t xml:space="preserve">| </w:t>
            </w:r>
            <w:r w:rsidRPr="00293E99">
              <w:rPr>
                <w:rFonts w:ascii="Verdana" w:hAnsi="Verdana"/>
                <w:noProof/>
                <w:lang w:val="en-GB"/>
              </w:rPr>
              <w:drawing>
                <wp:inline distT="0" distB="0" distL="0" distR="0" wp14:anchorId="126B0DA7" wp14:editId="2FF78C3F">
                  <wp:extent cx="79022" cy="79022"/>
                  <wp:effectExtent l="0" t="0" r="0" b="0"/>
                  <wp:docPr id="1141235938" name="Graphic 2"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5938" name="Graphic 1141235938" descr="Penci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9773" cy="89773"/>
                          </a:xfrm>
                          <a:prstGeom prst="rect">
                            <a:avLst/>
                          </a:prstGeom>
                        </pic:spPr>
                      </pic:pic>
                    </a:graphicData>
                  </a:graphic>
                </wp:inline>
              </w:drawing>
            </w:r>
            <w:r w:rsidRPr="00293E99">
              <w:rPr>
                <w:rFonts w:ascii="Verdana" w:hAnsi="Verdana"/>
                <w:color w:val="002060"/>
                <w:sz w:val="15"/>
                <w:szCs w:val="15"/>
                <w:lang w:val="en-GB"/>
              </w:rPr>
              <w:t xml:space="preserve"> | </w:t>
            </w:r>
            <w:proofErr w:type="spellStart"/>
            <w:r w:rsidRPr="00293E99">
              <w:rPr>
                <w:rFonts w:ascii="Verdana" w:hAnsi="Verdana"/>
                <w:color w:val="002060"/>
                <w:sz w:val="15"/>
                <w:szCs w:val="15"/>
                <w:lang w:val="en-GB"/>
              </w:rPr>
              <w:t>Ezechiel</w:t>
            </w:r>
            <w:proofErr w:type="spellEnd"/>
            <w:r w:rsidRPr="00293E99">
              <w:rPr>
                <w:rFonts w:ascii="Verdana" w:hAnsi="Verdana"/>
                <w:color w:val="002060"/>
                <w:sz w:val="15"/>
                <w:szCs w:val="15"/>
                <w:lang w:val="en-GB"/>
              </w:rPr>
              <w:t xml:space="preserve"> </w:t>
            </w:r>
            <w:proofErr w:type="spellStart"/>
            <w:r w:rsidRPr="00293E99">
              <w:rPr>
                <w:rFonts w:ascii="Verdana" w:hAnsi="Verdana"/>
                <w:color w:val="002060"/>
                <w:sz w:val="15"/>
                <w:szCs w:val="15"/>
                <w:lang w:val="en-GB"/>
              </w:rPr>
              <w:t>Havrenne</w:t>
            </w:r>
            <w:proofErr w:type="spellEnd"/>
            <w:r w:rsidRPr="00293E99">
              <w:rPr>
                <w:rFonts w:ascii="Verdana" w:hAnsi="Verdana"/>
                <w:color w:val="002060"/>
                <w:sz w:val="15"/>
                <w:szCs w:val="15"/>
                <w:lang w:val="en-GB"/>
              </w:rPr>
              <w:t xml:space="preserve"> | </w:t>
            </w:r>
            <w:r w:rsidRPr="00293E99">
              <w:rPr>
                <w:rFonts w:ascii="Verdana" w:hAnsi="Verdana"/>
                <w:i/>
                <w:iCs/>
                <w:noProof/>
                <w:color w:val="002060"/>
                <w:sz w:val="15"/>
                <w:szCs w:val="15"/>
                <w:lang w:val="en-GB"/>
              </w:rPr>
              <w:drawing>
                <wp:inline distT="0" distB="0" distL="0" distR="0" wp14:anchorId="46CC18CA" wp14:editId="1EDFD74D">
                  <wp:extent cx="107244" cy="107244"/>
                  <wp:effectExtent l="0" t="0" r="0" b="0"/>
                  <wp:docPr id="933651063" name="Graphic 4" descr="School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51063" name="Graphic 933651063" descr="Schoolhous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flipH="1">
                            <a:off x="0" y="0"/>
                            <a:ext cx="137432" cy="137432"/>
                          </a:xfrm>
                          <a:prstGeom prst="rect">
                            <a:avLst/>
                          </a:prstGeom>
                        </pic:spPr>
                      </pic:pic>
                    </a:graphicData>
                  </a:graphic>
                </wp:inline>
              </w:drawing>
            </w:r>
            <w:r w:rsidRPr="00293E99">
              <w:rPr>
                <w:rFonts w:ascii="Verdana" w:hAnsi="Verdana"/>
                <w:color w:val="002060"/>
                <w:sz w:val="15"/>
                <w:szCs w:val="15"/>
                <w:lang w:val="en-GB"/>
              </w:rPr>
              <w:t xml:space="preserve"> | </w:t>
            </w:r>
            <w:r w:rsidRPr="00293E99">
              <w:rPr>
                <w:rFonts w:ascii="Verdana" w:hAnsi="Verdana"/>
                <w:i/>
                <w:iCs/>
                <w:color w:val="002060"/>
                <w:sz w:val="15"/>
                <w:szCs w:val="15"/>
                <w:lang w:val="en-GB"/>
              </w:rPr>
              <w:t>Lecturer at the Luxembourg School of Business</w:t>
            </w:r>
            <w:r w:rsidRPr="00293E99">
              <w:rPr>
                <w:rFonts w:ascii="Verdana" w:hAnsi="Verdana"/>
                <w:color w:val="002060"/>
                <w:sz w:val="15"/>
                <w:szCs w:val="15"/>
                <w:lang w:val="en-GB"/>
              </w:rPr>
              <w:t xml:space="preserve"> | </w:t>
            </w:r>
            <w:r w:rsidRPr="00293E99">
              <w:rPr>
                <w:rFonts w:ascii="Verdana" w:hAnsi="Verdana"/>
                <w:noProof/>
                <w:color w:val="002060"/>
                <w:sz w:val="15"/>
                <w:szCs w:val="15"/>
                <w:lang w:val="en-GB"/>
              </w:rPr>
              <w:drawing>
                <wp:inline distT="0" distB="0" distL="0" distR="0" wp14:anchorId="0C535741" wp14:editId="74470784">
                  <wp:extent cx="84667" cy="84667"/>
                  <wp:effectExtent l="0" t="0" r="4445" b="4445"/>
                  <wp:docPr id="2109832268" name="Graphic 5" descr="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32268" name="Graphic 2109832268" descr="Watch"/>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flipV="1">
                            <a:off x="0" y="0"/>
                            <a:ext cx="98109" cy="98109"/>
                          </a:xfrm>
                          <a:prstGeom prst="rect">
                            <a:avLst/>
                          </a:prstGeom>
                        </pic:spPr>
                      </pic:pic>
                    </a:graphicData>
                  </a:graphic>
                </wp:inline>
              </w:drawing>
            </w:r>
            <w:r w:rsidRPr="00293E99">
              <w:rPr>
                <w:rFonts w:ascii="Verdana" w:hAnsi="Verdana"/>
                <w:color w:val="002060"/>
                <w:sz w:val="15"/>
                <w:szCs w:val="15"/>
                <w:lang w:val="en-GB"/>
              </w:rPr>
              <w:t xml:space="preserve"> | </w:t>
            </w:r>
            <w:r w:rsidR="004A5515" w:rsidRPr="00293E99">
              <w:rPr>
                <w:rFonts w:ascii="Verdana" w:hAnsi="Verdana"/>
                <w:color w:val="002060"/>
                <w:sz w:val="15"/>
                <w:szCs w:val="15"/>
                <w:lang w:val="en-GB"/>
              </w:rPr>
              <w:t>3</w:t>
            </w:r>
            <w:r w:rsidRPr="00293E99">
              <w:rPr>
                <w:rFonts w:ascii="Verdana" w:hAnsi="Verdana"/>
                <w:color w:val="002060"/>
                <w:sz w:val="15"/>
                <w:szCs w:val="15"/>
                <w:lang w:val="en-GB"/>
              </w:rPr>
              <w:t>0 min</w:t>
            </w:r>
          </w:p>
        </w:tc>
      </w:tr>
      <w:tr w:rsidR="004E269A" w:rsidRPr="00293E99" w14:paraId="3F152D8C" w14:textId="77777777" w:rsidTr="00112270">
        <w:trPr>
          <w:trHeight w:val="76"/>
        </w:trPr>
        <w:tc>
          <w:tcPr>
            <w:tcW w:w="9640" w:type="dxa"/>
          </w:tcPr>
          <w:p w14:paraId="0F1F4E8D" w14:textId="0BE75319" w:rsidR="00FF0E0F" w:rsidRPr="00FF0E0F" w:rsidRDefault="004E269A" w:rsidP="004E269A">
            <w:pPr>
              <w:pStyle w:val="NormalWeb"/>
              <w:spacing w:before="120" w:beforeAutospacing="0" w:after="0" w:afterAutospacing="0"/>
              <w:jc w:val="both"/>
              <w:rPr>
                <w:rFonts w:ascii="Verdana" w:hAnsi="Verdana"/>
                <w:b w:val="0"/>
                <w:bCs w:val="0"/>
                <w:color w:val="002060"/>
                <w:sz w:val="15"/>
                <w:szCs w:val="15"/>
                <w:lang w:val="en-GB"/>
              </w:rPr>
            </w:pPr>
            <w:r w:rsidRPr="00293E99">
              <w:rPr>
                <w:rFonts w:ascii="Verdana" w:hAnsi="Verdana"/>
                <w:color w:val="002060"/>
                <w:sz w:val="15"/>
                <w:szCs w:val="15"/>
                <w:lang w:val="en-GB"/>
              </w:rPr>
              <w:t xml:space="preserve">Abstract: </w:t>
            </w:r>
            <w:r w:rsidR="00FF0E0F" w:rsidRPr="00FF0E0F">
              <w:rPr>
                <w:rFonts w:ascii="Verdana" w:hAnsi="Verdana"/>
                <w:b w:val="0"/>
                <w:bCs w:val="0"/>
                <w:color w:val="002060"/>
                <w:sz w:val="15"/>
                <w:szCs w:val="15"/>
                <w:lang w:val="en-GB"/>
              </w:rPr>
              <w:t>Ruling 186/25 of the Luxembourg Court of Appeal held that a compartment of a specialised investment fund cannot be declared bankrupt in the absence of an express statutory basis, and that Article 440 of the Commercial Code does not apply to compartments lacking legal personality. The decision was rendered shortly after the Act of 21 July 2023 amended several product fund statutes to allow courts, in judicial liquidation proceedings, to apply “the rules governing bankruptcy” rather than merely those governing the liquidation of bankruptcy. This article examines the extent to which that reform affects the insolvency treatment of fund compartments and assesses whether Article 47 of the SIF Act 2007 can be regarded as supplying the “specific legal basis” whose absence the Court identified. It further analyses whether, independently of any sector-specific regime, a compartment could fall within the personal scope of Article 440 by qualifying as a merchant under the functional criteria of Article 1 of the Commercial Code. Finally, the article explains why the Court of Appeal did not engage with these arguments ex officio, focusing on the constraints imposed by the adversarial principle under Luxembourg civil and commercial procedural law. The article concludes that while the 2023 reform significantly strengthens the insolvency toolbox available in judicial liquidation, it does not create an autonomous gateway for compartment-level bankruptcy, leaving unresolved structural tensions between economic compartmentalisation and formal insolvency law.</w:t>
            </w:r>
          </w:p>
        </w:tc>
      </w:tr>
      <w:tr w:rsidR="004E269A" w:rsidRPr="00293E99" w14:paraId="292DFA92" w14:textId="77777777" w:rsidTr="00112270">
        <w:trPr>
          <w:trHeight w:val="76"/>
        </w:trPr>
        <w:tc>
          <w:tcPr>
            <w:tcW w:w="9640" w:type="dxa"/>
          </w:tcPr>
          <w:p w14:paraId="5056B36B" w14:textId="2F033FAD" w:rsidR="00F61180" w:rsidRPr="00F61180" w:rsidRDefault="004E269A" w:rsidP="004E269A">
            <w:pPr>
              <w:pStyle w:val="NormalWeb"/>
              <w:spacing w:before="120" w:beforeAutospacing="0" w:after="0" w:afterAutospacing="0"/>
              <w:jc w:val="both"/>
              <w:rPr>
                <w:rFonts w:ascii="Verdana" w:hAnsi="Verdana"/>
                <w:b w:val="0"/>
                <w:bCs w:val="0"/>
                <w:color w:val="002060"/>
                <w:sz w:val="15"/>
                <w:szCs w:val="15"/>
                <w:lang w:val="en-GB"/>
              </w:rPr>
            </w:pPr>
            <w:r w:rsidRPr="00293E99">
              <w:rPr>
                <w:rFonts w:ascii="Verdana" w:hAnsi="Verdana"/>
                <w:color w:val="002060"/>
                <w:sz w:val="15"/>
                <w:szCs w:val="15"/>
                <w:lang w:val="en-GB"/>
              </w:rPr>
              <w:t>KEY WORDS:</w:t>
            </w:r>
            <w:r w:rsidR="00F61180" w:rsidRPr="00FF3996">
              <w:rPr>
                <w:rFonts w:ascii="Verdana" w:hAnsi="Verdana"/>
                <w:b w:val="0"/>
                <w:bCs w:val="0"/>
                <w:color w:val="002060"/>
                <w:sz w:val="15"/>
                <w:szCs w:val="15"/>
                <w:lang w:val="en-GB"/>
              </w:rPr>
              <w:t xml:space="preserve"> </w:t>
            </w:r>
            <w:r w:rsidR="00F61180" w:rsidRPr="00F61180">
              <w:rPr>
                <w:rFonts w:ascii="Verdana" w:hAnsi="Verdana"/>
                <w:b w:val="0"/>
                <w:bCs w:val="0"/>
                <w:color w:val="002060"/>
                <w:sz w:val="15"/>
                <w:szCs w:val="15"/>
                <w:lang w:val="en-GB"/>
              </w:rPr>
              <w:t>LUXEMBOURG INSOLVENCY LAW</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w:t>
            </w:r>
            <w:r w:rsidR="005F6CB8" w:rsidRPr="00FF3996">
              <w:rPr>
                <w:rFonts w:ascii="Verdana" w:hAnsi="Verdana"/>
                <w:b w:val="0"/>
                <w:bCs w:val="0"/>
                <w:color w:val="002060"/>
                <w:sz w:val="15"/>
                <w:szCs w:val="15"/>
                <w:lang w:val="en-GB"/>
              </w:rPr>
              <w:t>SIF · SICAR</w:t>
            </w:r>
            <w:r w:rsidR="005F6CB8">
              <w:rPr>
                <w:rFonts w:ascii="Verdana" w:hAnsi="Verdana"/>
                <w:b w:val="0"/>
                <w:bCs w:val="0"/>
                <w:color w:val="002060"/>
                <w:sz w:val="15"/>
                <w:szCs w:val="15"/>
                <w:lang w:val="en-GB"/>
              </w:rPr>
              <w:t xml:space="preserve"> </w:t>
            </w:r>
            <w:r w:rsidR="005F6CB8" w:rsidRPr="00FF3996">
              <w:rPr>
                <w:rFonts w:ascii="Verdana" w:hAnsi="Verdana"/>
                <w:b w:val="0"/>
                <w:bCs w:val="0"/>
                <w:color w:val="002060"/>
                <w:sz w:val="15"/>
                <w:szCs w:val="15"/>
                <w:lang w:val="en-GB"/>
              </w:rPr>
              <w:t xml:space="preserve">· </w:t>
            </w:r>
            <w:r w:rsidR="005F6CB8">
              <w:rPr>
                <w:rFonts w:ascii="Verdana" w:hAnsi="Verdana"/>
                <w:b w:val="0"/>
                <w:bCs w:val="0"/>
                <w:color w:val="002060"/>
                <w:sz w:val="15"/>
                <w:szCs w:val="15"/>
                <w:lang w:val="en-GB"/>
              </w:rPr>
              <w:t xml:space="preserve">UCITS </w:t>
            </w:r>
            <w:r w:rsidR="005F6CB8" w:rsidRPr="00FF3996">
              <w:rPr>
                <w:rFonts w:ascii="Verdana" w:hAnsi="Verdana"/>
                <w:b w:val="0"/>
                <w:bCs w:val="0"/>
                <w:color w:val="002060"/>
                <w:sz w:val="15"/>
                <w:szCs w:val="15"/>
                <w:lang w:val="en-GB"/>
              </w:rPr>
              <w:t xml:space="preserve">· </w:t>
            </w:r>
            <w:r w:rsidR="005F6CB8">
              <w:rPr>
                <w:rFonts w:ascii="Verdana" w:hAnsi="Verdana"/>
                <w:b w:val="0"/>
                <w:bCs w:val="0"/>
                <w:color w:val="002060"/>
                <w:sz w:val="15"/>
                <w:szCs w:val="15"/>
                <w:lang w:val="en-GB"/>
              </w:rPr>
              <w:t xml:space="preserve">UCI PART II </w:t>
            </w:r>
            <w:r w:rsidR="005F6CB8" w:rsidRPr="00FF3996">
              <w:rPr>
                <w:rFonts w:ascii="Verdana" w:hAnsi="Verdana"/>
                <w:b w:val="0"/>
                <w:bCs w:val="0"/>
                <w:color w:val="002060"/>
                <w:sz w:val="15"/>
                <w:szCs w:val="15"/>
                <w:lang w:val="en-GB"/>
              </w:rPr>
              <w:t xml:space="preserve">· RAIF · </w:t>
            </w:r>
            <w:r w:rsidR="00F61180" w:rsidRPr="00F61180">
              <w:rPr>
                <w:rFonts w:ascii="Verdana" w:hAnsi="Verdana"/>
                <w:b w:val="0"/>
                <w:bCs w:val="0"/>
                <w:color w:val="002060"/>
                <w:sz w:val="15"/>
                <w:szCs w:val="15"/>
                <w:lang w:val="en-GB"/>
              </w:rPr>
              <w:t>COMPARTMENTS</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COMPARTMENTALISATION</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BANKRUPTCY</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JUDICIAL LIQUIDATION</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ARTICLE 47 </w:t>
            </w:r>
            <w:r w:rsidR="00F61180">
              <w:rPr>
                <w:rFonts w:ascii="Verdana" w:hAnsi="Verdana"/>
                <w:b w:val="0"/>
                <w:bCs w:val="0"/>
                <w:color w:val="002060"/>
                <w:sz w:val="15"/>
                <w:szCs w:val="15"/>
                <w:lang w:val="en-GB"/>
              </w:rPr>
              <w:t xml:space="preserve">OF THE </w:t>
            </w:r>
            <w:r w:rsidR="00F61180" w:rsidRPr="00F61180">
              <w:rPr>
                <w:rFonts w:ascii="Verdana" w:hAnsi="Verdana"/>
                <w:b w:val="0"/>
                <w:bCs w:val="0"/>
                <w:color w:val="002060"/>
                <w:sz w:val="15"/>
                <w:szCs w:val="15"/>
                <w:lang w:val="en-GB"/>
              </w:rPr>
              <w:t>SIF ACT 2007</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ARTICLE 440 </w:t>
            </w:r>
            <w:r w:rsidR="00F61180">
              <w:rPr>
                <w:rFonts w:ascii="Verdana" w:hAnsi="Verdana"/>
                <w:b w:val="0"/>
                <w:bCs w:val="0"/>
                <w:color w:val="002060"/>
                <w:sz w:val="15"/>
                <w:szCs w:val="15"/>
                <w:lang w:val="en-GB"/>
              </w:rPr>
              <w:t xml:space="preserve">OF THE </w:t>
            </w:r>
            <w:r w:rsidR="00F61180" w:rsidRPr="00F61180">
              <w:rPr>
                <w:rFonts w:ascii="Verdana" w:hAnsi="Verdana"/>
                <w:b w:val="0"/>
                <w:bCs w:val="0"/>
                <w:color w:val="002060"/>
                <w:sz w:val="15"/>
                <w:szCs w:val="15"/>
                <w:lang w:val="en-GB"/>
              </w:rPr>
              <w:t>COMMERCIAL CODE</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MERCHANT QUALIFICATION</w:t>
            </w:r>
            <w:r w:rsidR="00F61180">
              <w:rPr>
                <w:rFonts w:ascii="Verdana" w:hAnsi="Verdana"/>
                <w:b w:val="0"/>
                <w:bCs w:val="0"/>
                <w:color w:val="002060"/>
                <w:sz w:val="15"/>
                <w:szCs w:val="15"/>
                <w:lang w:val="en-GB"/>
              </w:rPr>
              <w:t xml:space="preserve"> OF A COMPARTMENT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ACT OF 21 JULY 2023</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w:t>
            </w:r>
            <w:r w:rsidR="00F61180" w:rsidRPr="00F61180">
              <w:rPr>
                <w:rFonts w:ascii="Verdana" w:hAnsi="Verdana"/>
                <w:b w:val="0"/>
                <w:bCs w:val="0"/>
                <w:color w:val="002060"/>
                <w:sz w:val="15"/>
                <w:szCs w:val="15"/>
                <w:lang w:val="en-GB"/>
              </w:rPr>
              <w:t xml:space="preserve"> ADVERSARIAL PRINCIPLE</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 xml:space="preserve">· </w:t>
            </w:r>
            <w:r w:rsidR="00F61180" w:rsidRPr="00F61180">
              <w:rPr>
                <w:rFonts w:ascii="Verdana" w:hAnsi="Verdana"/>
                <w:b w:val="0"/>
                <w:bCs w:val="0"/>
                <w:i/>
                <w:iCs/>
                <w:color w:val="002060"/>
                <w:sz w:val="15"/>
                <w:szCs w:val="15"/>
                <w:lang w:val="en-GB"/>
              </w:rPr>
              <w:t>IURA NOVIT CURIA</w:t>
            </w:r>
            <w:r w:rsidR="00F61180">
              <w:rPr>
                <w:rFonts w:ascii="Verdana" w:hAnsi="Verdana"/>
                <w:b w:val="0"/>
                <w:bCs w:val="0"/>
                <w:i/>
                <w:iCs/>
                <w:color w:val="002060"/>
                <w:sz w:val="15"/>
                <w:szCs w:val="15"/>
                <w:lang w:val="en-GB"/>
              </w:rPr>
              <w:t xml:space="preserve"> </w:t>
            </w:r>
            <w:r w:rsidR="00F61180" w:rsidRPr="00FF3996">
              <w:rPr>
                <w:rFonts w:ascii="Verdana" w:hAnsi="Verdana"/>
                <w:b w:val="0"/>
                <w:bCs w:val="0"/>
                <w:color w:val="002060"/>
                <w:sz w:val="15"/>
                <w:szCs w:val="15"/>
                <w:lang w:val="en-GB"/>
              </w:rPr>
              <w:t xml:space="preserve">· </w:t>
            </w:r>
            <w:r w:rsidR="00F61180" w:rsidRPr="00F61180">
              <w:rPr>
                <w:rFonts w:ascii="Verdana" w:hAnsi="Verdana"/>
                <w:b w:val="0"/>
                <w:bCs w:val="0"/>
                <w:color w:val="002060"/>
                <w:sz w:val="15"/>
                <w:szCs w:val="15"/>
                <w:lang w:val="en-GB"/>
              </w:rPr>
              <w:t>CREDITOR PROTECTION</w:t>
            </w:r>
            <w:r w:rsidR="00F61180">
              <w:rPr>
                <w:rFonts w:ascii="Verdana" w:hAnsi="Verdana"/>
                <w:b w:val="0"/>
                <w:bCs w:val="0"/>
                <w:color w:val="002060"/>
                <w:sz w:val="15"/>
                <w:szCs w:val="15"/>
                <w:lang w:val="en-GB"/>
              </w:rPr>
              <w:t xml:space="preserve"> </w:t>
            </w:r>
            <w:r w:rsidR="00F61180" w:rsidRPr="00FF3996">
              <w:rPr>
                <w:rFonts w:ascii="Verdana" w:hAnsi="Verdana"/>
                <w:b w:val="0"/>
                <w:bCs w:val="0"/>
                <w:color w:val="002060"/>
                <w:sz w:val="15"/>
                <w:szCs w:val="15"/>
                <w:lang w:val="en-GB"/>
              </w:rPr>
              <w:t xml:space="preserve">· </w:t>
            </w:r>
            <w:r w:rsidR="005F6CB8" w:rsidRPr="004E2C67">
              <w:rPr>
                <w:rFonts w:ascii="Verdana" w:hAnsi="Verdana"/>
                <w:b w:val="0"/>
                <w:bCs w:val="0"/>
                <w:color w:val="002060"/>
                <w:sz w:val="15"/>
                <w:szCs w:val="15"/>
                <w:lang w:val="en-GB"/>
              </w:rPr>
              <w:t>PRODUCT FUND LAWS</w:t>
            </w:r>
            <w:r w:rsidR="005F6CB8">
              <w:rPr>
                <w:rFonts w:ascii="Verdana" w:hAnsi="Verdana"/>
                <w:b w:val="0"/>
                <w:bCs w:val="0"/>
                <w:color w:val="002060"/>
                <w:sz w:val="15"/>
                <w:szCs w:val="15"/>
                <w:lang w:val="en-GB"/>
              </w:rPr>
              <w:t>.</w:t>
            </w:r>
          </w:p>
        </w:tc>
      </w:tr>
      <w:tr w:rsidR="005F6CB8" w:rsidRPr="00293E99" w14:paraId="33201550" w14:textId="77777777" w:rsidTr="00112270">
        <w:trPr>
          <w:trHeight w:val="76"/>
        </w:trPr>
        <w:tc>
          <w:tcPr>
            <w:tcW w:w="9640" w:type="dxa"/>
          </w:tcPr>
          <w:p w14:paraId="6E50F6FC" w14:textId="24F424FC" w:rsidR="005F6CB8" w:rsidRPr="00293E99" w:rsidRDefault="005F6CB8" w:rsidP="004E269A">
            <w:pPr>
              <w:pStyle w:val="NormalWeb"/>
              <w:spacing w:before="120" w:beforeAutospacing="0" w:after="0" w:afterAutospacing="0"/>
              <w:jc w:val="both"/>
              <w:rPr>
                <w:rFonts w:ascii="Verdana" w:hAnsi="Verdana"/>
                <w:color w:val="002060"/>
                <w:sz w:val="15"/>
                <w:szCs w:val="15"/>
                <w:lang w:val="en-GB"/>
              </w:rPr>
            </w:pPr>
            <w:r w:rsidRPr="00307D85">
              <w:rPr>
                <w:rFonts w:ascii="Verdana" w:hAnsi="Verdana"/>
                <w:color w:val="002060"/>
                <w:sz w:val="15"/>
                <w:szCs w:val="15"/>
                <w:lang w:val="en-GB"/>
              </w:rPr>
              <w:t>Quick Citation Reference:</w:t>
            </w:r>
          </w:p>
        </w:tc>
      </w:tr>
      <w:tr w:rsidR="00F61180" w:rsidRPr="00293E99" w14:paraId="65471C5F" w14:textId="77777777" w:rsidTr="00112270">
        <w:trPr>
          <w:trHeight w:val="76"/>
        </w:trPr>
        <w:tc>
          <w:tcPr>
            <w:tcW w:w="9640" w:type="dxa"/>
          </w:tcPr>
          <w:p w14:paraId="17885C3C" w14:textId="7B962B16" w:rsidR="00F61180" w:rsidRPr="00293E99" w:rsidRDefault="00F61180" w:rsidP="00F61180">
            <w:pPr>
              <w:pStyle w:val="NormalWeb"/>
              <w:spacing w:before="120" w:beforeAutospacing="0" w:after="0" w:afterAutospacing="0"/>
              <w:jc w:val="both"/>
              <w:rPr>
                <w:rFonts w:ascii="Verdana" w:hAnsi="Verdana"/>
                <w:color w:val="002060"/>
                <w:sz w:val="15"/>
                <w:szCs w:val="15"/>
                <w:lang w:val="en-GB"/>
              </w:rPr>
            </w:pPr>
            <w:r w:rsidRPr="00CF1FF3">
              <w:rPr>
                <w:rFonts w:ascii="Verdana" w:hAnsi="Verdana"/>
                <w:b w:val="0"/>
                <w:bCs w:val="0"/>
                <w:i/>
                <w:iCs/>
                <w:color w:val="002060"/>
                <w:sz w:val="15"/>
                <w:szCs w:val="15"/>
                <w:u w:val="single"/>
                <w:lang w:val="en-US"/>
              </w:rPr>
              <w:t>OSCOLA</w:t>
            </w:r>
            <w:r>
              <w:rPr>
                <w:rFonts w:ascii="Verdana" w:hAnsi="Verdana"/>
                <w:b w:val="0"/>
                <w:bCs w:val="0"/>
                <w:color w:val="002060"/>
                <w:sz w:val="15"/>
                <w:szCs w:val="15"/>
                <w:lang w:val="en-US"/>
              </w:rPr>
              <w:t xml:space="preserve">: </w:t>
            </w:r>
            <w:proofErr w:type="spellStart"/>
            <w:r w:rsidRPr="00CF1FF3">
              <w:rPr>
                <w:rFonts w:ascii="Verdana" w:hAnsi="Verdana"/>
                <w:b w:val="0"/>
                <w:bCs w:val="0"/>
                <w:color w:val="002060"/>
                <w:sz w:val="15"/>
                <w:szCs w:val="15"/>
                <w:lang w:val="en-GB"/>
              </w:rPr>
              <w:t>Ezechiel</w:t>
            </w:r>
            <w:proofErr w:type="spellEnd"/>
            <w:r w:rsidRPr="00CF1FF3">
              <w:rPr>
                <w:rFonts w:ascii="Verdana" w:hAnsi="Verdana"/>
                <w:b w:val="0"/>
                <w:bCs w:val="0"/>
                <w:color w:val="002060"/>
                <w:sz w:val="15"/>
                <w:szCs w:val="15"/>
                <w:lang w:val="en-GB"/>
              </w:rPr>
              <w:t xml:space="preserve"> </w:t>
            </w:r>
            <w:proofErr w:type="spellStart"/>
            <w:r w:rsidRPr="00CF1FF3">
              <w:rPr>
                <w:rFonts w:ascii="Verdana" w:hAnsi="Verdana"/>
                <w:b w:val="0"/>
                <w:bCs w:val="0"/>
                <w:color w:val="002060"/>
                <w:sz w:val="15"/>
                <w:szCs w:val="15"/>
                <w:lang w:val="en-GB"/>
              </w:rPr>
              <w:t>Havrenne</w:t>
            </w:r>
            <w:proofErr w:type="spellEnd"/>
            <w:r w:rsidRPr="00CF1FF3">
              <w:rPr>
                <w:rFonts w:ascii="Verdana" w:hAnsi="Verdana"/>
                <w:b w:val="0"/>
                <w:bCs w:val="0"/>
                <w:color w:val="002060"/>
                <w:sz w:val="15"/>
                <w:szCs w:val="15"/>
                <w:lang w:val="en-GB"/>
              </w:rPr>
              <w:t>, ‘</w:t>
            </w:r>
            <w:r>
              <w:rPr>
                <w:rFonts w:ascii="Verdana" w:hAnsi="Verdana"/>
                <w:b w:val="0"/>
                <w:bCs w:val="0"/>
                <w:color w:val="002060"/>
                <w:sz w:val="15"/>
                <w:szCs w:val="15"/>
                <w:lang w:val="en-GB"/>
              </w:rPr>
              <w:t>Compartment Insolvency in Luxembourg Investment Funds:</w:t>
            </w:r>
            <w:r w:rsidRPr="00CF1FF3">
              <w:rPr>
                <w:rFonts w:ascii="Verdana" w:hAnsi="Verdana"/>
                <w:b w:val="0"/>
                <w:bCs w:val="0"/>
                <w:color w:val="002060"/>
                <w:sz w:val="15"/>
                <w:szCs w:val="15"/>
                <w:lang w:val="en-GB"/>
              </w:rPr>
              <w:t xml:space="preserve"> </w:t>
            </w:r>
            <w:r>
              <w:rPr>
                <w:rFonts w:ascii="Verdana" w:hAnsi="Verdana"/>
                <w:b w:val="0"/>
                <w:bCs w:val="0"/>
                <w:color w:val="002060"/>
                <w:sz w:val="15"/>
                <w:szCs w:val="15"/>
                <w:lang w:val="en-GB"/>
              </w:rPr>
              <w:t>Ruling 186/25</w:t>
            </w:r>
            <w:r w:rsidR="000D0796">
              <w:rPr>
                <w:rFonts w:ascii="Verdana" w:hAnsi="Verdana"/>
                <w:b w:val="0"/>
                <w:bCs w:val="0"/>
                <w:color w:val="002060"/>
                <w:sz w:val="15"/>
                <w:szCs w:val="15"/>
                <w:lang w:val="en-GB"/>
              </w:rPr>
              <w:t xml:space="preserve"> </w:t>
            </w:r>
            <w:r>
              <w:rPr>
                <w:rFonts w:ascii="Verdana" w:hAnsi="Verdana"/>
                <w:b w:val="0"/>
                <w:bCs w:val="0"/>
                <w:color w:val="002060"/>
                <w:sz w:val="15"/>
                <w:szCs w:val="15"/>
                <w:lang w:val="en-GB"/>
              </w:rPr>
              <w:t>and the Boundary Between Bankruptcy and Judicial Liquidation After the 2023 Reform</w:t>
            </w:r>
            <w:r w:rsidRPr="00CF1FF3">
              <w:rPr>
                <w:rFonts w:ascii="Verdana" w:hAnsi="Verdana"/>
                <w:b w:val="0"/>
                <w:bCs w:val="0"/>
                <w:color w:val="002060"/>
                <w:sz w:val="15"/>
                <w:szCs w:val="15"/>
                <w:lang w:val="en-GB"/>
              </w:rPr>
              <w:t>’ (202</w:t>
            </w:r>
            <w:r>
              <w:rPr>
                <w:rFonts w:ascii="Verdana" w:hAnsi="Verdana"/>
                <w:b w:val="0"/>
                <w:bCs w:val="0"/>
                <w:color w:val="002060"/>
                <w:sz w:val="15"/>
                <w:szCs w:val="15"/>
                <w:lang w:val="en-GB"/>
              </w:rPr>
              <w:t>6</w:t>
            </w:r>
            <w:r w:rsidRPr="00CF1FF3">
              <w:rPr>
                <w:rFonts w:ascii="Verdana" w:hAnsi="Verdana"/>
                <w:b w:val="0"/>
                <w:bCs w:val="0"/>
                <w:color w:val="002060"/>
                <w:sz w:val="15"/>
                <w:szCs w:val="15"/>
                <w:lang w:val="en-GB"/>
              </w:rPr>
              <w:t xml:space="preserve">) 1(1) </w:t>
            </w:r>
            <w:proofErr w:type="spellStart"/>
            <w:r>
              <w:rPr>
                <w:rFonts w:ascii="Verdana" w:hAnsi="Verdana"/>
                <w:b w:val="0"/>
                <w:bCs w:val="0"/>
                <w:i/>
                <w:iCs/>
                <w:color w:val="002060"/>
                <w:sz w:val="15"/>
                <w:szCs w:val="15"/>
                <w:lang w:val="en-GB"/>
              </w:rPr>
              <w:t>NewTIFI</w:t>
            </w:r>
            <w:proofErr w:type="spellEnd"/>
            <w:r>
              <w:rPr>
                <w:rFonts w:ascii="Verdana" w:hAnsi="Verdana"/>
                <w:b w:val="0"/>
                <w:bCs w:val="0"/>
                <w:i/>
                <w:iCs/>
                <w:color w:val="002060"/>
                <w:sz w:val="15"/>
                <w:szCs w:val="15"/>
                <w:lang w:val="en-GB"/>
              </w:rPr>
              <w:t xml:space="preserve"> Restructuring &amp; Insolvency</w:t>
            </w:r>
            <w:r w:rsidRPr="00CF1FF3">
              <w:rPr>
                <w:rFonts w:ascii="Verdana" w:hAnsi="Verdana"/>
                <w:b w:val="0"/>
                <w:bCs w:val="0"/>
                <w:i/>
                <w:iCs/>
                <w:color w:val="002060"/>
                <w:sz w:val="15"/>
                <w:szCs w:val="15"/>
                <w:lang w:val="en-GB"/>
              </w:rPr>
              <w:t xml:space="preserve"> Journal</w:t>
            </w:r>
            <w:r w:rsidRPr="00CF1FF3">
              <w:rPr>
                <w:rFonts w:ascii="Verdana" w:hAnsi="Verdana"/>
                <w:b w:val="0"/>
                <w:bCs w:val="0"/>
                <w:color w:val="002060"/>
                <w:sz w:val="15"/>
                <w:szCs w:val="15"/>
                <w:lang w:val="en-GB"/>
              </w:rPr>
              <w:t xml:space="preserve">, </w:t>
            </w:r>
            <w:proofErr w:type="spellStart"/>
            <w:r w:rsidRPr="00CF1FF3">
              <w:rPr>
                <w:rFonts w:ascii="Verdana" w:hAnsi="Verdana"/>
                <w:b w:val="0"/>
                <w:bCs w:val="0"/>
                <w:color w:val="002060"/>
                <w:sz w:val="15"/>
                <w:szCs w:val="15"/>
                <w:lang w:val="en-GB"/>
              </w:rPr>
              <w:t>NewTIFI</w:t>
            </w:r>
            <w:proofErr w:type="spellEnd"/>
            <w:r w:rsidRPr="00CF1FF3">
              <w:rPr>
                <w:rFonts w:ascii="Verdana" w:hAnsi="Verdana"/>
                <w:b w:val="0"/>
                <w:bCs w:val="0"/>
                <w:color w:val="002060"/>
                <w:sz w:val="15"/>
                <w:szCs w:val="15"/>
                <w:lang w:val="en-GB"/>
              </w:rPr>
              <w:t xml:space="preserve"> Publishing, The New Technologies &amp; Investment Funds Institute, 1-</w:t>
            </w:r>
            <w:r>
              <w:rPr>
                <w:rFonts w:ascii="Verdana" w:hAnsi="Verdana"/>
                <w:b w:val="0"/>
                <w:bCs w:val="0"/>
                <w:color w:val="002060"/>
                <w:sz w:val="15"/>
                <w:szCs w:val="15"/>
                <w:lang w:val="en-GB"/>
              </w:rPr>
              <w:t>12</w:t>
            </w:r>
            <w:r w:rsidRPr="00CF1FF3">
              <w:rPr>
                <w:rFonts w:ascii="Verdana" w:hAnsi="Verdana"/>
                <w:b w:val="0"/>
                <w:bCs w:val="0"/>
                <w:color w:val="002060"/>
                <w:sz w:val="15"/>
                <w:szCs w:val="15"/>
                <w:lang w:val="en-GB"/>
              </w:rPr>
              <w:t>.</w:t>
            </w:r>
          </w:p>
        </w:tc>
      </w:tr>
      <w:tr w:rsidR="00F61180" w:rsidRPr="00293E99" w14:paraId="0FC77674" w14:textId="77777777" w:rsidTr="00112270">
        <w:trPr>
          <w:trHeight w:val="76"/>
        </w:trPr>
        <w:tc>
          <w:tcPr>
            <w:tcW w:w="9640" w:type="dxa"/>
          </w:tcPr>
          <w:p w14:paraId="199F4FDC" w14:textId="5495E9DD" w:rsidR="00F61180" w:rsidRPr="00293E99" w:rsidRDefault="00F61180" w:rsidP="00F61180">
            <w:pPr>
              <w:pStyle w:val="NormalWeb"/>
              <w:spacing w:before="120" w:beforeAutospacing="0" w:after="0" w:afterAutospacing="0"/>
              <w:jc w:val="both"/>
              <w:rPr>
                <w:rFonts w:ascii="Verdana" w:hAnsi="Verdana"/>
                <w:b w:val="0"/>
                <w:bCs w:val="0"/>
                <w:color w:val="002060"/>
                <w:sz w:val="15"/>
                <w:szCs w:val="15"/>
                <w:lang w:val="en-GB"/>
              </w:rPr>
            </w:pPr>
            <w:r w:rsidRPr="00CF1FF3">
              <w:rPr>
                <w:rFonts w:ascii="Verdana" w:hAnsi="Verdana"/>
                <w:b w:val="0"/>
                <w:bCs w:val="0"/>
                <w:i/>
                <w:iCs/>
                <w:color w:val="002060"/>
                <w:sz w:val="15"/>
                <w:szCs w:val="15"/>
                <w:u w:val="single"/>
              </w:rPr>
              <w:t>Blue</w:t>
            </w:r>
            <w:r w:rsidRPr="00CF1FF3">
              <w:rPr>
                <w:rFonts w:ascii="Verdana" w:hAnsi="Verdana"/>
                <w:b w:val="0"/>
                <w:bCs w:val="0"/>
                <w:i/>
                <w:iCs/>
                <w:color w:val="002060"/>
                <w:sz w:val="15"/>
                <w:szCs w:val="15"/>
                <w:u w:val="single"/>
                <w:lang w:val="en-US"/>
              </w:rPr>
              <w:t>b</w:t>
            </w:r>
            <w:r w:rsidRPr="00CF1FF3">
              <w:rPr>
                <w:rFonts w:ascii="Verdana" w:hAnsi="Verdana"/>
                <w:b w:val="0"/>
                <w:bCs w:val="0"/>
                <w:i/>
                <w:iCs/>
                <w:color w:val="002060"/>
                <w:sz w:val="15"/>
                <w:szCs w:val="15"/>
                <w:u w:val="single"/>
              </w:rPr>
              <w:t>ook</w:t>
            </w:r>
            <w:r>
              <w:rPr>
                <w:rFonts w:ascii="Verdana" w:hAnsi="Verdana"/>
                <w:b w:val="0"/>
                <w:bCs w:val="0"/>
                <w:color w:val="002060"/>
                <w:sz w:val="15"/>
                <w:szCs w:val="15"/>
              </w:rPr>
              <w:t>:</w:t>
            </w:r>
            <w:r w:rsidRPr="00CF1FF3">
              <w:rPr>
                <w:rFonts w:ascii="Verdana" w:hAnsi="Verdana"/>
                <w:b w:val="0"/>
                <w:bCs w:val="0"/>
                <w:color w:val="002060"/>
                <w:sz w:val="15"/>
                <w:szCs w:val="15"/>
                <w:lang w:val="en-US"/>
              </w:rPr>
              <w:t xml:space="preserve"> </w:t>
            </w:r>
            <w:r w:rsidRPr="00CF1FF3">
              <w:rPr>
                <w:rFonts w:ascii="Verdana" w:hAnsi="Verdana"/>
                <w:b w:val="0"/>
                <w:bCs w:val="0"/>
                <w:color w:val="002060"/>
                <w:sz w:val="15"/>
                <w:szCs w:val="15"/>
              </w:rPr>
              <w:t>Ezechiel Havrenne,</w:t>
            </w:r>
            <w:r w:rsidRPr="00CF1FF3">
              <w:rPr>
                <w:rFonts w:ascii="Verdana" w:hAnsi="Verdana"/>
                <w:b w:val="0"/>
                <w:bCs w:val="0"/>
                <w:color w:val="002060"/>
                <w:sz w:val="15"/>
                <w:szCs w:val="15"/>
                <w:lang w:val="en-US"/>
              </w:rPr>
              <w:t xml:space="preserve"> </w:t>
            </w:r>
            <w:r w:rsidRPr="00F61180">
              <w:rPr>
                <w:rFonts w:ascii="Verdana" w:hAnsi="Verdana"/>
                <w:b w:val="0"/>
                <w:bCs w:val="0"/>
                <w:i/>
                <w:iCs/>
                <w:color w:val="002060"/>
                <w:sz w:val="15"/>
                <w:szCs w:val="15"/>
                <w:lang w:val="en-GB"/>
              </w:rPr>
              <w:t>Compartment Insolvency in Luxembourg Investment Funds: Ruling 186/25</w:t>
            </w:r>
            <w:r w:rsidR="000D0796">
              <w:rPr>
                <w:rFonts w:ascii="Verdana" w:hAnsi="Verdana"/>
                <w:b w:val="0"/>
                <w:bCs w:val="0"/>
                <w:i/>
                <w:iCs/>
                <w:color w:val="002060"/>
                <w:sz w:val="15"/>
                <w:szCs w:val="15"/>
                <w:lang w:val="en-GB"/>
              </w:rPr>
              <w:t xml:space="preserve"> </w:t>
            </w:r>
            <w:r w:rsidRPr="00F61180">
              <w:rPr>
                <w:rFonts w:ascii="Verdana" w:hAnsi="Verdana"/>
                <w:b w:val="0"/>
                <w:bCs w:val="0"/>
                <w:i/>
                <w:iCs/>
                <w:color w:val="002060"/>
                <w:sz w:val="15"/>
                <w:szCs w:val="15"/>
                <w:lang w:val="en-GB"/>
              </w:rPr>
              <w:t>and the Boundary Between Bankruptcy and Judicial Liquidation After the 2023 Reform</w:t>
            </w:r>
            <w:r w:rsidRPr="00CF1FF3">
              <w:rPr>
                <w:rFonts w:ascii="Verdana" w:hAnsi="Verdana"/>
                <w:b w:val="0"/>
                <w:bCs w:val="0"/>
                <w:color w:val="002060"/>
                <w:sz w:val="15"/>
                <w:szCs w:val="15"/>
              </w:rPr>
              <w:t>, 1</w:t>
            </w:r>
            <w:r w:rsidRPr="00CF1FF3">
              <w:rPr>
                <w:rFonts w:ascii="Verdana" w:hAnsi="Verdana"/>
                <w:b w:val="0"/>
                <w:bCs w:val="0"/>
                <w:color w:val="002060"/>
                <w:sz w:val="15"/>
                <w:szCs w:val="15"/>
                <w:lang w:val="en-US"/>
              </w:rPr>
              <w:t xml:space="preserve"> </w:t>
            </w:r>
            <w:proofErr w:type="spellStart"/>
            <w:r>
              <w:rPr>
                <w:rFonts w:ascii="Verdana" w:hAnsi="Verdana"/>
                <w:b w:val="0"/>
                <w:bCs w:val="0"/>
                <w:color w:val="002060"/>
                <w:sz w:val="15"/>
                <w:szCs w:val="15"/>
                <w:lang w:val="en-US"/>
              </w:rPr>
              <w:t>NewTIFI</w:t>
            </w:r>
            <w:proofErr w:type="spellEnd"/>
            <w:r>
              <w:rPr>
                <w:rFonts w:ascii="Verdana" w:hAnsi="Verdana"/>
                <w:b w:val="0"/>
                <w:bCs w:val="0"/>
                <w:color w:val="002060"/>
                <w:sz w:val="15"/>
                <w:szCs w:val="15"/>
                <w:lang w:val="en-US"/>
              </w:rPr>
              <w:t xml:space="preserve"> </w:t>
            </w:r>
            <w:proofErr w:type="spellStart"/>
            <w:r w:rsidRPr="00F61180">
              <w:rPr>
                <w:rFonts w:ascii="Verdana" w:hAnsi="Verdana"/>
                <w:b w:val="0"/>
                <w:bCs w:val="0"/>
                <w:color w:val="002060"/>
                <w:sz w:val="15"/>
                <w:szCs w:val="15"/>
                <w:lang w:val="en-US"/>
              </w:rPr>
              <w:t>Restr</w:t>
            </w:r>
            <w:proofErr w:type="spellEnd"/>
            <w:r w:rsidRPr="00F61180">
              <w:rPr>
                <w:rFonts w:ascii="Verdana" w:hAnsi="Verdana"/>
                <w:b w:val="0"/>
                <w:bCs w:val="0"/>
                <w:color w:val="002060"/>
                <w:sz w:val="15"/>
                <w:szCs w:val="15"/>
                <w:lang w:val="en-US"/>
              </w:rPr>
              <w:t>. Insol.</w:t>
            </w:r>
            <w:r w:rsidRPr="00CF1FF3">
              <w:rPr>
                <w:rStyle w:val="Strong"/>
                <w:rFonts w:ascii="Verdana" w:hAnsi="Verdana"/>
                <w:color w:val="002060"/>
                <w:sz w:val="15"/>
                <w:szCs w:val="15"/>
              </w:rPr>
              <w:t xml:space="preserve"> J.</w:t>
            </w:r>
            <w:r w:rsidRPr="00CF1FF3">
              <w:rPr>
                <w:rStyle w:val="Strong"/>
                <w:rFonts w:ascii="Verdana" w:hAnsi="Verdana"/>
                <w:b/>
                <w:bCs/>
                <w:color w:val="002060"/>
                <w:sz w:val="15"/>
                <w:szCs w:val="15"/>
                <w:lang w:val="en-US"/>
              </w:rPr>
              <w:t xml:space="preserve"> </w:t>
            </w:r>
            <w:r w:rsidRPr="00CF1FF3">
              <w:rPr>
                <w:rFonts w:ascii="Verdana" w:hAnsi="Verdana"/>
                <w:b w:val="0"/>
                <w:bCs w:val="0"/>
                <w:color w:val="002060"/>
                <w:sz w:val="15"/>
                <w:szCs w:val="15"/>
              </w:rPr>
              <w:t>(NewTIFI Publ’g, New Techs. &amp; Inv. Funds Inst.) 1, 1–</w:t>
            </w:r>
            <w:r w:rsidRPr="00CF1FF3">
              <w:rPr>
                <w:rFonts w:ascii="Verdana" w:hAnsi="Verdana"/>
                <w:b w:val="0"/>
                <w:bCs w:val="0"/>
                <w:color w:val="002060"/>
                <w:sz w:val="15"/>
                <w:szCs w:val="15"/>
                <w:lang w:val="en-US"/>
              </w:rPr>
              <w:t>1</w:t>
            </w:r>
            <w:r>
              <w:rPr>
                <w:rFonts w:ascii="Verdana" w:hAnsi="Verdana"/>
                <w:b w:val="0"/>
                <w:bCs w:val="0"/>
                <w:color w:val="002060"/>
                <w:sz w:val="15"/>
                <w:szCs w:val="15"/>
                <w:lang w:val="en-US"/>
              </w:rPr>
              <w:t>2</w:t>
            </w:r>
            <w:r w:rsidRPr="00CF1FF3">
              <w:rPr>
                <w:rFonts w:ascii="Verdana" w:hAnsi="Verdana"/>
                <w:b w:val="0"/>
                <w:bCs w:val="0"/>
                <w:color w:val="002060"/>
                <w:sz w:val="15"/>
                <w:szCs w:val="15"/>
              </w:rPr>
              <w:t xml:space="preserve"> (202</w:t>
            </w:r>
            <w:r w:rsidRPr="000D0796">
              <w:rPr>
                <w:rFonts w:ascii="Verdana" w:hAnsi="Verdana"/>
                <w:b w:val="0"/>
                <w:bCs w:val="0"/>
                <w:color w:val="002060"/>
                <w:sz w:val="15"/>
                <w:szCs w:val="15"/>
                <w:lang w:val="en-US"/>
              </w:rPr>
              <w:t>6</w:t>
            </w:r>
            <w:r w:rsidRPr="00CF1FF3">
              <w:rPr>
                <w:rFonts w:ascii="Verdana" w:hAnsi="Verdana"/>
                <w:b w:val="0"/>
                <w:bCs w:val="0"/>
                <w:color w:val="002060"/>
                <w:sz w:val="15"/>
                <w:szCs w:val="15"/>
              </w:rPr>
              <w:t>).</w:t>
            </w:r>
          </w:p>
        </w:tc>
      </w:tr>
      <w:tr w:rsidR="005F6CB8" w:rsidRPr="00293E99" w14:paraId="551C9097" w14:textId="77777777" w:rsidTr="00112270">
        <w:trPr>
          <w:trHeight w:val="76"/>
        </w:trPr>
        <w:tc>
          <w:tcPr>
            <w:tcW w:w="9640" w:type="dxa"/>
          </w:tcPr>
          <w:p w14:paraId="2558A772" w14:textId="713BE311" w:rsidR="005F6CB8" w:rsidRPr="005F6CB8" w:rsidRDefault="005F6CB8" w:rsidP="005F6CB8">
            <w:pPr>
              <w:pStyle w:val="NormalWeb"/>
              <w:spacing w:before="120" w:beforeAutospacing="0" w:after="0" w:afterAutospacing="0"/>
              <w:jc w:val="both"/>
              <w:rPr>
                <w:rFonts w:ascii="Verdana" w:hAnsi="Verdana"/>
                <w:i/>
                <w:iCs/>
                <w:color w:val="002060"/>
                <w:sz w:val="15"/>
                <w:szCs w:val="15"/>
                <w:u w:val="single"/>
                <w:lang w:val="en-US"/>
              </w:rPr>
            </w:pPr>
            <w:r w:rsidRPr="005F6CB8">
              <w:rPr>
                <w:rFonts w:ascii="Verdana" w:hAnsi="Verdana"/>
                <w:color w:val="002060"/>
                <w:sz w:val="15"/>
                <w:szCs w:val="15"/>
                <w:lang w:val="en-GB"/>
              </w:rPr>
              <w:t xml:space="preserve">Journal Home Page: </w:t>
            </w:r>
            <w:hyperlink r:id="rId15" w:history="1">
              <w:r w:rsidRPr="005F6CB8">
                <w:rPr>
                  <w:rStyle w:val="Hyperlink"/>
                  <w:rFonts w:ascii="Verdana" w:hAnsi="Verdana"/>
                  <w:sz w:val="15"/>
                  <w:szCs w:val="15"/>
                  <w:lang w:val="en-GB"/>
                </w:rPr>
                <w:t>www.newtifi.com/publishing/journals/restructuring</w:t>
              </w:r>
            </w:hyperlink>
            <w:r w:rsidRPr="005F6CB8">
              <w:rPr>
                <w:rStyle w:val="Hyperlink"/>
                <w:rFonts w:ascii="Verdana" w:hAnsi="Verdana"/>
                <w:sz w:val="15"/>
                <w:szCs w:val="15"/>
                <w:lang w:val="en-GB"/>
              </w:rPr>
              <w:t xml:space="preserve"> </w:t>
            </w:r>
            <w:r w:rsidRPr="005F6CB8">
              <w:rPr>
                <w:rStyle w:val="Hyperlink"/>
                <w:rFonts w:ascii="Verdana" w:hAnsi="Verdana"/>
                <w:sz w:val="15"/>
                <w:szCs w:val="15"/>
              </w:rPr>
              <w:t>&amp;</w:t>
            </w:r>
            <w:r w:rsidRPr="005F6CB8">
              <w:rPr>
                <w:rStyle w:val="Hyperlink"/>
                <w:rFonts w:ascii="Verdana" w:hAnsi="Verdana"/>
                <w:sz w:val="15"/>
                <w:szCs w:val="15"/>
                <w:lang w:val="en-US"/>
              </w:rPr>
              <w:t xml:space="preserve"> insolvency</w:t>
            </w:r>
          </w:p>
        </w:tc>
      </w:tr>
    </w:tbl>
    <w:p w14:paraId="08D9549D" w14:textId="6A24F5C0" w:rsidR="00035CA1" w:rsidRPr="00293E99" w:rsidRDefault="00035CA1" w:rsidP="00437F0B">
      <w:pPr>
        <w:pStyle w:val="BodyText"/>
        <w:spacing w:before="120"/>
        <w:rPr>
          <w:rFonts w:ascii="Verdana" w:hAnsi="Verdana"/>
          <w:b/>
          <w:sz w:val="19"/>
          <w:lang w:val="en-GB"/>
        </w:rPr>
        <w:sectPr w:rsidR="00035CA1" w:rsidRPr="00293E99" w:rsidSect="00035CA1">
          <w:headerReference w:type="default" r:id="rId16"/>
          <w:footerReference w:type="even" r:id="rId17"/>
          <w:footerReference w:type="default" r:id="rId18"/>
          <w:type w:val="continuous"/>
          <w:pgSz w:w="11906" w:h="16838"/>
          <w:pgMar w:top="1440" w:right="1440" w:bottom="1440" w:left="1440" w:header="708" w:footer="708" w:gutter="0"/>
          <w:cols w:space="708"/>
          <w:docGrid w:linePitch="360"/>
        </w:sectPr>
      </w:pPr>
      <w:r w:rsidRPr="00293E99">
        <w:rPr>
          <w:rFonts w:ascii="Verdana" w:hAnsi="Verdana"/>
          <w:b/>
          <w:noProof/>
          <w:sz w:val="19"/>
          <w:lang w:val="en-GB"/>
        </w:rPr>
        <mc:AlternateContent>
          <mc:Choice Requires="wps">
            <w:drawing>
              <wp:anchor distT="0" distB="0" distL="0" distR="0" simplePos="0" relativeHeight="251660288" behindDoc="1" locked="0" layoutInCell="1" allowOverlap="1" wp14:anchorId="1839A036" wp14:editId="75C3F3B5">
                <wp:simplePos x="0" y="0"/>
                <wp:positionH relativeFrom="page">
                  <wp:posOffset>443159</wp:posOffset>
                </wp:positionH>
                <wp:positionV relativeFrom="paragraph">
                  <wp:posOffset>165784</wp:posOffset>
                </wp:positionV>
                <wp:extent cx="6668134" cy="1270"/>
                <wp:effectExtent l="0" t="0" r="0" b="0"/>
                <wp:wrapTopAndBottom/>
                <wp:docPr id="185731196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134" cy="1270"/>
                        </a:xfrm>
                        <a:custGeom>
                          <a:avLst/>
                          <a:gdLst/>
                          <a:ahLst/>
                          <a:cxnLst/>
                          <a:rect l="l" t="t" r="r" b="b"/>
                          <a:pathLst>
                            <a:path w="6668134">
                              <a:moveTo>
                                <a:pt x="0" y="0"/>
                              </a:moveTo>
                              <a:lnTo>
                                <a:pt x="666766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9B6A9" id="Graphic 6" o:spid="_x0000_s1026" style="position:absolute;margin-left:34.9pt;margin-top:13.05pt;width:525.0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66813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t+jFQIAAFsEAAAOAAAAZHJzL2Uyb0RvYy54bWysVMFu2zAMvQ/YPwi6L06yNe2MOMXQoMOA&#13;&#10;oivQDDsrshwbk0WNVOL070fJdpJ2t2E+CJT4RD7yUV7eHlsrDgapAVfI2WQqhXEaysbtCvljc//h&#13;&#10;RgoKypXKgjOFfDEkb1fv3y07n5s51GBLg4KDOMo7X8g6BJ9nGenatIom4I1jZwXYqsBb3GUlqo6j&#13;&#10;tzabT6eLrAMsPYI2RHy67p1yleJXldHhe1WRCcIWkrmFtGJat3HNVkuV71D5utEDDfUPLFrVOE56&#13;&#10;CrVWQYk9Nn+FahuNQFCFiYY2g6pqtEk1cDWz6ZtqnmvlTaqFm0P+1Cb6f2H14+HZP2GkTv4B9C/i&#13;&#10;jmSdp/zkiRsaMMcK24hl4uKYuvhy6qI5BqH5cLFY3Mw+fpJCs282v05NzlQ+3tV7Cl8NpDjq8ECh&#13;&#10;16AcLVWPlj660URWMmpok4ZBCtYQpWANt72GXoV4L5KLpujOROJZCwezgeQNb5gztbPXuksUl3K9&#13;&#10;WMykGKtkbI9gI6bhXvVGSs32ZXHWRRafr+ZXaTQIbFPeN9ZGFoS77Z1FcVBxMNMX6+AIr2AeKawV&#13;&#10;1T0uuQaYdYNOvTRRpC2UL08oOp7mQtLvvUIjhf3meFzi6I8GjsZ2NDDYO0gPJDWIc26OPxV6EdMX&#13;&#10;MrCyjzAOo8pH0WLpJ2y86eDLPkDVREXTDPWMhg1PcCpweG3xiVzuE+r8T1j9AQAA//8DAFBLAwQU&#13;&#10;AAYACAAAACEACvnsH+IAAAAOAQAADwAAAGRycy9kb3ducmV2LnhtbEyPQUvDQBCF74L/YZmCN7tJ&#13;&#10;hGjSbEqteFEQWqV43GSnSWh2dtndtvHfuznpZWDm8d58r1pPemQXdH4wJCBdJsCQWqMG6gR8fb7e&#13;&#10;PwHzQZKSoyEU8IMe1vXtTSVLZa60w8s+dCyGkC+lgD4EW3Lu2x619EtjkaJ2NE7LEFfXceXkNYbr&#13;&#10;kWdJknMtB4ofemlx22N72p+1AJcdN9vm7R399/PH4VFZbYfkIMTdYnpZxbFZAQs4hT8HzB0iP9QR&#13;&#10;rDFnUp6NAvIi4gcBWZ4Cm/U0LQpgzXx5AF5X/H+N+hcAAP//AwBQSwECLQAUAAYACAAAACEAtoM4&#13;&#10;kv4AAADhAQAAEwAAAAAAAAAAAAAAAAAAAAAAW0NvbnRlbnRfVHlwZXNdLnhtbFBLAQItABQABgAI&#13;&#10;AAAAIQA4/SH/1gAAAJQBAAALAAAAAAAAAAAAAAAAAC8BAABfcmVscy8ucmVsc1BLAQItABQABgAI&#13;&#10;AAAAIQDAVt+jFQIAAFsEAAAOAAAAAAAAAAAAAAAAAC4CAABkcnMvZTJvRG9jLnhtbFBLAQItABQA&#13;&#10;BgAIAAAAIQAK+ewf4gAAAA4BAAAPAAAAAAAAAAAAAAAAAG8EAABkcnMvZG93bnJldi54bWxQSwUG&#13;&#10;AAAAAAQABADzAAAAfgUAAAAA&#13;&#10;" path="m,l6667661,e" filled="f">
                <v:path arrowok="t"/>
                <w10:wrap type="topAndBottom" anchorx="page"/>
              </v:shape>
            </w:pict>
          </mc:Fallback>
        </mc:AlternateContent>
      </w:r>
    </w:p>
    <w:tbl>
      <w:tblPr>
        <w:tblStyle w:val="TableGrid"/>
        <w:tblW w:w="9498"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tblGrid>
      <w:tr w:rsidR="00247CAF" w:rsidRPr="00293E99" w14:paraId="036B0304" w14:textId="77777777" w:rsidTr="001617F7">
        <w:tc>
          <w:tcPr>
            <w:tcW w:w="9498" w:type="dxa"/>
          </w:tcPr>
          <w:p w14:paraId="4DB3BD1E" w14:textId="01B6878B" w:rsidR="00247CAF" w:rsidRPr="00293E99" w:rsidRDefault="00247CAF" w:rsidP="00437F0B">
            <w:pPr>
              <w:pStyle w:val="NormalWeb"/>
              <w:spacing w:before="0" w:beforeAutospacing="0" w:after="120" w:afterAutospacing="0"/>
              <w:jc w:val="both"/>
              <w:rPr>
                <w:rFonts w:ascii="Verdana" w:hAnsi="Verdana"/>
                <w:color w:val="002060"/>
                <w:sz w:val="18"/>
                <w:szCs w:val="18"/>
                <w:lang w:val="en-GB"/>
              </w:rPr>
            </w:pPr>
            <w:r w:rsidRPr="00293E99">
              <w:rPr>
                <w:rFonts w:ascii="Verdana" w:hAnsi="Verdana"/>
                <w:b w:val="0"/>
                <w:bCs w:val="0"/>
                <w:i/>
                <w:iCs/>
                <w:color w:val="002060"/>
                <w:w w:val="105"/>
                <w:sz w:val="10"/>
                <w:szCs w:val="10"/>
                <w:lang w:val="en-GB"/>
              </w:rPr>
              <w:t xml:space="preserve">This article was authored by </w:t>
            </w:r>
            <w:proofErr w:type="spellStart"/>
            <w:r w:rsidRPr="00293E99">
              <w:rPr>
                <w:rFonts w:ascii="Verdana" w:hAnsi="Verdana"/>
                <w:b w:val="0"/>
                <w:bCs w:val="0"/>
                <w:i/>
                <w:iCs/>
                <w:color w:val="002060"/>
                <w:w w:val="105"/>
                <w:sz w:val="10"/>
                <w:szCs w:val="10"/>
                <w:lang w:val="en-GB"/>
              </w:rPr>
              <w:t>Ezechiel</w:t>
            </w:r>
            <w:proofErr w:type="spellEnd"/>
            <w:r w:rsidRPr="00293E99">
              <w:rPr>
                <w:rFonts w:ascii="Verdana" w:hAnsi="Verdana"/>
                <w:b w:val="0"/>
                <w:bCs w:val="0"/>
                <w:i/>
                <w:iCs/>
                <w:color w:val="002060"/>
                <w:w w:val="105"/>
                <w:sz w:val="10"/>
                <w:szCs w:val="10"/>
                <w:lang w:val="en-GB"/>
              </w:rPr>
              <w:t xml:space="preserve"> </w:t>
            </w:r>
            <w:proofErr w:type="spellStart"/>
            <w:r w:rsidRPr="00293E99">
              <w:rPr>
                <w:rFonts w:ascii="Verdana" w:hAnsi="Verdana"/>
                <w:b w:val="0"/>
                <w:bCs w:val="0"/>
                <w:i/>
                <w:iCs/>
                <w:color w:val="002060"/>
                <w:w w:val="105"/>
                <w:sz w:val="10"/>
                <w:szCs w:val="10"/>
                <w:lang w:val="en-GB"/>
              </w:rPr>
              <w:t>Havrenne</w:t>
            </w:r>
            <w:proofErr w:type="spellEnd"/>
            <w:r w:rsidR="004E269A" w:rsidRPr="00293E99">
              <w:rPr>
                <w:rFonts w:ascii="Verdana" w:hAnsi="Verdana"/>
                <w:b w:val="0"/>
                <w:bCs w:val="0"/>
                <w:i/>
                <w:iCs/>
                <w:color w:val="002060"/>
                <w:w w:val="105"/>
                <w:sz w:val="10"/>
                <w:szCs w:val="10"/>
                <w:lang w:val="en-GB"/>
              </w:rPr>
              <w:t xml:space="preserve"> </w:t>
            </w:r>
            <w:r w:rsidRPr="00293E99">
              <w:rPr>
                <w:rFonts w:ascii="Verdana" w:hAnsi="Verdana"/>
                <w:b w:val="0"/>
                <w:bCs w:val="0"/>
                <w:i/>
                <w:iCs/>
                <w:color w:val="002060"/>
                <w:w w:val="105"/>
                <w:sz w:val="10"/>
                <w:szCs w:val="10"/>
                <w:lang w:val="en-GB"/>
              </w:rPr>
              <w:t xml:space="preserve">and has been subject to </w:t>
            </w:r>
            <w:r w:rsidR="004E269A" w:rsidRPr="00293E99">
              <w:rPr>
                <w:rFonts w:ascii="Verdana" w:hAnsi="Verdana"/>
                <w:b w:val="0"/>
                <w:bCs w:val="0"/>
                <w:i/>
                <w:iCs/>
                <w:color w:val="002060"/>
                <w:w w:val="105"/>
                <w:sz w:val="10"/>
                <w:szCs w:val="10"/>
                <w:lang w:val="en-GB"/>
              </w:rPr>
              <w:t xml:space="preserve">a double </w:t>
            </w:r>
            <w:r w:rsidRPr="00293E99">
              <w:rPr>
                <w:rFonts w:ascii="Verdana" w:hAnsi="Verdana"/>
                <w:b w:val="0"/>
                <w:bCs w:val="0"/>
                <w:i/>
                <w:iCs/>
                <w:color w:val="002060"/>
                <w:w w:val="105"/>
                <w:sz w:val="10"/>
                <w:szCs w:val="10"/>
                <w:lang w:val="en-GB"/>
              </w:rPr>
              <w:t>peer review. The views expressed herein reflect the authors</w:t>
            </w:r>
            <w:r w:rsidR="004E269A" w:rsidRPr="00293E99">
              <w:rPr>
                <w:rFonts w:ascii="Verdana" w:hAnsi="Verdana"/>
                <w:b w:val="0"/>
                <w:bCs w:val="0"/>
                <w:i/>
                <w:iCs/>
                <w:color w:val="002060"/>
                <w:w w:val="105"/>
                <w:sz w:val="10"/>
                <w:szCs w:val="10"/>
                <w:lang w:val="en-GB"/>
              </w:rPr>
              <w:t>’</w:t>
            </w:r>
            <w:r w:rsidRPr="00293E99">
              <w:rPr>
                <w:rFonts w:ascii="Verdana" w:hAnsi="Verdana"/>
                <w:b w:val="0"/>
                <w:bCs w:val="0"/>
                <w:i/>
                <w:iCs/>
                <w:color w:val="002060"/>
                <w:w w:val="105"/>
                <w:sz w:val="10"/>
                <w:szCs w:val="10"/>
                <w:lang w:val="en-GB"/>
              </w:rPr>
              <w:t xml:space="preserve"> experience and understanding of the subject matter at the time of writing. Given the dynamic nature of the investment management sector, these views may evolve over time. This publication is intended solely for academic and informational purposes. It does not constitute, and should not be relied upon as legal, tax, investment, or structuring advice from the author</w:t>
            </w:r>
            <w:r w:rsidR="004E269A" w:rsidRPr="00293E99">
              <w:rPr>
                <w:rFonts w:ascii="Verdana" w:hAnsi="Verdana"/>
                <w:b w:val="0"/>
                <w:bCs w:val="0"/>
                <w:i/>
                <w:iCs/>
                <w:color w:val="002060"/>
                <w:w w:val="105"/>
                <w:sz w:val="10"/>
                <w:szCs w:val="10"/>
                <w:lang w:val="en-GB"/>
              </w:rPr>
              <w:t>s</w:t>
            </w:r>
            <w:r w:rsidRPr="00293E99">
              <w:rPr>
                <w:rFonts w:ascii="Verdana" w:hAnsi="Verdana"/>
                <w:b w:val="0"/>
                <w:bCs w:val="0"/>
                <w:i/>
                <w:iCs/>
                <w:color w:val="002060"/>
                <w:w w:val="105"/>
                <w:sz w:val="10"/>
                <w:szCs w:val="10"/>
                <w:lang w:val="en-GB"/>
              </w:rPr>
              <w:t>, the peer-</w:t>
            </w:r>
            <w:r w:rsidR="004E269A" w:rsidRPr="00293E99">
              <w:rPr>
                <w:rFonts w:ascii="Verdana" w:hAnsi="Verdana"/>
                <w:b w:val="0"/>
                <w:bCs w:val="0"/>
                <w:i/>
                <w:iCs/>
                <w:color w:val="002060"/>
                <w:w w:val="105"/>
                <w:sz w:val="10"/>
                <w:szCs w:val="10"/>
                <w:lang w:val="en-GB"/>
              </w:rPr>
              <w:t>reviewers</w:t>
            </w:r>
            <w:r w:rsidRPr="00293E99">
              <w:rPr>
                <w:rFonts w:ascii="Verdana" w:hAnsi="Verdana"/>
                <w:b w:val="0"/>
                <w:bCs w:val="0"/>
                <w:i/>
                <w:iCs/>
                <w:color w:val="002060"/>
                <w:w w:val="105"/>
                <w:sz w:val="10"/>
                <w:szCs w:val="10"/>
                <w:lang w:val="en-GB"/>
              </w:rPr>
              <w:t>, or any affiliated individual or organisation. Furthermore, the content thereof does not necessarily reflect the official position of any entity with which the author</w:t>
            </w:r>
            <w:r w:rsidR="004E269A" w:rsidRPr="00293E99">
              <w:rPr>
                <w:rFonts w:ascii="Verdana" w:hAnsi="Verdana"/>
                <w:b w:val="0"/>
                <w:bCs w:val="0"/>
                <w:i/>
                <w:iCs/>
                <w:color w:val="002060"/>
                <w:w w:val="105"/>
                <w:sz w:val="10"/>
                <w:szCs w:val="10"/>
                <w:lang w:val="en-GB"/>
              </w:rPr>
              <w:t>s</w:t>
            </w:r>
            <w:r w:rsidRPr="00293E99">
              <w:rPr>
                <w:rFonts w:ascii="Verdana" w:hAnsi="Verdana"/>
                <w:b w:val="0"/>
                <w:bCs w:val="0"/>
                <w:i/>
                <w:iCs/>
                <w:color w:val="002060"/>
                <w:w w:val="105"/>
                <w:sz w:val="10"/>
                <w:szCs w:val="10"/>
                <w:lang w:val="en-GB"/>
              </w:rPr>
              <w:t xml:space="preserve"> or peer-</w:t>
            </w:r>
            <w:r w:rsidR="004E269A" w:rsidRPr="00293E99">
              <w:rPr>
                <w:rFonts w:ascii="Verdana" w:hAnsi="Verdana"/>
                <w:b w:val="0"/>
                <w:bCs w:val="0"/>
                <w:i/>
                <w:iCs/>
                <w:color w:val="002060"/>
                <w:w w:val="105"/>
                <w:sz w:val="10"/>
                <w:szCs w:val="10"/>
                <w:lang w:val="en-GB"/>
              </w:rPr>
              <w:t>reviewers</w:t>
            </w:r>
            <w:r w:rsidRPr="00293E99">
              <w:rPr>
                <w:rFonts w:ascii="Verdana" w:hAnsi="Verdana"/>
                <w:b w:val="0"/>
                <w:bCs w:val="0"/>
                <w:i/>
                <w:iCs/>
                <w:color w:val="002060"/>
                <w:w w:val="105"/>
                <w:sz w:val="10"/>
                <w:szCs w:val="10"/>
                <w:lang w:val="en-GB"/>
              </w:rPr>
              <w:t xml:space="preserve"> may be affiliated and or the one of the New Technologies &amp; Investment Funds Institute. The New Technologies &amp; Investment Funds Institute, the author</w:t>
            </w:r>
            <w:r w:rsidR="004E269A" w:rsidRPr="00293E99">
              <w:rPr>
                <w:rFonts w:ascii="Verdana" w:hAnsi="Verdana"/>
                <w:b w:val="0"/>
                <w:bCs w:val="0"/>
                <w:i/>
                <w:iCs/>
                <w:color w:val="002060"/>
                <w:w w:val="105"/>
                <w:sz w:val="10"/>
                <w:szCs w:val="10"/>
                <w:lang w:val="en-GB"/>
              </w:rPr>
              <w:t>s</w:t>
            </w:r>
            <w:r w:rsidRPr="00293E99">
              <w:rPr>
                <w:rFonts w:ascii="Verdana" w:hAnsi="Verdana"/>
                <w:b w:val="0"/>
                <w:bCs w:val="0"/>
                <w:i/>
                <w:iCs/>
                <w:color w:val="002060"/>
                <w:w w:val="105"/>
                <w:sz w:val="10"/>
                <w:szCs w:val="10"/>
                <w:lang w:val="en-GB"/>
              </w:rPr>
              <w:t>, and the peer-</w:t>
            </w:r>
            <w:r w:rsidR="004E269A" w:rsidRPr="00293E99">
              <w:rPr>
                <w:rFonts w:ascii="Verdana" w:hAnsi="Verdana"/>
                <w:b w:val="0"/>
                <w:bCs w:val="0"/>
                <w:i/>
                <w:iCs/>
                <w:color w:val="002060"/>
                <w:w w:val="105"/>
                <w:sz w:val="10"/>
                <w:szCs w:val="10"/>
                <w:lang w:val="en-GB"/>
              </w:rPr>
              <w:t>reviewers</w:t>
            </w:r>
            <w:r w:rsidRPr="00293E99">
              <w:rPr>
                <w:rFonts w:ascii="Verdana" w:hAnsi="Verdana"/>
                <w:b w:val="0"/>
                <w:bCs w:val="0"/>
                <w:i/>
                <w:iCs/>
                <w:color w:val="002060"/>
                <w:w w:val="105"/>
                <w:sz w:val="10"/>
                <w:szCs w:val="10"/>
                <w:lang w:val="en-GB"/>
              </w:rPr>
              <w:t xml:space="preserve"> expressly disclaim any and all liability arising from reliance on the information contained in this article. Readers are advised to seek independent professional advice on any of the matters discussed herein.</w:t>
            </w:r>
          </w:p>
        </w:tc>
      </w:tr>
      <w:tr w:rsidR="00E81C2E" w:rsidRPr="00293E99" w14:paraId="2CB9751A" w14:textId="77777777" w:rsidTr="001617F7">
        <w:tc>
          <w:tcPr>
            <w:tcW w:w="9498" w:type="dxa"/>
          </w:tcPr>
          <w:p w14:paraId="0482E5E0" w14:textId="77777777" w:rsidR="00E81C2E" w:rsidRPr="00293E99" w:rsidRDefault="00E81C2E" w:rsidP="00437F0B">
            <w:pPr>
              <w:pStyle w:val="NormalWeb"/>
              <w:spacing w:before="0" w:beforeAutospacing="0" w:after="120" w:afterAutospacing="0"/>
              <w:jc w:val="both"/>
              <w:rPr>
                <w:rFonts w:ascii="Verdana" w:hAnsi="Verdana"/>
                <w:color w:val="002060"/>
                <w:sz w:val="18"/>
                <w:szCs w:val="18"/>
                <w:lang w:val="en-GB"/>
              </w:rPr>
            </w:pPr>
            <w:r w:rsidRPr="00293E99">
              <w:rPr>
                <w:rFonts w:ascii="Verdana" w:hAnsi="Verdana"/>
                <w:color w:val="002060"/>
                <w:sz w:val="18"/>
                <w:szCs w:val="18"/>
                <w:lang w:val="en-GB"/>
              </w:rPr>
              <w:t>Introduction</w:t>
            </w:r>
          </w:p>
        </w:tc>
      </w:tr>
      <w:tr w:rsidR="00ED2283" w:rsidRPr="00293E99" w14:paraId="659039FB" w14:textId="77777777" w:rsidTr="001617F7">
        <w:tc>
          <w:tcPr>
            <w:tcW w:w="9498" w:type="dxa"/>
          </w:tcPr>
          <w:p w14:paraId="22EC7D50" w14:textId="0B53A8A2" w:rsidR="003E5C20" w:rsidRPr="003E5C20" w:rsidRDefault="003E5C20" w:rsidP="003E5C20">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E5C20">
              <w:rPr>
                <w:rFonts w:ascii="Verdana" w:hAnsi="Verdana"/>
                <w:b w:val="0"/>
                <w:bCs w:val="0"/>
                <w:sz w:val="18"/>
                <w:szCs w:val="18"/>
                <w:lang w:val="en-GB"/>
              </w:rPr>
              <w:t xml:space="preserve">The legal treatment of insolvency within compartmentalised investment fund structures has long occupied an ambiguous position in Luxembourg law. While the statutory segregation of assets and liabilities is expressly recognised across multiple product regimes, the consequences of that segregation in situations of financial distress have remained only partially articulated by legislation and case law. Ruling 186/25 </w:t>
            </w:r>
            <w:r w:rsidR="00D17A17">
              <w:rPr>
                <w:rFonts w:ascii="Verdana" w:hAnsi="Verdana"/>
                <w:b w:val="0"/>
                <w:bCs w:val="0"/>
                <w:sz w:val="18"/>
                <w:szCs w:val="18"/>
                <w:lang w:val="en-GB"/>
              </w:rPr>
              <w:t xml:space="preserve">(as defined below) </w:t>
            </w:r>
            <w:r w:rsidRPr="003E5C20">
              <w:rPr>
                <w:rFonts w:ascii="Verdana" w:hAnsi="Verdana"/>
                <w:b w:val="0"/>
                <w:bCs w:val="0"/>
                <w:sz w:val="18"/>
                <w:szCs w:val="18"/>
                <w:lang w:val="en-GB"/>
              </w:rPr>
              <w:t>of the Luxembourg Court of Appeal provides a timely illustration of this uncertainty, by squarely addressing</w:t>
            </w:r>
            <w:r>
              <w:rPr>
                <w:rFonts w:ascii="Verdana" w:hAnsi="Verdana"/>
                <w:b w:val="0"/>
                <w:bCs w:val="0"/>
                <w:sz w:val="18"/>
                <w:szCs w:val="18"/>
                <w:lang w:val="en-GB"/>
              </w:rPr>
              <w:t xml:space="preserve"> – </w:t>
            </w:r>
            <w:r w:rsidRPr="003E5C20">
              <w:rPr>
                <w:rFonts w:ascii="Verdana" w:hAnsi="Verdana"/>
                <w:b w:val="0"/>
                <w:bCs w:val="0"/>
                <w:sz w:val="18"/>
                <w:szCs w:val="18"/>
                <w:lang w:val="en-GB"/>
              </w:rPr>
              <w:t>yet ultimately rejecting</w:t>
            </w:r>
            <w:r>
              <w:rPr>
                <w:rFonts w:ascii="Verdana" w:hAnsi="Verdana"/>
                <w:b w:val="0"/>
                <w:bCs w:val="0"/>
                <w:sz w:val="18"/>
                <w:szCs w:val="18"/>
                <w:lang w:val="en-GB"/>
              </w:rPr>
              <w:t xml:space="preserve"> – </w:t>
            </w:r>
            <w:r w:rsidRPr="003E5C20">
              <w:rPr>
                <w:rFonts w:ascii="Verdana" w:hAnsi="Verdana"/>
                <w:b w:val="0"/>
                <w:bCs w:val="0"/>
                <w:sz w:val="18"/>
                <w:szCs w:val="18"/>
                <w:lang w:val="en-GB"/>
              </w:rPr>
              <w:t>the possibility of declaring a compartment of a specialised investment fund bankrupt.</w:t>
            </w:r>
          </w:p>
        </w:tc>
      </w:tr>
      <w:tr w:rsidR="00ED2283" w:rsidRPr="00293E99" w14:paraId="3BE296E2" w14:textId="77777777" w:rsidTr="001617F7">
        <w:tc>
          <w:tcPr>
            <w:tcW w:w="9498" w:type="dxa"/>
          </w:tcPr>
          <w:p w14:paraId="690D3CCE" w14:textId="3B0A0AF8" w:rsidR="00ED2283" w:rsidRPr="00293E99" w:rsidRDefault="003E5C20" w:rsidP="00437F0B">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E5C20">
              <w:rPr>
                <w:rFonts w:ascii="Verdana" w:hAnsi="Verdana"/>
                <w:b w:val="0"/>
                <w:bCs w:val="0"/>
                <w:sz w:val="18"/>
                <w:szCs w:val="18"/>
                <w:lang w:val="en-GB"/>
              </w:rPr>
              <w:t>Ruling 186/25 is particularly noteworthy because it was rendered in the aftermath of the legislative reform introduced by the Act of 21 July 2023, which amended several product fund statutes with the stated objective of improving access, within judicial liquidation proceedings, to the rules governing bankruptcy. That reform followed doctrinal criticism of the limited insolvency tools previously available in the liquidation of investment vehicles and their compartments. Against that background, the Court of Appeal’s assertion that no specific legal basis exists for declaring a compartment bankrupt calls for closer examination, both as to its doctrinal coherence and its systemic implications.</w:t>
            </w:r>
          </w:p>
        </w:tc>
      </w:tr>
      <w:tr w:rsidR="00ED2283" w:rsidRPr="00293E99" w14:paraId="218BF524" w14:textId="77777777" w:rsidTr="001617F7">
        <w:tc>
          <w:tcPr>
            <w:tcW w:w="9498" w:type="dxa"/>
          </w:tcPr>
          <w:p w14:paraId="7EC33317" w14:textId="23790ED8" w:rsidR="00ED2283" w:rsidRPr="00293E99" w:rsidRDefault="003E5C20" w:rsidP="00437F0B">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E5C20">
              <w:rPr>
                <w:rFonts w:ascii="Verdana" w:hAnsi="Verdana"/>
                <w:b w:val="0"/>
                <w:bCs w:val="0"/>
                <w:sz w:val="18"/>
                <w:szCs w:val="18"/>
                <w:lang w:val="en-GB"/>
              </w:rPr>
              <w:lastRenderedPageBreak/>
              <w:t xml:space="preserve">The central issue raised by the decision is not whether a </w:t>
            </w:r>
            <w:r>
              <w:rPr>
                <w:rFonts w:ascii="Verdana" w:hAnsi="Verdana"/>
                <w:b w:val="0"/>
                <w:bCs w:val="0"/>
                <w:sz w:val="18"/>
                <w:szCs w:val="18"/>
                <w:lang w:val="en-GB"/>
              </w:rPr>
              <w:t xml:space="preserve">SIF </w:t>
            </w:r>
            <w:r w:rsidR="00D17A17">
              <w:rPr>
                <w:rFonts w:ascii="Verdana" w:hAnsi="Verdana"/>
                <w:b w:val="0"/>
                <w:bCs w:val="0"/>
                <w:sz w:val="18"/>
                <w:szCs w:val="18"/>
                <w:lang w:val="en-GB"/>
              </w:rPr>
              <w:t xml:space="preserve">(as defined below) </w:t>
            </w:r>
            <w:r w:rsidRPr="003E5C20">
              <w:rPr>
                <w:rFonts w:ascii="Verdana" w:hAnsi="Verdana"/>
                <w:b w:val="0"/>
                <w:bCs w:val="0"/>
                <w:sz w:val="18"/>
                <w:szCs w:val="18"/>
                <w:lang w:val="en-GB"/>
              </w:rPr>
              <w:t>compartment may be subjected to judicial liquidation</w:t>
            </w:r>
            <w:r>
              <w:rPr>
                <w:rFonts w:ascii="Verdana" w:hAnsi="Verdana"/>
                <w:b w:val="0"/>
                <w:bCs w:val="0"/>
                <w:sz w:val="18"/>
                <w:szCs w:val="18"/>
                <w:lang w:val="en-GB"/>
              </w:rPr>
              <w:t xml:space="preserve"> </w:t>
            </w:r>
            <w:r w:rsidRPr="003E5C20">
              <w:rPr>
                <w:rFonts w:ascii="Verdana" w:hAnsi="Verdana"/>
                <w:b w:val="0"/>
                <w:bCs w:val="0"/>
                <w:sz w:val="18"/>
                <w:szCs w:val="18"/>
                <w:lang w:val="en-GB"/>
              </w:rPr>
              <w:t xml:space="preserve">but whether Luxembourg law permits a compartment to be treated as a bankrupt debtor in the formal sense of insolvency law. This distinction between the declaration of bankruptcy as a procedure and the application of bankruptcy rules within another procedural framework </w:t>
            </w:r>
            <w:r>
              <w:rPr>
                <w:rFonts w:ascii="Verdana" w:hAnsi="Verdana"/>
                <w:b w:val="0"/>
                <w:bCs w:val="0"/>
                <w:sz w:val="18"/>
                <w:szCs w:val="18"/>
                <w:lang w:val="en-GB"/>
              </w:rPr>
              <w:t xml:space="preserve">(here a judicial liquidation) </w:t>
            </w:r>
            <w:r w:rsidRPr="003E5C20">
              <w:rPr>
                <w:rFonts w:ascii="Verdana" w:hAnsi="Verdana"/>
                <w:b w:val="0"/>
                <w:bCs w:val="0"/>
                <w:sz w:val="18"/>
                <w:szCs w:val="18"/>
                <w:lang w:val="en-GB"/>
              </w:rPr>
              <w:t>lies at the heart of the Court’s reasoning and of the broader debate surrounding compartment-level insolvency.</w:t>
            </w:r>
          </w:p>
        </w:tc>
      </w:tr>
      <w:tr w:rsidR="00ED2283" w:rsidRPr="00293E99" w14:paraId="1670A99B" w14:textId="77777777" w:rsidTr="001617F7">
        <w:tc>
          <w:tcPr>
            <w:tcW w:w="9498" w:type="dxa"/>
          </w:tcPr>
          <w:p w14:paraId="11481C41" w14:textId="572A7891" w:rsidR="00ED2283" w:rsidRPr="00293E99" w:rsidRDefault="003E5C20" w:rsidP="00437F0B">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E5C20">
              <w:rPr>
                <w:rFonts w:ascii="Verdana" w:hAnsi="Verdana"/>
                <w:b w:val="0"/>
                <w:bCs w:val="0"/>
                <w:sz w:val="18"/>
                <w:szCs w:val="18"/>
                <w:lang w:val="en-GB"/>
              </w:rPr>
              <w:t xml:space="preserve">The ruling further invites reflection on two alternative lines of argument that </w:t>
            </w:r>
            <w:r>
              <w:rPr>
                <w:rFonts w:ascii="Verdana" w:hAnsi="Verdana"/>
                <w:b w:val="0"/>
                <w:bCs w:val="0"/>
                <w:sz w:val="18"/>
                <w:szCs w:val="18"/>
                <w:lang w:val="en-GB"/>
              </w:rPr>
              <w:t xml:space="preserve">seem </w:t>
            </w:r>
            <w:r w:rsidRPr="003E5C20">
              <w:rPr>
                <w:rFonts w:ascii="Verdana" w:hAnsi="Verdana"/>
                <w:b w:val="0"/>
                <w:bCs w:val="0"/>
                <w:sz w:val="18"/>
                <w:szCs w:val="18"/>
                <w:lang w:val="en-GB"/>
              </w:rPr>
              <w:t>not</w:t>
            </w:r>
            <w:r>
              <w:rPr>
                <w:rFonts w:ascii="Verdana" w:hAnsi="Verdana"/>
                <w:b w:val="0"/>
                <w:bCs w:val="0"/>
                <w:sz w:val="18"/>
                <w:szCs w:val="18"/>
                <w:lang w:val="en-GB"/>
              </w:rPr>
              <w:t xml:space="preserve"> to have been</w:t>
            </w:r>
            <w:r w:rsidRPr="003E5C20">
              <w:rPr>
                <w:rFonts w:ascii="Verdana" w:hAnsi="Verdana"/>
                <w:b w:val="0"/>
                <w:bCs w:val="0"/>
                <w:sz w:val="18"/>
                <w:szCs w:val="18"/>
                <w:lang w:val="en-GB"/>
              </w:rPr>
              <w:t xml:space="preserve"> developed </w:t>
            </w:r>
            <w:r>
              <w:rPr>
                <w:rFonts w:ascii="Verdana" w:hAnsi="Verdana"/>
                <w:b w:val="0"/>
                <w:bCs w:val="0"/>
                <w:sz w:val="18"/>
                <w:szCs w:val="18"/>
                <w:lang w:val="en-GB"/>
              </w:rPr>
              <w:t>before</w:t>
            </w:r>
            <w:r w:rsidRPr="003E5C20">
              <w:rPr>
                <w:rFonts w:ascii="Verdana" w:hAnsi="Verdana"/>
                <w:b w:val="0"/>
                <w:bCs w:val="0"/>
                <w:sz w:val="18"/>
                <w:szCs w:val="18"/>
                <w:lang w:val="en-GB"/>
              </w:rPr>
              <w:t xml:space="preserve"> the Court: first, whether Article 47 of the SIF Act 2007</w:t>
            </w:r>
            <w:r w:rsidR="00D17A17">
              <w:rPr>
                <w:rFonts w:ascii="Verdana" w:hAnsi="Verdana"/>
                <w:b w:val="0"/>
                <w:bCs w:val="0"/>
                <w:sz w:val="18"/>
                <w:szCs w:val="18"/>
                <w:lang w:val="en-GB"/>
              </w:rPr>
              <w:t xml:space="preserve"> (as defined below)</w:t>
            </w:r>
            <w:r w:rsidRPr="003E5C20">
              <w:rPr>
                <w:rFonts w:ascii="Verdana" w:hAnsi="Verdana"/>
                <w:b w:val="0"/>
                <w:bCs w:val="0"/>
                <w:sz w:val="18"/>
                <w:szCs w:val="18"/>
                <w:lang w:val="en-GB"/>
              </w:rPr>
              <w:t>, particularly as amended in 2023, may be regarded as providing the “specific statutory provision” whose absence the Court identified; and second, whether, independently of any sector-specific insolvency regime, a compartment could fall within the personal scope of Article 440 of the Commercial Code by qualifying as a merchant under the functional criteria set out in Article 1 of that Code. Both questions engage fundamental concepts of commercial and insolvency law and expose the tension between formal legal personality and economic reality in compartmentalised structures.</w:t>
            </w:r>
          </w:p>
        </w:tc>
      </w:tr>
      <w:tr w:rsidR="00ED2283" w:rsidRPr="00293E99" w14:paraId="2F51F2AD" w14:textId="77777777" w:rsidTr="001617F7">
        <w:tc>
          <w:tcPr>
            <w:tcW w:w="9498" w:type="dxa"/>
          </w:tcPr>
          <w:p w14:paraId="7B27576D" w14:textId="41B02E80" w:rsidR="00ED2283" w:rsidRPr="00293E99" w:rsidRDefault="003E5C20" w:rsidP="00437F0B">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E5C20">
              <w:rPr>
                <w:rFonts w:ascii="Verdana" w:hAnsi="Verdana"/>
                <w:b w:val="0"/>
                <w:bCs w:val="0"/>
                <w:sz w:val="18"/>
                <w:szCs w:val="18"/>
                <w:lang w:val="en-GB"/>
              </w:rPr>
              <w:t xml:space="preserve">This paper examines </w:t>
            </w:r>
            <w:r>
              <w:rPr>
                <w:rFonts w:ascii="Verdana" w:hAnsi="Verdana"/>
                <w:b w:val="0"/>
                <w:bCs w:val="0"/>
                <w:sz w:val="18"/>
                <w:szCs w:val="18"/>
                <w:lang w:val="en-GB"/>
              </w:rPr>
              <w:t>R</w:t>
            </w:r>
            <w:r w:rsidRPr="003E5C20">
              <w:rPr>
                <w:rFonts w:ascii="Verdana" w:hAnsi="Verdana"/>
                <w:b w:val="0"/>
                <w:bCs w:val="0"/>
                <w:sz w:val="18"/>
                <w:szCs w:val="18"/>
                <w:lang w:val="en-GB"/>
              </w:rPr>
              <w:t xml:space="preserve">uling 186/25 </w:t>
            </w:r>
            <w:r>
              <w:rPr>
                <w:rFonts w:ascii="Verdana" w:hAnsi="Verdana"/>
                <w:b w:val="0"/>
                <w:bCs w:val="0"/>
                <w:sz w:val="18"/>
                <w:szCs w:val="18"/>
                <w:lang w:val="en-GB"/>
              </w:rPr>
              <w:t xml:space="preserve">(reproduced </w:t>
            </w:r>
            <w:r>
              <w:rPr>
                <w:rFonts w:ascii="Verdana" w:hAnsi="Verdana"/>
                <w:b w:val="0"/>
                <w:bCs w:val="0"/>
                <w:i/>
                <w:iCs/>
                <w:sz w:val="18"/>
                <w:szCs w:val="18"/>
                <w:lang w:val="en-GB"/>
              </w:rPr>
              <w:t xml:space="preserve">in extenso </w:t>
            </w:r>
            <w:r>
              <w:rPr>
                <w:rFonts w:ascii="Verdana" w:hAnsi="Verdana"/>
                <w:b w:val="0"/>
                <w:bCs w:val="0"/>
                <w:sz w:val="18"/>
                <w:szCs w:val="18"/>
                <w:lang w:val="en-GB"/>
              </w:rPr>
              <w:t xml:space="preserve">and in English below) </w:t>
            </w:r>
            <w:r w:rsidRPr="003E5C20">
              <w:rPr>
                <w:rFonts w:ascii="Verdana" w:hAnsi="Verdana"/>
                <w:b w:val="0"/>
                <w:bCs w:val="0"/>
                <w:sz w:val="18"/>
                <w:szCs w:val="18"/>
                <w:lang w:val="en-GB"/>
              </w:rPr>
              <w:t xml:space="preserve">through a combined case note and doctrinal analysis. It first restates the Court of Appeal’s conclusions and situates them within the legislative and doctrinal context preceding and following the 2023 reform. It then analyses the scope and limits of Article 47 of the SIF Act 2007 as a potential legal basis for compartment-level insolvency, before turning to the applicability of Article 440 of the Commercial Code and the conditions under which a compartment might, in theory, satisfy the criteria of merchant status. Finally, the paper explains why the Court of Appeal did not engage with these arguments </w:t>
            </w:r>
            <w:r w:rsidRPr="003E5C20">
              <w:rPr>
                <w:rFonts w:ascii="Verdana" w:hAnsi="Verdana"/>
                <w:b w:val="0"/>
                <w:bCs w:val="0"/>
                <w:i/>
                <w:iCs/>
                <w:sz w:val="18"/>
                <w:szCs w:val="18"/>
                <w:lang w:val="en-GB"/>
              </w:rPr>
              <w:t>ex officio</w:t>
            </w:r>
            <w:r w:rsidRPr="003E5C20">
              <w:rPr>
                <w:rFonts w:ascii="Verdana" w:hAnsi="Verdana"/>
                <w:b w:val="0"/>
                <w:bCs w:val="0"/>
                <w:sz w:val="18"/>
                <w:szCs w:val="18"/>
                <w:lang w:val="en-GB"/>
              </w:rPr>
              <w:t>, focusing on the constraints imposed by the adversarial principle under Luxembourg civil and commercial procedural law.</w:t>
            </w:r>
          </w:p>
        </w:tc>
      </w:tr>
      <w:tr w:rsidR="00ED2283" w:rsidRPr="00293E99" w14:paraId="6AC54E18" w14:textId="77777777" w:rsidTr="001617F7">
        <w:tc>
          <w:tcPr>
            <w:tcW w:w="9498" w:type="dxa"/>
          </w:tcPr>
          <w:p w14:paraId="75D796E9" w14:textId="4EE3B1B2" w:rsidR="00ED2283" w:rsidRPr="00293E99" w:rsidRDefault="00D17A17" w:rsidP="00437F0B">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17A17">
              <w:rPr>
                <w:rFonts w:ascii="Verdana" w:hAnsi="Verdana"/>
                <w:b w:val="0"/>
                <w:bCs w:val="0"/>
                <w:sz w:val="18"/>
                <w:szCs w:val="18"/>
                <w:lang w:val="en-GB"/>
              </w:rPr>
              <w:t xml:space="preserve">By doing so, the article seeks to clarify what </w:t>
            </w:r>
            <w:r>
              <w:rPr>
                <w:rFonts w:ascii="Verdana" w:hAnsi="Verdana"/>
                <w:b w:val="0"/>
                <w:bCs w:val="0"/>
                <w:sz w:val="18"/>
                <w:szCs w:val="18"/>
                <w:lang w:val="en-GB"/>
              </w:rPr>
              <w:t>R</w:t>
            </w:r>
            <w:r w:rsidRPr="00D17A17">
              <w:rPr>
                <w:rFonts w:ascii="Verdana" w:hAnsi="Verdana"/>
                <w:b w:val="0"/>
                <w:bCs w:val="0"/>
                <w:sz w:val="18"/>
                <w:szCs w:val="18"/>
                <w:lang w:val="en-GB"/>
              </w:rPr>
              <w:t>uling 186/25 does and does not decide, to identify the residual uncertainties left unresolved by the 2023 reform, and to contribute to the ongoing debate on the coherence of Luxembourg’s insolvency framework as applied to compartmentalised investment fund structures.</w:t>
            </w:r>
          </w:p>
        </w:tc>
      </w:tr>
      <w:tr w:rsidR="00ED2283" w:rsidRPr="00293E99" w14:paraId="17F1695D" w14:textId="77777777" w:rsidTr="001617F7">
        <w:tc>
          <w:tcPr>
            <w:tcW w:w="9498" w:type="dxa"/>
          </w:tcPr>
          <w:p w14:paraId="2E51ECAD" w14:textId="03DEC00D" w:rsidR="00ED2283" w:rsidRPr="00293E99" w:rsidRDefault="00D17A17" w:rsidP="00437F0B">
            <w:pPr>
              <w:pStyle w:val="NormalWeb"/>
              <w:numPr>
                <w:ilvl w:val="0"/>
                <w:numId w:val="63"/>
              </w:numPr>
              <w:spacing w:before="0" w:beforeAutospacing="0" w:after="120" w:afterAutospacing="0"/>
              <w:jc w:val="both"/>
              <w:rPr>
                <w:rFonts w:ascii="Verdana" w:hAnsi="Verdana"/>
                <w:color w:val="002060"/>
                <w:sz w:val="18"/>
                <w:szCs w:val="18"/>
                <w:lang w:val="en-GB"/>
              </w:rPr>
            </w:pPr>
            <w:r>
              <w:rPr>
                <w:rFonts w:ascii="Verdana" w:hAnsi="Verdana"/>
                <w:color w:val="002060"/>
                <w:sz w:val="18"/>
                <w:szCs w:val="18"/>
                <w:lang w:val="en-GB"/>
              </w:rPr>
              <w:t xml:space="preserve">English </w:t>
            </w:r>
            <w:r w:rsidR="00F127C1" w:rsidRPr="00293E99">
              <w:rPr>
                <w:rFonts w:ascii="Verdana" w:hAnsi="Verdana"/>
                <w:color w:val="002060"/>
                <w:sz w:val="18"/>
                <w:szCs w:val="18"/>
                <w:lang w:val="en-GB"/>
              </w:rPr>
              <w:t xml:space="preserve">Translation of </w:t>
            </w:r>
            <w:r w:rsidR="00C55D12">
              <w:rPr>
                <w:rFonts w:ascii="Verdana" w:hAnsi="Verdana"/>
                <w:color w:val="002060"/>
                <w:sz w:val="18"/>
                <w:szCs w:val="18"/>
                <w:lang w:val="en-GB"/>
              </w:rPr>
              <w:t xml:space="preserve">the </w:t>
            </w:r>
            <w:r w:rsidR="00C55D12" w:rsidRPr="00293E99">
              <w:rPr>
                <w:rFonts w:ascii="Verdana" w:hAnsi="Verdana"/>
                <w:color w:val="002060"/>
                <w:sz w:val="18"/>
                <w:szCs w:val="18"/>
                <w:lang w:val="en-GB"/>
              </w:rPr>
              <w:t xml:space="preserve">Ruling </w:t>
            </w:r>
            <w:r w:rsidR="00C55D12">
              <w:rPr>
                <w:rFonts w:ascii="Verdana" w:hAnsi="Verdana"/>
                <w:color w:val="002060"/>
                <w:sz w:val="18"/>
                <w:szCs w:val="18"/>
                <w:lang w:val="en-GB"/>
              </w:rPr>
              <w:t xml:space="preserve">Dated </w:t>
            </w:r>
            <w:r w:rsidR="00F127C1" w:rsidRPr="00293E99">
              <w:rPr>
                <w:rFonts w:ascii="Verdana" w:hAnsi="Verdana"/>
                <w:color w:val="002060"/>
                <w:sz w:val="18"/>
                <w:szCs w:val="18"/>
                <w:lang w:val="en-GB"/>
              </w:rPr>
              <w:t xml:space="preserve">18 November 2025 Delivered by the </w:t>
            </w:r>
            <w:r w:rsidR="00C55D12">
              <w:rPr>
                <w:rFonts w:ascii="Verdana" w:hAnsi="Verdana"/>
                <w:color w:val="002060"/>
                <w:sz w:val="18"/>
                <w:szCs w:val="18"/>
                <w:lang w:val="en-GB"/>
              </w:rPr>
              <w:t xml:space="preserve">Luxembourg </w:t>
            </w:r>
            <w:r w:rsidR="00F127C1" w:rsidRPr="00293E99">
              <w:rPr>
                <w:rFonts w:ascii="Verdana" w:hAnsi="Verdana"/>
                <w:color w:val="002060"/>
                <w:sz w:val="18"/>
                <w:szCs w:val="18"/>
                <w:lang w:val="en-GB"/>
              </w:rPr>
              <w:t>Court of Appeal Sitting in Commercial Matters</w:t>
            </w:r>
            <w:r w:rsidR="00847CB1" w:rsidRPr="00293E99">
              <w:rPr>
                <w:rFonts w:ascii="Verdana" w:hAnsi="Verdana"/>
                <w:color w:val="002060"/>
                <w:sz w:val="18"/>
                <w:szCs w:val="18"/>
                <w:lang w:val="en-GB"/>
              </w:rPr>
              <w:t xml:space="preserve"> (the “Ruling 186/25”)</w:t>
            </w:r>
          </w:p>
        </w:tc>
      </w:tr>
      <w:tr w:rsidR="002E4D82" w:rsidRPr="00293E99" w14:paraId="2A5C56AC" w14:textId="77777777" w:rsidTr="001617F7">
        <w:tc>
          <w:tcPr>
            <w:tcW w:w="9498" w:type="dxa"/>
          </w:tcPr>
          <w:p w14:paraId="74458716" w14:textId="1AD1E3EF" w:rsidR="002E4D82" w:rsidRPr="00293E99" w:rsidRDefault="00604658" w:rsidP="002E4D82">
            <w:pPr>
              <w:pStyle w:val="NormalWeb"/>
              <w:spacing w:before="0" w:beforeAutospacing="0" w:after="120" w:afterAutospacing="0"/>
              <w:ind w:left="661"/>
              <w:jc w:val="center"/>
              <w:rPr>
                <w:rFonts w:ascii="Verdana" w:hAnsi="Verdana"/>
                <w:b w:val="0"/>
                <w:bCs w:val="0"/>
                <w:i/>
                <w:iCs/>
                <w:color w:val="002060"/>
                <w:sz w:val="18"/>
                <w:szCs w:val="18"/>
                <w:lang w:val="en-GB"/>
              </w:rPr>
            </w:pPr>
            <w:r>
              <w:rPr>
                <w:rFonts w:ascii="Verdana" w:hAnsi="Verdana"/>
                <w:i/>
                <w:iCs/>
                <w:color w:val="002060"/>
                <w:sz w:val="18"/>
                <w:szCs w:val="18"/>
                <w:lang w:val="en-GB"/>
              </w:rPr>
              <w:t>Ruling</w:t>
            </w:r>
            <w:r w:rsidR="002E4D82" w:rsidRPr="00293E99">
              <w:rPr>
                <w:rFonts w:ascii="Verdana" w:hAnsi="Verdana"/>
                <w:i/>
                <w:iCs/>
                <w:color w:val="002060"/>
                <w:sz w:val="18"/>
                <w:szCs w:val="18"/>
                <w:lang w:val="en-GB"/>
              </w:rPr>
              <w:t xml:space="preserve"> No. 186/25 IV-COM</w:t>
            </w:r>
          </w:p>
        </w:tc>
      </w:tr>
      <w:tr w:rsidR="00C516D5" w:rsidRPr="00293E99" w14:paraId="07057577" w14:textId="77777777" w:rsidTr="001617F7">
        <w:tc>
          <w:tcPr>
            <w:tcW w:w="9498" w:type="dxa"/>
          </w:tcPr>
          <w:p w14:paraId="1749D88E" w14:textId="32F11B03" w:rsidR="00C516D5" w:rsidRPr="00293E99" w:rsidRDefault="002E4D82" w:rsidP="002E4D82">
            <w:pPr>
              <w:pStyle w:val="NormalWeb"/>
              <w:spacing w:before="0" w:beforeAutospacing="0" w:after="120" w:afterAutospacing="0"/>
              <w:ind w:left="661"/>
              <w:jc w:val="center"/>
              <w:rPr>
                <w:rFonts w:ascii="Verdana" w:hAnsi="Verdana"/>
                <w:b w:val="0"/>
                <w:bCs w:val="0"/>
                <w:i/>
                <w:iCs/>
                <w:color w:val="002060"/>
                <w:sz w:val="18"/>
                <w:szCs w:val="18"/>
                <w:lang w:val="en-GB"/>
              </w:rPr>
            </w:pPr>
            <w:r w:rsidRPr="00293E99">
              <w:rPr>
                <w:rFonts w:ascii="Verdana" w:hAnsi="Verdana"/>
                <w:i/>
                <w:iCs/>
                <w:color w:val="002060"/>
                <w:sz w:val="18"/>
                <w:szCs w:val="18"/>
                <w:lang w:val="en-GB"/>
              </w:rPr>
              <w:t>Commercial Ruling – Bankruptcy</w:t>
            </w:r>
          </w:p>
        </w:tc>
      </w:tr>
      <w:tr w:rsidR="00C516D5" w:rsidRPr="00293E99" w14:paraId="50CBF0F0" w14:textId="77777777" w:rsidTr="001617F7">
        <w:tc>
          <w:tcPr>
            <w:tcW w:w="9498" w:type="dxa"/>
          </w:tcPr>
          <w:p w14:paraId="7777FA58" w14:textId="4E34C05A" w:rsidR="00C516D5" w:rsidRPr="00293E99" w:rsidRDefault="002E4D82"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Public hearing of eighteen November two thousand and twenty-five</w:t>
            </w:r>
          </w:p>
        </w:tc>
      </w:tr>
      <w:tr w:rsidR="00C516D5" w:rsidRPr="00293E99" w14:paraId="4B307A70" w14:textId="77777777" w:rsidTr="001617F7">
        <w:tc>
          <w:tcPr>
            <w:tcW w:w="9498" w:type="dxa"/>
          </w:tcPr>
          <w:p w14:paraId="3AE7017A" w14:textId="4E7134BC" w:rsidR="00C516D5" w:rsidRPr="00293E99" w:rsidRDefault="002E4D82" w:rsidP="00941620">
            <w:pPr>
              <w:pStyle w:val="NormalWeb"/>
              <w:spacing w:before="0" w:beforeAutospacing="0" w:after="120" w:afterAutospacing="0"/>
              <w:ind w:left="661"/>
              <w:jc w:val="both"/>
              <w:rPr>
                <w:rFonts w:ascii="Verdana" w:hAnsi="Verdana"/>
                <w:b w:val="0"/>
                <w:bCs w:val="0"/>
                <w:color w:val="000000" w:themeColor="text1"/>
                <w:sz w:val="18"/>
                <w:szCs w:val="18"/>
                <w:u w:val="single"/>
                <w:lang w:val="en-GB"/>
              </w:rPr>
            </w:pPr>
            <w:r w:rsidRPr="00293E99">
              <w:rPr>
                <w:rFonts w:ascii="Verdana" w:hAnsi="Verdana"/>
                <w:b w:val="0"/>
                <w:bCs w:val="0"/>
                <w:color w:val="000000" w:themeColor="text1"/>
                <w:sz w:val="18"/>
                <w:szCs w:val="18"/>
                <w:u w:val="single"/>
                <w:lang w:val="en-GB"/>
              </w:rPr>
              <w:t>Case number CAL-2025-00880 on the court list</w:t>
            </w:r>
          </w:p>
        </w:tc>
      </w:tr>
      <w:tr w:rsidR="00C516D5" w:rsidRPr="00293E99" w14:paraId="360C99F4" w14:textId="77777777" w:rsidTr="001617F7">
        <w:tc>
          <w:tcPr>
            <w:tcW w:w="9498" w:type="dxa"/>
          </w:tcPr>
          <w:p w14:paraId="1C420821" w14:textId="77777777" w:rsidR="002E4D82" w:rsidRPr="00293E99" w:rsidRDefault="002E4D82" w:rsidP="00941620">
            <w:pPr>
              <w:pStyle w:val="NormalWeb"/>
              <w:spacing w:before="0" w:beforeAutospacing="0" w:after="120" w:afterAutospacing="0"/>
              <w:ind w:left="661"/>
              <w:jc w:val="both"/>
              <w:rPr>
                <w:rFonts w:ascii="Verdana" w:hAnsi="Verdana"/>
                <w:color w:val="002060"/>
                <w:sz w:val="18"/>
                <w:szCs w:val="18"/>
                <w:lang w:val="en-GB"/>
              </w:rPr>
            </w:pPr>
            <w:r w:rsidRPr="00293E99">
              <w:rPr>
                <w:rFonts w:ascii="Verdana" w:hAnsi="Verdana"/>
                <w:color w:val="002060"/>
                <w:sz w:val="18"/>
                <w:szCs w:val="18"/>
                <w:lang w:val="en-GB"/>
              </w:rPr>
              <w:t>Composition:</w:t>
            </w:r>
          </w:p>
          <w:p w14:paraId="29EC28D8" w14:textId="77777777" w:rsidR="002E4D82" w:rsidRPr="00293E99" w:rsidRDefault="002E4D82" w:rsidP="002E4D82">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Martine WILMES, Presiding Judge (Chamber President);</w:t>
            </w:r>
          </w:p>
          <w:p w14:paraId="3349CB63" w14:textId="77777777" w:rsidR="002E4D82" w:rsidRPr="00293E99" w:rsidRDefault="002E4D82" w:rsidP="002E4D82">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Michèle HORNICK, First Counsellor;</w:t>
            </w:r>
          </w:p>
          <w:p w14:paraId="2AA84910" w14:textId="77777777" w:rsidR="002E4D82" w:rsidRPr="00293E99" w:rsidRDefault="002E4D82" w:rsidP="002E4D82">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Carole BESCH, Counsellor;</w:t>
            </w:r>
          </w:p>
          <w:p w14:paraId="1DD601B7" w14:textId="42EA1EB1" w:rsidR="00C516D5" w:rsidRPr="00293E99" w:rsidRDefault="002E4D82" w:rsidP="002E4D82">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293E99">
              <w:rPr>
                <w:rFonts w:ascii="Verdana" w:hAnsi="Verdana"/>
                <w:b w:val="0"/>
                <w:bCs w:val="0"/>
                <w:sz w:val="18"/>
                <w:szCs w:val="18"/>
                <w:lang w:val="en-GB"/>
              </w:rPr>
              <w:t>Eric VILVENS, Clerk of the Court.</w:t>
            </w:r>
          </w:p>
        </w:tc>
      </w:tr>
      <w:tr w:rsidR="00C516D5" w:rsidRPr="00293E99" w14:paraId="661944A3" w14:textId="77777777" w:rsidTr="001617F7">
        <w:tc>
          <w:tcPr>
            <w:tcW w:w="9498" w:type="dxa"/>
          </w:tcPr>
          <w:p w14:paraId="5DD24120" w14:textId="52BF9F64" w:rsidR="00C516D5" w:rsidRPr="00293E99" w:rsidRDefault="002E4D82" w:rsidP="00941620">
            <w:pPr>
              <w:pStyle w:val="NormalWeb"/>
              <w:spacing w:before="0" w:beforeAutospacing="0" w:after="120" w:afterAutospacing="0"/>
              <w:ind w:left="661"/>
              <w:jc w:val="both"/>
              <w:rPr>
                <w:rFonts w:ascii="Verdana" w:hAnsi="Verdana"/>
                <w:color w:val="002060"/>
                <w:sz w:val="18"/>
                <w:szCs w:val="18"/>
                <w:lang w:val="en-GB"/>
              </w:rPr>
            </w:pPr>
            <w:r w:rsidRPr="00293E99">
              <w:rPr>
                <w:rFonts w:ascii="Verdana" w:hAnsi="Verdana"/>
                <w:color w:val="002060"/>
                <w:sz w:val="18"/>
                <w:szCs w:val="18"/>
                <w:lang w:val="en-GB"/>
              </w:rPr>
              <w:t>Between</w:t>
            </w:r>
          </w:p>
        </w:tc>
      </w:tr>
      <w:tr w:rsidR="00C516D5" w:rsidRPr="00293E99" w14:paraId="0D7E9624" w14:textId="77777777" w:rsidTr="001617F7">
        <w:tc>
          <w:tcPr>
            <w:tcW w:w="9498" w:type="dxa"/>
          </w:tcPr>
          <w:p w14:paraId="726AFD26" w14:textId="47D64387" w:rsidR="00C516D5" w:rsidRPr="00293E99" w:rsidRDefault="002E4D82" w:rsidP="00941620">
            <w:pPr>
              <w:pStyle w:val="NormalWeb"/>
              <w:spacing w:before="0" w:beforeAutospacing="0" w:after="120" w:afterAutospacing="0"/>
              <w:ind w:left="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Maître Max MAILLIET, </w:t>
            </w:r>
            <w:r w:rsidRPr="00293E99">
              <w:rPr>
                <w:rFonts w:ascii="Verdana" w:hAnsi="Verdana"/>
                <w:b w:val="0"/>
                <w:bCs w:val="0"/>
                <w:i/>
                <w:iCs/>
                <w:color w:val="000000" w:themeColor="text1"/>
                <w:sz w:val="18"/>
                <w:szCs w:val="18"/>
                <w:lang w:val="en-GB"/>
              </w:rPr>
              <w:t xml:space="preserve">avocat à la </w:t>
            </w:r>
            <w:proofErr w:type="spellStart"/>
            <w:r w:rsidRPr="00293E99">
              <w:rPr>
                <w:rFonts w:ascii="Verdana" w:hAnsi="Verdana"/>
                <w:b w:val="0"/>
                <w:bCs w:val="0"/>
                <w:i/>
                <w:iCs/>
                <w:color w:val="000000" w:themeColor="text1"/>
                <w:sz w:val="18"/>
                <w:szCs w:val="18"/>
                <w:lang w:val="en-GB"/>
              </w:rPr>
              <w:t>Cour</w:t>
            </w:r>
            <w:proofErr w:type="spellEnd"/>
            <w:r w:rsidRPr="00293E99">
              <w:rPr>
                <w:rFonts w:ascii="Verdana" w:hAnsi="Verdana"/>
                <w:b w:val="0"/>
                <w:bCs w:val="0"/>
                <w:color w:val="000000" w:themeColor="text1"/>
                <w:sz w:val="18"/>
                <w:szCs w:val="18"/>
                <w:lang w:val="en-GB"/>
              </w:rPr>
              <w:t>, acting in his capacity as liquidator of the public limited company (</w:t>
            </w:r>
            <w:r w:rsidRPr="00293E99">
              <w:rPr>
                <w:rFonts w:ascii="Verdana" w:hAnsi="Verdana"/>
                <w:b w:val="0"/>
                <w:bCs w:val="0"/>
                <w:i/>
                <w:iCs/>
                <w:color w:val="000000" w:themeColor="text1"/>
                <w:sz w:val="18"/>
                <w:szCs w:val="18"/>
                <w:lang w:val="en-GB"/>
              </w:rPr>
              <w:t>société anonyme</w:t>
            </w:r>
            <w:r w:rsidRPr="00293E99">
              <w:rPr>
                <w:rFonts w:ascii="Verdana" w:hAnsi="Verdana"/>
                <w:b w:val="0"/>
                <w:bCs w:val="0"/>
                <w:color w:val="000000" w:themeColor="text1"/>
                <w:sz w:val="18"/>
                <w:szCs w:val="18"/>
                <w:lang w:val="en-GB"/>
              </w:rPr>
              <w:t>) in the form of a variable capital investment company – specialised investment fund (SICAV–FIS) SOCIETE1.), incorporated and having its registered office at L-ADRESSE1.), represented by its liquidator, registered with the Luxembourg Trade and Companies Register under number NUMERO1.),</w:t>
            </w:r>
          </w:p>
        </w:tc>
      </w:tr>
      <w:tr w:rsidR="00C516D5" w:rsidRPr="00293E99" w14:paraId="3F22DF3B" w14:textId="77777777" w:rsidTr="001617F7">
        <w:tc>
          <w:tcPr>
            <w:tcW w:w="9498" w:type="dxa"/>
          </w:tcPr>
          <w:p w14:paraId="453FE437" w14:textId="197B7817" w:rsidR="00C516D5" w:rsidRPr="00293E99" w:rsidRDefault="00C516D5" w:rsidP="00941620">
            <w:pPr>
              <w:pStyle w:val="NormalWeb"/>
              <w:spacing w:before="0" w:beforeAutospacing="0" w:after="120" w:afterAutospacing="0"/>
              <w:ind w:left="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appellant pursuant to a notice of appeal filed on 16 October 2025,</w:t>
            </w:r>
            <w:r w:rsidR="002E4D82" w:rsidRPr="00293E99">
              <w:rPr>
                <w:rFonts w:ascii="Verdana" w:hAnsi="Verdana"/>
                <w:b w:val="0"/>
                <w:bCs w:val="0"/>
                <w:color w:val="000000" w:themeColor="text1"/>
                <w:sz w:val="18"/>
                <w:szCs w:val="18"/>
                <w:lang w:val="en-GB"/>
              </w:rPr>
              <w:t xml:space="preserve"> </w:t>
            </w:r>
            <w:r w:rsidRPr="00293E99">
              <w:rPr>
                <w:rFonts w:ascii="Verdana" w:hAnsi="Verdana"/>
                <w:b w:val="0"/>
                <w:bCs w:val="0"/>
                <w:color w:val="000000" w:themeColor="text1"/>
                <w:sz w:val="18"/>
                <w:szCs w:val="18"/>
                <w:lang w:val="en-GB"/>
              </w:rPr>
              <w:t>appearing in person.</w:t>
            </w:r>
          </w:p>
        </w:tc>
      </w:tr>
      <w:tr w:rsidR="00C516D5" w:rsidRPr="00293E99" w14:paraId="48A4BFA7" w14:textId="77777777" w:rsidTr="001617F7">
        <w:tc>
          <w:tcPr>
            <w:tcW w:w="9498" w:type="dxa"/>
          </w:tcPr>
          <w:p w14:paraId="4F92AA86" w14:textId="6E35C4ED" w:rsidR="00C516D5" w:rsidRPr="00293E99" w:rsidRDefault="00C516D5" w:rsidP="00C516D5">
            <w:pPr>
              <w:pStyle w:val="NormalWeb"/>
              <w:spacing w:before="0" w:beforeAutospacing="0" w:after="120" w:afterAutospacing="0"/>
              <w:ind w:left="661"/>
              <w:jc w:val="center"/>
              <w:rPr>
                <w:rFonts w:ascii="Verdana" w:hAnsi="Verdana"/>
                <w:color w:val="000000" w:themeColor="text1"/>
                <w:sz w:val="18"/>
                <w:szCs w:val="18"/>
                <w:lang w:val="en-GB"/>
              </w:rPr>
            </w:pPr>
            <w:r w:rsidRPr="00293E99">
              <w:rPr>
                <w:rFonts w:ascii="Verdana" w:hAnsi="Verdana"/>
                <w:color w:val="002060"/>
                <w:sz w:val="18"/>
                <w:szCs w:val="18"/>
                <w:lang w:val="en-GB"/>
              </w:rPr>
              <w:t>THE COURT OF APPEAL</w:t>
            </w:r>
          </w:p>
        </w:tc>
      </w:tr>
      <w:tr w:rsidR="004E269A" w:rsidRPr="00293E99" w14:paraId="0BBD8599" w14:textId="77777777" w:rsidTr="001617F7">
        <w:tc>
          <w:tcPr>
            <w:tcW w:w="9498" w:type="dxa"/>
          </w:tcPr>
          <w:p w14:paraId="7CEF8490" w14:textId="4F38200B" w:rsidR="004E269A" w:rsidRPr="00293E99" w:rsidRDefault="0047035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lastRenderedPageBreak/>
              <w:t>On</w:t>
            </w:r>
            <w:r w:rsidR="00F127C1" w:rsidRPr="00293E99">
              <w:rPr>
                <w:rFonts w:ascii="Verdana" w:hAnsi="Verdana"/>
                <w:b w:val="0"/>
                <w:bCs w:val="0"/>
                <w:color w:val="000000" w:themeColor="text1"/>
                <w:sz w:val="18"/>
                <w:szCs w:val="18"/>
                <w:lang w:val="en-GB"/>
              </w:rPr>
              <w:t xml:space="preserve"> 23 September 2025, the specialised investment fund (</w:t>
            </w:r>
            <w:r w:rsidR="00F127C1" w:rsidRPr="00293E99">
              <w:rPr>
                <w:rFonts w:ascii="Verdana" w:hAnsi="Verdana"/>
                <w:b w:val="0"/>
                <w:bCs w:val="0"/>
                <w:i/>
                <w:iCs/>
                <w:color w:val="000000" w:themeColor="text1"/>
                <w:sz w:val="18"/>
                <w:szCs w:val="18"/>
                <w:lang w:val="en-GB"/>
              </w:rPr>
              <w:t>fonds d’investissement spécialisé</w:t>
            </w:r>
            <w:r w:rsidR="00F127C1" w:rsidRPr="00293E99">
              <w:rPr>
                <w:rFonts w:ascii="Verdana" w:hAnsi="Verdana"/>
                <w:b w:val="0"/>
                <w:bCs w:val="0"/>
                <w:color w:val="000000" w:themeColor="text1"/>
                <w:sz w:val="18"/>
                <w:szCs w:val="18"/>
                <w:lang w:val="en-GB"/>
              </w:rPr>
              <w:t>)</w:t>
            </w:r>
            <w:r w:rsidR="00342047" w:rsidRPr="00293E99">
              <w:rPr>
                <w:rStyle w:val="FootnoteReference"/>
                <w:rFonts w:ascii="Verdana" w:hAnsi="Verdana"/>
                <w:b w:val="0"/>
                <w:bCs w:val="0"/>
                <w:color w:val="002060"/>
                <w:sz w:val="18"/>
                <w:szCs w:val="18"/>
                <w:lang w:val="en-GB"/>
              </w:rPr>
              <w:footnoteReference w:id="1"/>
            </w:r>
            <w:r w:rsidR="00F127C1" w:rsidRPr="00293E99">
              <w:rPr>
                <w:rFonts w:ascii="Verdana" w:hAnsi="Verdana"/>
                <w:b w:val="0"/>
                <w:bCs w:val="0"/>
                <w:color w:val="000000" w:themeColor="text1"/>
                <w:sz w:val="18"/>
                <w:szCs w:val="18"/>
                <w:lang w:val="en-GB"/>
              </w:rPr>
              <w:t xml:space="preserve"> variable capital investment company (</w:t>
            </w:r>
            <w:r w:rsidR="00F127C1" w:rsidRPr="00293E99">
              <w:rPr>
                <w:rFonts w:ascii="Verdana" w:hAnsi="Verdana"/>
                <w:b w:val="0"/>
                <w:bCs w:val="0"/>
                <w:i/>
                <w:iCs/>
                <w:color w:val="000000" w:themeColor="text1"/>
                <w:sz w:val="18"/>
                <w:szCs w:val="18"/>
                <w:lang w:val="en-GB"/>
              </w:rPr>
              <w:t>société d’investissement à capital variable</w:t>
            </w:r>
            <w:r w:rsidR="00F127C1" w:rsidRPr="00293E99">
              <w:rPr>
                <w:rFonts w:ascii="Verdana" w:hAnsi="Verdana"/>
                <w:b w:val="0"/>
                <w:bCs w:val="0"/>
                <w:color w:val="000000" w:themeColor="text1"/>
                <w:sz w:val="18"/>
                <w:szCs w:val="18"/>
                <w:lang w:val="en-GB"/>
              </w:rPr>
              <w:t>) SOCIETE 1.) (hereinafter, the “</w:t>
            </w:r>
            <w:r w:rsidR="00F127C1" w:rsidRPr="00293E99">
              <w:rPr>
                <w:rFonts w:ascii="Verdana" w:hAnsi="Verdana"/>
                <w:color w:val="002060"/>
                <w:sz w:val="18"/>
                <w:szCs w:val="18"/>
                <w:lang w:val="en-GB"/>
              </w:rPr>
              <w:t>Fund</w:t>
            </w:r>
            <w:r w:rsidR="00F127C1" w:rsidRPr="00293E99">
              <w:rPr>
                <w:rFonts w:ascii="Verdana" w:hAnsi="Verdana"/>
                <w:b w:val="0"/>
                <w:bCs w:val="0"/>
                <w:color w:val="000000" w:themeColor="text1"/>
                <w:sz w:val="18"/>
                <w:szCs w:val="18"/>
                <w:lang w:val="en-GB"/>
              </w:rPr>
              <w:t>”), in voluntary liquidation, represented by its liquidator Maître Max MAILLET (hereinafter, the “</w:t>
            </w:r>
            <w:r w:rsidR="00F127C1" w:rsidRPr="00293E99">
              <w:rPr>
                <w:rFonts w:ascii="Verdana" w:hAnsi="Verdana"/>
                <w:color w:val="002060"/>
                <w:sz w:val="18"/>
                <w:szCs w:val="18"/>
                <w:lang w:val="en-GB"/>
              </w:rPr>
              <w:t>Liquidator</w:t>
            </w:r>
            <w:r w:rsidR="00F127C1" w:rsidRPr="00293E99">
              <w:rPr>
                <w:rFonts w:ascii="Verdana" w:hAnsi="Verdana"/>
                <w:b w:val="0"/>
                <w:bCs w:val="0"/>
                <w:color w:val="000000" w:themeColor="text1"/>
                <w:sz w:val="18"/>
                <w:szCs w:val="18"/>
                <w:lang w:val="en-GB"/>
              </w:rPr>
              <w:t>”), appeared before the registry of the Luxembourg District Court in order to file a declaration of bankruptcy in respect of the Fund’s compartment named SD 6X (hereinafter, the “</w:t>
            </w:r>
            <w:r w:rsidR="00F127C1" w:rsidRPr="00293E99">
              <w:rPr>
                <w:rFonts w:ascii="Verdana" w:hAnsi="Verdana"/>
                <w:color w:val="002060"/>
                <w:sz w:val="18"/>
                <w:szCs w:val="18"/>
                <w:lang w:val="en-GB"/>
              </w:rPr>
              <w:t>SD 6X compartment</w:t>
            </w:r>
            <w:r w:rsidR="00F127C1" w:rsidRPr="00293E99">
              <w:rPr>
                <w:rFonts w:ascii="Verdana" w:hAnsi="Verdana"/>
                <w:b w:val="0"/>
                <w:bCs w:val="0"/>
                <w:color w:val="000000" w:themeColor="text1"/>
                <w:sz w:val="18"/>
                <w:szCs w:val="18"/>
                <w:lang w:val="en-GB"/>
              </w:rPr>
              <w:t>”).</w:t>
            </w:r>
          </w:p>
        </w:tc>
      </w:tr>
      <w:tr w:rsidR="00C516D5" w:rsidRPr="00293E99" w14:paraId="22687151" w14:textId="77777777" w:rsidTr="001617F7">
        <w:tc>
          <w:tcPr>
            <w:tcW w:w="9498" w:type="dxa"/>
          </w:tcPr>
          <w:p w14:paraId="6089D2CA" w14:textId="5DE15158"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By judgment dated 3 October 2025, the District Court took formal note of the declaration and declared it inadmissible.</w:t>
            </w:r>
          </w:p>
        </w:tc>
      </w:tr>
      <w:tr w:rsidR="00C516D5" w:rsidRPr="00293E99" w14:paraId="13B9EBD3" w14:textId="77777777" w:rsidTr="001617F7">
        <w:tc>
          <w:tcPr>
            <w:tcW w:w="9498" w:type="dxa"/>
          </w:tcPr>
          <w:p w14:paraId="1BCFF36A" w14:textId="6A0B23FD"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By application filed with the registry of the Court of Appeal on 15 October 2025, the Liquidator lodged an appeal against the judgment of 3 October 2025.</w:t>
            </w:r>
          </w:p>
        </w:tc>
      </w:tr>
      <w:tr w:rsidR="00C516D5" w:rsidRPr="00293E99" w14:paraId="0B62F55E" w14:textId="77777777" w:rsidTr="001617F7">
        <w:tc>
          <w:tcPr>
            <w:tcW w:w="9498" w:type="dxa"/>
          </w:tcPr>
          <w:p w14:paraId="0752B7D4" w14:textId="5F0FBACF"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As the appeal was lodged in compliance with the formal requirements and within the statutory time limit, it must be declared admissible.</w:t>
            </w:r>
          </w:p>
        </w:tc>
      </w:tr>
      <w:tr w:rsidR="00C516D5" w:rsidRPr="00293E99" w14:paraId="78BDD70E" w14:textId="77777777" w:rsidTr="001617F7">
        <w:tc>
          <w:tcPr>
            <w:tcW w:w="9498" w:type="dxa"/>
          </w:tcPr>
          <w:p w14:paraId="4356EC8E" w14:textId="52C66413"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The Liquidator requests, by way of setting aside (</w:t>
            </w:r>
            <w:proofErr w:type="spellStart"/>
            <w:r w:rsidRPr="00293E99">
              <w:rPr>
                <w:rFonts w:ascii="Verdana" w:hAnsi="Verdana"/>
                <w:b w:val="0"/>
                <w:bCs w:val="0"/>
                <w:i/>
                <w:iCs/>
                <w:color w:val="000000" w:themeColor="text1"/>
                <w:sz w:val="18"/>
                <w:szCs w:val="18"/>
                <w:lang w:val="en-GB"/>
              </w:rPr>
              <w:t>réformation</w:t>
            </w:r>
            <w:proofErr w:type="spellEnd"/>
            <w:r w:rsidRPr="00293E99">
              <w:rPr>
                <w:rFonts w:ascii="Verdana" w:hAnsi="Verdana"/>
                <w:b w:val="0"/>
                <w:bCs w:val="0"/>
                <w:color w:val="000000" w:themeColor="text1"/>
                <w:sz w:val="18"/>
                <w:szCs w:val="18"/>
                <w:lang w:val="en-GB"/>
              </w:rPr>
              <w:t>) of the appealed judgment, that the declaration of bankruptcy of the SD 6X compartment be declared admissible, that it be found that the credit of that compartment has been undermined, and that it is in a state of cessation of payments.</w:t>
            </w:r>
          </w:p>
        </w:tc>
      </w:tr>
      <w:tr w:rsidR="00C516D5" w:rsidRPr="00293E99" w14:paraId="6BFB9754" w14:textId="77777777" w:rsidTr="001617F7">
        <w:tc>
          <w:tcPr>
            <w:tcW w:w="9498" w:type="dxa"/>
          </w:tcPr>
          <w:p w14:paraId="6442A688" w14:textId="67E62CF2"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He therefore asked that the SD 6X compartment be declared bankrupt, and that a supervising judge (</w:t>
            </w:r>
            <w:proofErr w:type="spellStart"/>
            <w:r w:rsidRPr="00293E99">
              <w:rPr>
                <w:rFonts w:ascii="Verdana" w:hAnsi="Verdana"/>
                <w:b w:val="0"/>
                <w:bCs w:val="0"/>
                <w:i/>
                <w:iCs/>
                <w:color w:val="000000" w:themeColor="text1"/>
                <w:sz w:val="18"/>
                <w:szCs w:val="18"/>
                <w:lang w:val="en-GB"/>
              </w:rPr>
              <w:t>juge</w:t>
            </w:r>
            <w:proofErr w:type="spellEnd"/>
            <w:r w:rsidRPr="00293E99">
              <w:rPr>
                <w:rFonts w:ascii="Verdana" w:hAnsi="Verdana"/>
                <w:b w:val="0"/>
                <w:bCs w:val="0"/>
                <w:i/>
                <w:iCs/>
                <w:color w:val="000000" w:themeColor="text1"/>
                <w:sz w:val="18"/>
                <w:szCs w:val="18"/>
                <w:lang w:val="en-GB"/>
              </w:rPr>
              <w:t>-commissaire</w:t>
            </w:r>
            <w:r w:rsidRPr="00293E99">
              <w:rPr>
                <w:rFonts w:ascii="Verdana" w:hAnsi="Verdana"/>
                <w:b w:val="0"/>
                <w:bCs w:val="0"/>
                <w:color w:val="000000" w:themeColor="text1"/>
                <w:sz w:val="18"/>
                <w:szCs w:val="18"/>
                <w:lang w:val="en-GB"/>
              </w:rPr>
              <w:t>) and a bankruptcy trustee (</w:t>
            </w:r>
            <w:proofErr w:type="spellStart"/>
            <w:r w:rsidRPr="00293E99">
              <w:rPr>
                <w:rFonts w:ascii="Verdana" w:hAnsi="Verdana"/>
                <w:b w:val="0"/>
                <w:bCs w:val="0"/>
                <w:i/>
                <w:iCs/>
                <w:color w:val="000000" w:themeColor="text1"/>
                <w:sz w:val="18"/>
                <w:szCs w:val="18"/>
                <w:lang w:val="en-GB"/>
              </w:rPr>
              <w:t>curateur</w:t>
            </w:r>
            <w:proofErr w:type="spellEnd"/>
            <w:r w:rsidRPr="00293E99">
              <w:rPr>
                <w:rFonts w:ascii="Verdana" w:hAnsi="Verdana"/>
                <w:b w:val="0"/>
                <w:bCs w:val="0"/>
                <w:color w:val="000000" w:themeColor="text1"/>
                <w:sz w:val="18"/>
                <w:szCs w:val="18"/>
                <w:lang w:val="en-GB"/>
              </w:rPr>
              <w:t>) be appointed.</w:t>
            </w:r>
          </w:p>
        </w:tc>
      </w:tr>
      <w:tr w:rsidR="00C516D5" w:rsidRPr="00293E99" w14:paraId="6F5D95C8" w14:textId="77777777" w:rsidTr="001617F7">
        <w:tc>
          <w:tcPr>
            <w:tcW w:w="9498" w:type="dxa"/>
          </w:tcPr>
          <w:p w14:paraId="2DE96F3F" w14:textId="4AA130E1"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As in first instance, the Liquidator submitted that the Fund has two compartments, namely the SD 2X compartment, showing assets in the amount of EUR 94,698.58 as at 11 March 2025, and the SD 6X compartment, showing a negative net asset value.</w:t>
            </w:r>
          </w:p>
        </w:tc>
      </w:tr>
      <w:tr w:rsidR="00C516D5" w:rsidRPr="00293E99" w14:paraId="0A65DD82" w14:textId="77777777" w:rsidTr="001617F7">
        <w:tc>
          <w:tcPr>
            <w:tcW w:w="9498" w:type="dxa"/>
          </w:tcPr>
          <w:p w14:paraId="744807F3" w14:textId="5C614C58"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He noted that, consequently, the SD 6X compartment is in cessation of payments and its credit had been undermined.</w:t>
            </w:r>
          </w:p>
        </w:tc>
      </w:tr>
      <w:tr w:rsidR="00C516D5" w:rsidRPr="00293E99" w14:paraId="7BE19C4E" w14:textId="77777777" w:rsidTr="001617F7">
        <w:tc>
          <w:tcPr>
            <w:tcW w:w="9498" w:type="dxa"/>
          </w:tcPr>
          <w:p w14:paraId="00EF6AD2" w14:textId="25A0D047"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The Liquidator criticised the appealed judgment for having rejected his bankruptcy declaration for the SD 6X compartment on the ground that the compartment is not to be regarded as a merchant (</w:t>
            </w:r>
            <w:proofErr w:type="spellStart"/>
            <w:r w:rsidRPr="00293E99">
              <w:rPr>
                <w:rFonts w:ascii="Verdana" w:hAnsi="Verdana"/>
                <w:b w:val="0"/>
                <w:bCs w:val="0"/>
                <w:i/>
                <w:iCs/>
                <w:color w:val="000000" w:themeColor="text1"/>
                <w:sz w:val="18"/>
                <w:szCs w:val="18"/>
                <w:lang w:val="en-GB"/>
              </w:rPr>
              <w:t>commerçant</w:t>
            </w:r>
            <w:proofErr w:type="spellEnd"/>
            <w:r w:rsidRPr="00293E99">
              <w:rPr>
                <w:rFonts w:ascii="Verdana" w:hAnsi="Verdana"/>
                <w:b w:val="0"/>
                <w:bCs w:val="0"/>
                <w:color w:val="000000" w:themeColor="text1"/>
                <w:sz w:val="18"/>
                <w:szCs w:val="18"/>
                <w:lang w:val="en-GB"/>
              </w:rPr>
              <w:t xml:space="preserve">), whereas a company would be commercial by nature and, </w:t>
            </w:r>
            <w:r w:rsidRPr="00293E99">
              <w:rPr>
                <w:rFonts w:ascii="Verdana" w:hAnsi="Verdana"/>
                <w:b w:val="0"/>
                <w:bCs w:val="0"/>
                <w:i/>
                <w:iCs/>
                <w:color w:val="000000" w:themeColor="text1"/>
                <w:sz w:val="18"/>
                <w:szCs w:val="18"/>
                <w:lang w:val="en-GB"/>
              </w:rPr>
              <w:t>a fortiori</w:t>
            </w:r>
            <w:r w:rsidRPr="00293E99">
              <w:rPr>
                <w:rFonts w:ascii="Verdana" w:hAnsi="Verdana"/>
                <w:b w:val="0"/>
                <w:bCs w:val="0"/>
                <w:color w:val="000000" w:themeColor="text1"/>
                <w:sz w:val="18"/>
                <w:szCs w:val="18"/>
                <w:lang w:val="en-GB"/>
              </w:rPr>
              <w:t>, so would the compartment. As in first instance, the Liquidator argued:</w:t>
            </w:r>
          </w:p>
        </w:tc>
      </w:tr>
      <w:tr w:rsidR="00C516D5" w:rsidRPr="00293E99" w14:paraId="52755AB4" w14:textId="77777777" w:rsidTr="001617F7">
        <w:tc>
          <w:tcPr>
            <w:tcW w:w="9498" w:type="dxa"/>
          </w:tcPr>
          <w:p w14:paraId="19364803" w14:textId="26C032DC"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that bankruptcy is purely a patrimonial measure and does not affect the merchant’s legal personality as such;</w:t>
            </w:r>
          </w:p>
        </w:tc>
      </w:tr>
      <w:tr w:rsidR="00C516D5" w:rsidRPr="00293E99" w14:paraId="46A9ACB8" w14:textId="77777777" w:rsidTr="001617F7">
        <w:tc>
          <w:tcPr>
            <w:tcW w:w="9498" w:type="dxa"/>
          </w:tcPr>
          <w:p w14:paraId="66FE5903" w14:textId="33851586"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293E99">
              <w:rPr>
                <w:rFonts w:ascii="Verdana" w:hAnsi="Verdana"/>
                <w:b w:val="0"/>
                <w:bCs w:val="0"/>
                <w:sz w:val="18"/>
                <w:szCs w:val="18"/>
                <w:lang w:val="en-GB"/>
              </w:rPr>
              <w:t>that, in view of the segregation principle between compartments, each compartment of an investment fund has separate assets and liabilities;</w:t>
            </w:r>
          </w:p>
        </w:tc>
      </w:tr>
      <w:tr w:rsidR="00C516D5" w:rsidRPr="00293E99" w14:paraId="0BBEF700" w14:textId="77777777" w:rsidTr="001617F7">
        <w:tc>
          <w:tcPr>
            <w:tcW w:w="9498" w:type="dxa"/>
          </w:tcPr>
          <w:p w14:paraId="7653E682" w14:textId="28379E4D"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293E99">
              <w:rPr>
                <w:rFonts w:ascii="Verdana" w:hAnsi="Verdana"/>
                <w:b w:val="0"/>
                <w:bCs w:val="0"/>
                <w:sz w:val="18"/>
                <w:szCs w:val="18"/>
                <w:lang w:val="en-GB"/>
              </w:rPr>
              <w:t>that the creditors of one compartment cannot enforce against the assets of another compartment, just as the creditors of the company constituted by the investment fund cannot enforce against the assets of those compartments;</w:t>
            </w:r>
          </w:p>
        </w:tc>
      </w:tr>
      <w:tr w:rsidR="00C516D5" w:rsidRPr="00293E99" w14:paraId="50344902" w14:textId="77777777" w:rsidTr="001617F7">
        <w:tc>
          <w:tcPr>
            <w:tcW w:w="9498" w:type="dxa"/>
          </w:tcPr>
          <w:p w14:paraId="38167286" w14:textId="50AB3F62"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293E99">
              <w:rPr>
                <w:rFonts w:ascii="Verdana" w:hAnsi="Verdana"/>
                <w:b w:val="0"/>
                <w:bCs w:val="0"/>
                <w:sz w:val="18"/>
                <w:szCs w:val="18"/>
                <w:lang w:val="en-GB"/>
              </w:rPr>
              <w:t xml:space="preserve">that each compartment is treated as a separate entity, as reflected in Article 71 of the </w:t>
            </w:r>
            <w:r w:rsidR="00342047" w:rsidRPr="00293E99">
              <w:rPr>
                <w:rFonts w:ascii="Verdana" w:hAnsi="Verdana"/>
                <w:b w:val="0"/>
                <w:bCs w:val="0"/>
                <w:sz w:val="18"/>
                <w:szCs w:val="18"/>
                <w:lang w:val="en-GB"/>
              </w:rPr>
              <w:t xml:space="preserve">SIF </w:t>
            </w:r>
            <w:r w:rsidRPr="00293E99">
              <w:rPr>
                <w:rFonts w:ascii="Verdana" w:hAnsi="Verdana"/>
                <w:b w:val="0"/>
                <w:bCs w:val="0"/>
                <w:sz w:val="18"/>
                <w:szCs w:val="18"/>
                <w:lang w:val="en-GB"/>
              </w:rPr>
              <w:t>Act</w:t>
            </w:r>
            <w:r w:rsidR="00847CB1" w:rsidRPr="00293E99">
              <w:rPr>
                <w:rFonts w:ascii="Verdana" w:hAnsi="Verdana"/>
                <w:b w:val="0"/>
                <w:bCs w:val="0"/>
                <w:sz w:val="18"/>
                <w:szCs w:val="18"/>
                <w:lang w:val="en-GB"/>
              </w:rPr>
              <w:t xml:space="preserve"> 2007</w:t>
            </w:r>
            <w:r w:rsidRPr="00293E99">
              <w:rPr>
                <w:rFonts w:ascii="Verdana" w:hAnsi="Verdana"/>
                <w:b w:val="0"/>
                <w:bCs w:val="0"/>
                <w:sz w:val="18"/>
                <w:szCs w:val="18"/>
                <w:lang w:val="en-GB"/>
              </w:rPr>
              <w:t>;</w:t>
            </w:r>
          </w:p>
        </w:tc>
      </w:tr>
      <w:tr w:rsidR="00C516D5" w:rsidRPr="00293E99" w14:paraId="6D939EEE" w14:textId="77777777" w:rsidTr="001617F7">
        <w:tc>
          <w:tcPr>
            <w:tcW w:w="9498" w:type="dxa"/>
          </w:tcPr>
          <w:p w14:paraId="00E1B2C3" w14:textId="104F00CA"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that each compartment is subject to separate accounting, and that it is possible to place a compartment into liquidation;</w:t>
            </w:r>
          </w:p>
        </w:tc>
      </w:tr>
      <w:tr w:rsidR="00C516D5" w:rsidRPr="00293E99" w14:paraId="19BFFC5D" w14:textId="77777777" w:rsidTr="001617F7">
        <w:tc>
          <w:tcPr>
            <w:tcW w:w="9498" w:type="dxa"/>
          </w:tcPr>
          <w:p w14:paraId="5345043A" w14:textId="64A59231"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293E99">
              <w:rPr>
                <w:rFonts w:ascii="Verdana" w:hAnsi="Verdana"/>
                <w:b w:val="0"/>
                <w:bCs w:val="0"/>
                <w:sz w:val="18"/>
                <w:szCs w:val="18"/>
                <w:lang w:val="en-GB"/>
              </w:rPr>
              <w:t>that refusing the possibility of declaring bankrupt a compartment that has ceased payments and whose credit is undermined would favour the fastest-acting creditors to the detriment of the others, contrary to the objective pursued by bankruptcy legislation;</w:t>
            </w:r>
          </w:p>
        </w:tc>
      </w:tr>
      <w:tr w:rsidR="00C516D5" w:rsidRPr="00293E99" w14:paraId="327C41AA" w14:textId="77777777" w:rsidTr="001617F7">
        <w:tc>
          <w:tcPr>
            <w:tcW w:w="9498" w:type="dxa"/>
          </w:tcPr>
          <w:p w14:paraId="4820EEF6" w14:textId="08CA1B78"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293E99">
              <w:rPr>
                <w:rFonts w:ascii="Verdana" w:hAnsi="Verdana"/>
                <w:b w:val="0"/>
                <w:bCs w:val="0"/>
                <w:sz w:val="18"/>
                <w:szCs w:val="18"/>
                <w:lang w:val="en-GB"/>
              </w:rPr>
              <w:lastRenderedPageBreak/>
              <w:t>that Regulation (EU) 2025/848 of the European Parliament and of the Council of 20 May 2025 on insolvency proceedings allows the opening of secondary proceedings relating only to certain assets located in a Member State of the Union;</w:t>
            </w:r>
          </w:p>
        </w:tc>
      </w:tr>
      <w:tr w:rsidR="00C516D5" w:rsidRPr="00293E99" w14:paraId="035618A4" w14:textId="77777777" w:rsidTr="001617F7">
        <w:tc>
          <w:tcPr>
            <w:tcW w:w="9498" w:type="dxa"/>
          </w:tcPr>
          <w:p w14:paraId="63EFD89E" w14:textId="5588870F"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293E99">
              <w:rPr>
                <w:rFonts w:ascii="Verdana" w:hAnsi="Verdana"/>
                <w:b w:val="0"/>
                <w:bCs w:val="0"/>
                <w:sz w:val="18"/>
                <w:szCs w:val="18"/>
                <w:lang w:val="en-GB"/>
              </w:rPr>
              <w:t>that such secondary proceedings are subject to the bankruptcy regime;</w:t>
            </w:r>
          </w:p>
        </w:tc>
      </w:tr>
      <w:tr w:rsidR="00C516D5" w:rsidRPr="00293E99" w14:paraId="188B35B5" w14:textId="77777777" w:rsidTr="001617F7">
        <w:tc>
          <w:tcPr>
            <w:tcW w:w="9498" w:type="dxa"/>
          </w:tcPr>
          <w:p w14:paraId="18FC0CFE" w14:textId="7A2F1953"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color w:val="000000" w:themeColor="text1"/>
                <w:sz w:val="18"/>
                <w:szCs w:val="18"/>
                <w:lang w:val="en-GB"/>
              </w:rPr>
            </w:pPr>
            <w:r w:rsidRPr="00293E99">
              <w:rPr>
                <w:rFonts w:ascii="Verdana" w:hAnsi="Verdana"/>
                <w:b w:val="0"/>
                <w:bCs w:val="0"/>
                <w:sz w:val="18"/>
                <w:szCs w:val="18"/>
                <w:lang w:val="en-GB"/>
              </w:rPr>
              <w:t>that Luxembourg case law has therefore accepted the principle of bankruptcy proceedings relating only to certain assets, forming part of another legal person, but distinguishable;</w:t>
            </w:r>
          </w:p>
        </w:tc>
      </w:tr>
      <w:tr w:rsidR="00C516D5" w:rsidRPr="00293E99" w14:paraId="78586C96" w14:textId="77777777" w:rsidTr="001617F7">
        <w:tc>
          <w:tcPr>
            <w:tcW w:w="9498" w:type="dxa"/>
          </w:tcPr>
          <w:p w14:paraId="2F981488" w14:textId="2D1EE4B7"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that nothing prevents applying this logic to compartments of an investment fund.</w:t>
            </w:r>
          </w:p>
        </w:tc>
      </w:tr>
      <w:tr w:rsidR="00C516D5" w:rsidRPr="00293E99" w14:paraId="11C5F9A4" w14:textId="77777777" w:rsidTr="001617F7">
        <w:tc>
          <w:tcPr>
            <w:tcW w:w="9498" w:type="dxa"/>
          </w:tcPr>
          <w:p w14:paraId="734AA5C2" w14:textId="09F89BDA"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Like the first-instance judges, it is appropriate to refer to Article 440 of the Commercial Code, which provides that any merchant and any commercial company that ceases its payments must, within one month, file a declaration with the registry of the District Court sitting in commercial matters of its domicile or registered office.</w:t>
            </w:r>
          </w:p>
        </w:tc>
      </w:tr>
      <w:tr w:rsidR="00C516D5" w:rsidRPr="00293E99" w14:paraId="47332613" w14:textId="77777777" w:rsidTr="001617F7">
        <w:tc>
          <w:tcPr>
            <w:tcW w:w="9498" w:type="dxa"/>
          </w:tcPr>
          <w:p w14:paraId="35A6485F" w14:textId="5A231025"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 compartment of an investment fund has no legal personality and is neither a merchant nor a commercial company capable of being declared bankrupt pursuant to Article 440 of the Commercial Code.</w:t>
            </w:r>
          </w:p>
        </w:tc>
      </w:tr>
      <w:tr w:rsidR="00C516D5" w:rsidRPr="00293E99" w14:paraId="4D284FF9" w14:textId="77777777" w:rsidTr="001617F7">
        <w:tc>
          <w:tcPr>
            <w:tcW w:w="9498" w:type="dxa"/>
          </w:tcPr>
          <w:p w14:paraId="4539957A" w14:textId="3726370A"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While it is true that a compartment of a specialised investment fund constitutes, pursuant to the SIF Act</w:t>
            </w:r>
            <w:r w:rsidR="00847CB1" w:rsidRPr="00293E99">
              <w:rPr>
                <w:rFonts w:ascii="Verdana" w:hAnsi="Verdana"/>
                <w:b w:val="0"/>
                <w:bCs w:val="0"/>
                <w:color w:val="000000" w:themeColor="text1"/>
                <w:sz w:val="18"/>
                <w:szCs w:val="18"/>
                <w:lang w:val="en-GB"/>
              </w:rPr>
              <w:t xml:space="preserve"> 2007</w:t>
            </w:r>
            <w:r w:rsidRPr="00293E99">
              <w:rPr>
                <w:rFonts w:ascii="Verdana" w:hAnsi="Verdana"/>
                <w:b w:val="0"/>
                <w:bCs w:val="0"/>
                <w:color w:val="000000" w:themeColor="text1"/>
                <w:sz w:val="18"/>
                <w:szCs w:val="18"/>
                <w:lang w:val="en-GB"/>
              </w:rPr>
              <w:t>, a separate pool of assets within that fund, and that the same statute expressly provides for the possibility of placing only one compartment of a specialised investment fund into liquidation, those arrangements are expressly provided for by specific legal provisions.</w:t>
            </w:r>
          </w:p>
        </w:tc>
      </w:tr>
      <w:tr w:rsidR="00C516D5" w:rsidRPr="00293E99" w14:paraId="6F192D5A" w14:textId="77777777" w:rsidTr="001617F7">
        <w:tc>
          <w:tcPr>
            <w:tcW w:w="9498" w:type="dxa"/>
          </w:tcPr>
          <w:p w14:paraId="4C8395DD" w14:textId="52A549FA"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The same applies with regard to the conditions for opening secondary proceedings.</w:t>
            </w:r>
          </w:p>
        </w:tc>
      </w:tr>
      <w:tr w:rsidR="00C516D5" w:rsidRPr="00293E99" w14:paraId="242C583D" w14:textId="77777777" w:rsidTr="001617F7">
        <w:tc>
          <w:tcPr>
            <w:tcW w:w="9498" w:type="dxa"/>
          </w:tcPr>
          <w:p w14:paraId="5FC1AD90" w14:textId="572497C7"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However, there is no legal basis providing for the bankruptcy of a compartment of a specialised investment fund.</w:t>
            </w:r>
          </w:p>
        </w:tc>
      </w:tr>
      <w:tr w:rsidR="00C516D5" w:rsidRPr="00293E99" w14:paraId="3E4CC0B3" w14:textId="77777777" w:rsidTr="001617F7">
        <w:tc>
          <w:tcPr>
            <w:tcW w:w="9498" w:type="dxa"/>
          </w:tcPr>
          <w:p w14:paraId="01448FC9" w14:textId="189450DA"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In the absence of compliance with the conditions of Article 440 of the Commercial Code, and in the absence of any other legal basis, a compartment of a specialised investment fund cannot be declared bankrupt.</w:t>
            </w:r>
          </w:p>
        </w:tc>
      </w:tr>
      <w:tr w:rsidR="00C516D5" w:rsidRPr="00293E99" w14:paraId="3110F30D" w14:textId="77777777" w:rsidTr="001617F7">
        <w:tc>
          <w:tcPr>
            <w:tcW w:w="9498" w:type="dxa"/>
          </w:tcPr>
          <w:p w14:paraId="21897317" w14:textId="264DF3EE"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It follows that the first-instance judges were correct in declaring the bankruptcy declaration relating to the SD 6X compartment inadmissible.</w:t>
            </w:r>
          </w:p>
        </w:tc>
      </w:tr>
      <w:tr w:rsidR="00C516D5" w:rsidRPr="00293E99" w14:paraId="55BF9A8F" w14:textId="77777777" w:rsidTr="001617F7">
        <w:tc>
          <w:tcPr>
            <w:tcW w:w="9498" w:type="dxa"/>
          </w:tcPr>
          <w:p w14:paraId="638A8FE8" w14:textId="22171D50" w:rsidR="00C516D5" w:rsidRPr="00293E99" w:rsidRDefault="00C516D5" w:rsidP="00C516D5">
            <w:pPr>
              <w:pStyle w:val="NormalWeb"/>
              <w:spacing w:before="0" w:beforeAutospacing="0" w:after="120" w:afterAutospacing="0"/>
              <w:ind w:left="661"/>
              <w:jc w:val="center"/>
              <w:rPr>
                <w:rFonts w:ascii="Verdana" w:hAnsi="Verdana"/>
                <w:b w:val="0"/>
                <w:bCs w:val="0"/>
                <w:color w:val="002060"/>
                <w:sz w:val="18"/>
                <w:szCs w:val="18"/>
                <w:lang w:val="en-GB"/>
              </w:rPr>
            </w:pPr>
            <w:r w:rsidRPr="00293E99">
              <w:rPr>
                <w:rFonts w:ascii="Verdana" w:hAnsi="Verdana"/>
                <w:color w:val="002060"/>
                <w:sz w:val="18"/>
                <w:szCs w:val="18"/>
                <w:lang w:val="en-GB"/>
              </w:rPr>
              <w:t>FOR THESE REASONS</w:t>
            </w:r>
          </w:p>
        </w:tc>
      </w:tr>
      <w:tr w:rsidR="00C516D5" w:rsidRPr="00293E99" w14:paraId="29E8CE94" w14:textId="77777777" w:rsidTr="001617F7">
        <w:tc>
          <w:tcPr>
            <w:tcW w:w="9498" w:type="dxa"/>
          </w:tcPr>
          <w:p w14:paraId="17F4E22C" w14:textId="77777777" w:rsidR="00C516D5" w:rsidRPr="00293E99" w:rsidRDefault="00C516D5" w:rsidP="00C516D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the Court of Appeal, Fourth Chamber, sitting in commercial matters,</w:t>
            </w:r>
          </w:p>
          <w:p w14:paraId="28957FB0" w14:textId="77777777"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admits the appeal,</w:t>
            </w:r>
          </w:p>
          <w:p w14:paraId="0A504447" w14:textId="77777777"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declares it unfounded,</w:t>
            </w:r>
          </w:p>
          <w:p w14:paraId="11EEA612" w14:textId="77777777"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upholds the appealed judgment,</w:t>
            </w:r>
          </w:p>
          <w:p w14:paraId="6C58E8D3" w14:textId="49530B8B" w:rsidR="00C516D5" w:rsidRPr="00293E99" w:rsidRDefault="00C516D5" w:rsidP="00C516D5">
            <w:pPr>
              <w:pStyle w:val="NormalWeb"/>
              <w:numPr>
                <w:ilvl w:val="0"/>
                <w:numId w:val="163"/>
              </w:numPr>
              <w:spacing w:before="0" w:beforeAutospacing="0" w:after="120" w:afterAutospacing="0"/>
              <w:ind w:left="1021"/>
              <w:jc w:val="both"/>
              <w:rPr>
                <w:rFonts w:ascii="Verdana" w:hAnsi="Verdana"/>
                <w:b w:val="0"/>
                <w:bCs w:val="0"/>
                <w:sz w:val="18"/>
                <w:szCs w:val="18"/>
                <w:lang w:val="en-GB"/>
              </w:rPr>
            </w:pPr>
            <w:r w:rsidRPr="00293E99">
              <w:rPr>
                <w:rFonts w:ascii="Verdana" w:hAnsi="Verdana"/>
                <w:b w:val="0"/>
                <w:bCs w:val="0"/>
                <w:sz w:val="18"/>
                <w:szCs w:val="18"/>
                <w:lang w:val="en-GB"/>
              </w:rPr>
              <w:t>orders that the costs be borne by the Fund, in voluntary liquidation.</w:t>
            </w:r>
          </w:p>
        </w:tc>
      </w:tr>
      <w:tr w:rsidR="002E4D82" w:rsidRPr="00293E99" w14:paraId="2EBF1582" w14:textId="77777777" w:rsidTr="001617F7">
        <w:tc>
          <w:tcPr>
            <w:tcW w:w="9498" w:type="dxa"/>
          </w:tcPr>
          <w:p w14:paraId="7ABC8ECC" w14:textId="24DFC6B4" w:rsidR="002E4D82" w:rsidRPr="00293E99" w:rsidRDefault="00941620" w:rsidP="002E4D82">
            <w:pPr>
              <w:pStyle w:val="NormalWeb"/>
              <w:numPr>
                <w:ilvl w:val="0"/>
                <w:numId w:val="63"/>
              </w:numPr>
              <w:spacing w:before="0" w:beforeAutospacing="0" w:after="120" w:afterAutospacing="0"/>
              <w:jc w:val="both"/>
              <w:rPr>
                <w:rFonts w:ascii="Verdana" w:hAnsi="Verdana"/>
                <w:color w:val="002060"/>
                <w:sz w:val="18"/>
                <w:szCs w:val="18"/>
                <w:lang w:val="en-GB"/>
              </w:rPr>
            </w:pPr>
            <w:r w:rsidRPr="00293E99">
              <w:rPr>
                <w:rFonts w:ascii="Verdana" w:hAnsi="Verdana"/>
                <w:color w:val="002060"/>
                <w:sz w:val="18"/>
                <w:szCs w:val="18"/>
                <w:lang w:val="en-GB"/>
              </w:rPr>
              <w:t xml:space="preserve">Case </w:t>
            </w:r>
            <w:r w:rsidR="002E4D82" w:rsidRPr="00293E99">
              <w:rPr>
                <w:rFonts w:ascii="Verdana" w:hAnsi="Verdana"/>
                <w:color w:val="002060"/>
                <w:sz w:val="18"/>
                <w:szCs w:val="18"/>
                <w:lang w:val="en-GB"/>
              </w:rPr>
              <w:t>Note</w:t>
            </w:r>
            <w:r w:rsidR="003E5C20">
              <w:rPr>
                <w:rFonts w:ascii="Verdana" w:hAnsi="Verdana"/>
                <w:color w:val="002060"/>
                <w:sz w:val="18"/>
                <w:szCs w:val="18"/>
                <w:lang w:val="en-GB"/>
              </w:rPr>
              <w:t xml:space="preserve"> </w:t>
            </w:r>
            <w:r w:rsidR="00C55D12">
              <w:rPr>
                <w:rFonts w:ascii="Verdana" w:hAnsi="Verdana"/>
                <w:color w:val="002060"/>
                <w:sz w:val="18"/>
                <w:szCs w:val="18"/>
                <w:lang w:val="en-GB"/>
              </w:rPr>
              <w:t xml:space="preserve">and </w:t>
            </w:r>
            <w:r w:rsidR="003E5C20">
              <w:rPr>
                <w:rFonts w:ascii="Verdana" w:hAnsi="Verdana"/>
                <w:color w:val="002060"/>
                <w:sz w:val="18"/>
                <w:szCs w:val="18"/>
                <w:lang w:val="en-GB"/>
              </w:rPr>
              <w:t>Doctrinal Analysis</w:t>
            </w:r>
          </w:p>
        </w:tc>
      </w:tr>
      <w:tr w:rsidR="00890F38" w:rsidRPr="00293E99" w14:paraId="039F4ED3" w14:textId="77777777" w:rsidTr="001617F7">
        <w:tc>
          <w:tcPr>
            <w:tcW w:w="9498" w:type="dxa"/>
          </w:tcPr>
          <w:p w14:paraId="54D828BA" w14:textId="39DD29D6" w:rsidR="00890F38" w:rsidRPr="00293E99" w:rsidRDefault="00C55D12" w:rsidP="00A56056">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Pr>
                <w:rFonts w:ascii="Verdana" w:hAnsi="Verdana"/>
                <w:b w:val="0"/>
                <w:bCs w:val="0"/>
                <w:i/>
                <w:iCs/>
                <w:color w:val="002060"/>
                <w:sz w:val="18"/>
                <w:szCs w:val="18"/>
                <w:lang w:val="en-GB"/>
              </w:rPr>
              <w:t>The Court’s Holding and its Legal Test</w:t>
            </w:r>
          </w:p>
        </w:tc>
      </w:tr>
      <w:tr w:rsidR="00890F38" w:rsidRPr="00293E99" w14:paraId="533EA6CE" w14:textId="77777777" w:rsidTr="001617F7">
        <w:tc>
          <w:tcPr>
            <w:tcW w:w="9498" w:type="dxa"/>
          </w:tcPr>
          <w:p w14:paraId="1E3E3331" w14:textId="6463195A" w:rsidR="00890F38" w:rsidRPr="00293E99" w:rsidRDefault="00890F38" w:rsidP="00890F38">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In its </w:t>
            </w:r>
            <w:r w:rsidR="00847CB1" w:rsidRPr="00293E99">
              <w:rPr>
                <w:rFonts w:ascii="Verdana" w:hAnsi="Verdana"/>
                <w:b w:val="0"/>
                <w:bCs w:val="0"/>
                <w:color w:val="000000" w:themeColor="text1"/>
                <w:sz w:val="18"/>
                <w:szCs w:val="18"/>
                <w:lang w:val="en-GB"/>
              </w:rPr>
              <w:t>R</w:t>
            </w:r>
            <w:r w:rsidRPr="00293E99">
              <w:rPr>
                <w:rFonts w:ascii="Verdana" w:hAnsi="Verdana"/>
                <w:b w:val="0"/>
                <w:bCs w:val="0"/>
                <w:color w:val="000000" w:themeColor="text1"/>
                <w:sz w:val="18"/>
                <w:szCs w:val="18"/>
                <w:lang w:val="en-GB"/>
              </w:rPr>
              <w:t xml:space="preserve">uling 186/25, the </w:t>
            </w:r>
            <w:r w:rsidR="00E036EE" w:rsidRPr="00293E99">
              <w:rPr>
                <w:rFonts w:ascii="Verdana" w:hAnsi="Verdana"/>
                <w:b w:val="0"/>
                <w:bCs w:val="0"/>
                <w:color w:val="000000" w:themeColor="text1"/>
                <w:sz w:val="18"/>
                <w:szCs w:val="18"/>
                <w:lang w:val="en-GB"/>
              </w:rPr>
              <w:t xml:space="preserve">Luxembourg </w:t>
            </w:r>
            <w:r w:rsidRPr="00293E99">
              <w:rPr>
                <w:rFonts w:ascii="Verdana" w:hAnsi="Verdana"/>
                <w:b w:val="0"/>
                <w:bCs w:val="0"/>
                <w:color w:val="000000" w:themeColor="text1"/>
                <w:sz w:val="18"/>
                <w:szCs w:val="18"/>
                <w:lang w:val="en-GB"/>
              </w:rPr>
              <w:t>Court of Appeal concluded that</w:t>
            </w:r>
            <w:r w:rsidR="00847CB1" w:rsidRPr="00293E99">
              <w:rPr>
                <w:rFonts w:ascii="Verdana" w:hAnsi="Verdana"/>
                <w:b w:val="0"/>
                <w:bCs w:val="0"/>
                <w:color w:val="000000" w:themeColor="text1"/>
                <w:sz w:val="18"/>
                <w:szCs w:val="18"/>
                <w:lang w:val="en-GB"/>
              </w:rPr>
              <w:t xml:space="preserve"> there is no specific legal basis under Luxembourg law providing for the bankruptcy of a compartment of a specialised investment fund. Furthermore</w:t>
            </w:r>
            <w:r w:rsidRPr="00293E99">
              <w:rPr>
                <w:rFonts w:ascii="Verdana" w:hAnsi="Verdana"/>
                <w:b w:val="0"/>
                <w:bCs w:val="0"/>
                <w:color w:val="000000" w:themeColor="text1"/>
                <w:sz w:val="18"/>
                <w:szCs w:val="18"/>
                <w:lang w:val="en-GB"/>
              </w:rPr>
              <w:t>,</w:t>
            </w:r>
            <w:r w:rsidR="00847CB1" w:rsidRPr="00293E99">
              <w:rPr>
                <w:rFonts w:ascii="Verdana" w:hAnsi="Verdana"/>
                <w:b w:val="0"/>
                <w:bCs w:val="0"/>
                <w:color w:val="000000" w:themeColor="text1"/>
                <w:sz w:val="18"/>
                <w:szCs w:val="18"/>
                <w:lang w:val="en-GB"/>
              </w:rPr>
              <w:t xml:space="preserve"> it added that</w:t>
            </w:r>
            <w:r w:rsidRPr="00293E99">
              <w:rPr>
                <w:rFonts w:ascii="Verdana" w:hAnsi="Verdana"/>
                <w:b w:val="0"/>
                <w:bCs w:val="0"/>
                <w:color w:val="000000" w:themeColor="text1"/>
                <w:sz w:val="18"/>
                <w:szCs w:val="18"/>
                <w:lang w:val="en-GB"/>
              </w:rPr>
              <w:t xml:space="preserve"> although Article 440 of the Commercial Code requires merchants and commercial companies that have ceased payments to file for bankruptcy within one month, this provision does not apply to compartments of investment funds, as such compartments lack legal personality and are neither merchants nor commercial companies. </w:t>
            </w:r>
          </w:p>
        </w:tc>
      </w:tr>
      <w:tr w:rsidR="00534D6F" w:rsidRPr="00293E99" w14:paraId="3E1853B7" w14:textId="77777777" w:rsidTr="001617F7">
        <w:tc>
          <w:tcPr>
            <w:tcW w:w="9498" w:type="dxa"/>
          </w:tcPr>
          <w:p w14:paraId="233B898B" w14:textId="3B7533DD" w:rsidR="00534D6F" w:rsidRPr="00293E99" w:rsidRDefault="00E036EE" w:rsidP="00890F38">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Put differently</w:t>
            </w:r>
            <w:r w:rsidR="00534D6F" w:rsidRPr="00293E99">
              <w:rPr>
                <w:rFonts w:ascii="Verdana" w:hAnsi="Verdana"/>
                <w:b w:val="0"/>
                <w:bCs w:val="0"/>
                <w:color w:val="000000" w:themeColor="text1"/>
                <w:sz w:val="18"/>
                <w:szCs w:val="18"/>
                <w:lang w:val="en-GB"/>
              </w:rPr>
              <w:t>, the Court made clear that the liquidator would have had to demonstrate, as a matter of law, either (</w:t>
            </w:r>
            <w:proofErr w:type="spellStart"/>
            <w:r w:rsidR="00534D6F" w:rsidRPr="00293E99">
              <w:rPr>
                <w:rFonts w:ascii="Verdana" w:hAnsi="Verdana"/>
                <w:b w:val="0"/>
                <w:bCs w:val="0"/>
                <w:color w:val="000000" w:themeColor="text1"/>
                <w:sz w:val="18"/>
                <w:szCs w:val="18"/>
                <w:lang w:val="en-GB"/>
              </w:rPr>
              <w:t>i</w:t>
            </w:r>
            <w:proofErr w:type="spellEnd"/>
            <w:r w:rsidR="00534D6F" w:rsidRPr="00293E99">
              <w:rPr>
                <w:rFonts w:ascii="Verdana" w:hAnsi="Verdana"/>
                <w:b w:val="0"/>
                <w:bCs w:val="0"/>
                <w:color w:val="000000" w:themeColor="text1"/>
                <w:sz w:val="18"/>
                <w:szCs w:val="18"/>
                <w:lang w:val="en-GB"/>
              </w:rPr>
              <w:t xml:space="preserve">) </w:t>
            </w:r>
            <w:r w:rsidRPr="00293E99">
              <w:rPr>
                <w:rFonts w:ascii="Verdana" w:hAnsi="Verdana"/>
                <w:b w:val="0"/>
                <w:bCs w:val="0"/>
                <w:color w:val="000000" w:themeColor="text1"/>
                <w:sz w:val="18"/>
                <w:szCs w:val="18"/>
                <w:lang w:val="en-GB"/>
              </w:rPr>
              <w:t xml:space="preserve">that a </w:t>
            </w:r>
            <w:r w:rsidRPr="00293E99">
              <w:rPr>
                <w:rFonts w:ascii="Verdana" w:hAnsi="Verdana"/>
                <w:b w:val="0"/>
                <w:bCs w:val="0"/>
                <w:i/>
                <w:iCs/>
                <w:color w:val="000000" w:themeColor="text1"/>
                <w:sz w:val="18"/>
                <w:szCs w:val="18"/>
                <w:lang w:val="en-GB"/>
              </w:rPr>
              <w:t xml:space="preserve">specific statutory provision – </w:t>
            </w:r>
            <w:r w:rsidRPr="00293E99">
              <w:rPr>
                <w:rFonts w:ascii="Verdana" w:hAnsi="Verdana"/>
                <w:b w:val="0"/>
                <w:bCs w:val="0"/>
                <w:color w:val="000000" w:themeColor="text1"/>
                <w:sz w:val="18"/>
                <w:szCs w:val="18"/>
                <w:lang w:val="en-GB"/>
              </w:rPr>
              <w:t>such as one contained in the SIF Act 2007 – expressly provides for the possibility of declaring a SIF compartment bankrupt</w:t>
            </w:r>
            <w:r w:rsidR="00534D6F" w:rsidRPr="00293E99">
              <w:rPr>
                <w:rFonts w:ascii="Verdana" w:hAnsi="Verdana"/>
                <w:b w:val="0"/>
                <w:bCs w:val="0"/>
                <w:color w:val="000000" w:themeColor="text1"/>
                <w:sz w:val="18"/>
                <w:szCs w:val="18"/>
                <w:lang w:val="en-GB"/>
              </w:rPr>
              <w:t>, or (ii)</w:t>
            </w:r>
            <w:r w:rsidRPr="00293E99">
              <w:rPr>
                <w:rFonts w:ascii="Verdana" w:hAnsi="Verdana"/>
                <w:b w:val="0"/>
                <w:bCs w:val="0"/>
                <w:color w:val="000000" w:themeColor="text1"/>
                <w:sz w:val="18"/>
                <w:szCs w:val="18"/>
                <w:lang w:val="en-GB"/>
              </w:rPr>
              <w:t xml:space="preserve"> that a compartment of a SIF falls within the </w:t>
            </w:r>
            <w:r w:rsidRPr="00293E99">
              <w:rPr>
                <w:rFonts w:ascii="Verdana" w:hAnsi="Verdana"/>
                <w:b w:val="0"/>
                <w:bCs w:val="0"/>
                <w:i/>
                <w:iCs/>
                <w:color w:val="000000" w:themeColor="text1"/>
                <w:sz w:val="18"/>
                <w:szCs w:val="18"/>
                <w:lang w:val="en-GB"/>
              </w:rPr>
              <w:t>personal scope</w:t>
            </w:r>
            <w:r w:rsidRPr="00293E99">
              <w:rPr>
                <w:rFonts w:ascii="Verdana" w:hAnsi="Verdana"/>
                <w:b w:val="0"/>
                <w:bCs w:val="0"/>
                <w:color w:val="000000" w:themeColor="text1"/>
                <w:sz w:val="18"/>
                <w:szCs w:val="18"/>
                <w:lang w:val="en-GB"/>
              </w:rPr>
              <w:t xml:space="preserve"> of Article 440 of the Commercial Code i.e., that (a) it qualifies as a merchant or a commercial company and (b) has legal personality.</w:t>
            </w:r>
          </w:p>
        </w:tc>
      </w:tr>
      <w:tr w:rsidR="000A6BD7" w:rsidRPr="00293E99" w14:paraId="66077110" w14:textId="77777777" w:rsidTr="001617F7">
        <w:tc>
          <w:tcPr>
            <w:tcW w:w="9498" w:type="dxa"/>
          </w:tcPr>
          <w:p w14:paraId="25DB3831" w14:textId="20E3F510" w:rsidR="000A6BD7" w:rsidRPr="00293E99" w:rsidRDefault="000A6BD7" w:rsidP="00890F38">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lastRenderedPageBreak/>
              <w:t>In the absence of the proof of either</w:t>
            </w:r>
            <w:r w:rsidR="00697FFC" w:rsidRPr="00293E99">
              <w:rPr>
                <w:rFonts w:ascii="Verdana" w:hAnsi="Verdana"/>
                <w:b w:val="0"/>
                <w:bCs w:val="0"/>
                <w:color w:val="000000" w:themeColor="text1"/>
                <w:sz w:val="18"/>
                <w:szCs w:val="18"/>
                <w:lang w:val="en-GB"/>
              </w:rPr>
              <w:t xml:space="preserve"> condition</w:t>
            </w:r>
            <w:r w:rsidRPr="00293E99">
              <w:rPr>
                <w:rFonts w:ascii="Verdana" w:hAnsi="Verdana"/>
                <w:b w:val="0"/>
                <w:bCs w:val="0"/>
                <w:color w:val="000000" w:themeColor="text1"/>
                <w:sz w:val="18"/>
                <w:szCs w:val="18"/>
                <w:lang w:val="en-GB"/>
              </w:rPr>
              <w:t>, the Court h</w:t>
            </w:r>
            <w:r w:rsidR="00697FFC" w:rsidRPr="00293E99">
              <w:rPr>
                <w:rFonts w:ascii="Verdana" w:hAnsi="Verdana"/>
                <w:b w:val="0"/>
                <w:bCs w:val="0"/>
                <w:color w:val="000000" w:themeColor="text1"/>
                <w:sz w:val="18"/>
                <w:szCs w:val="18"/>
                <w:lang w:val="en-GB"/>
              </w:rPr>
              <w:t>e</w:t>
            </w:r>
            <w:r w:rsidRPr="00293E99">
              <w:rPr>
                <w:rFonts w:ascii="Verdana" w:hAnsi="Verdana"/>
                <w:b w:val="0"/>
                <w:bCs w:val="0"/>
                <w:color w:val="000000" w:themeColor="text1"/>
                <w:sz w:val="18"/>
                <w:szCs w:val="18"/>
                <w:lang w:val="en-GB"/>
              </w:rPr>
              <w:t>ld that bankruptcy of a compartment cannot be ordered.</w:t>
            </w:r>
          </w:p>
        </w:tc>
      </w:tr>
      <w:tr w:rsidR="00616655" w:rsidRPr="00293E99" w14:paraId="0AF9B81F" w14:textId="77777777" w:rsidTr="001617F7">
        <w:tc>
          <w:tcPr>
            <w:tcW w:w="9498" w:type="dxa"/>
          </w:tcPr>
          <w:p w14:paraId="02081426" w14:textId="77777777" w:rsidR="00616655" w:rsidRPr="00293E99" w:rsidRDefault="00616655" w:rsidP="00616655">
            <w:pPr>
              <w:pStyle w:val="NormalWeb"/>
              <w:spacing w:before="0" w:beforeAutospacing="0" w:after="120" w:afterAutospacing="0"/>
              <w:ind w:left="661"/>
              <w:jc w:val="both"/>
              <w:rPr>
                <w:rFonts w:ascii="Verdana" w:hAnsi="Verdana"/>
                <w:b w:val="0"/>
                <w:bCs w:val="0"/>
                <w:color w:val="000000" w:themeColor="text1"/>
                <w:sz w:val="18"/>
                <w:szCs w:val="18"/>
                <w:lang w:val="en-GB"/>
              </w:rPr>
            </w:pPr>
          </w:p>
        </w:tc>
      </w:tr>
      <w:tr w:rsidR="00616655" w:rsidRPr="00293E99" w14:paraId="101DEE7B" w14:textId="77777777" w:rsidTr="001617F7">
        <w:tc>
          <w:tcPr>
            <w:tcW w:w="9498" w:type="dxa"/>
          </w:tcPr>
          <w:p w14:paraId="45029BC0" w14:textId="77777777" w:rsidR="00616655" w:rsidRPr="00293E99" w:rsidRDefault="00616655" w:rsidP="00616655">
            <w:pPr>
              <w:pStyle w:val="NormalWeb"/>
              <w:spacing w:before="0" w:beforeAutospacing="0" w:after="120" w:afterAutospacing="0"/>
              <w:ind w:left="661"/>
              <w:jc w:val="both"/>
              <w:rPr>
                <w:rFonts w:ascii="Verdana" w:hAnsi="Verdana"/>
                <w:b w:val="0"/>
                <w:bCs w:val="0"/>
                <w:color w:val="000000" w:themeColor="text1"/>
                <w:sz w:val="18"/>
                <w:szCs w:val="18"/>
                <w:lang w:val="en-GB"/>
              </w:rPr>
            </w:pPr>
          </w:p>
        </w:tc>
      </w:tr>
      <w:tr w:rsidR="007C0815" w:rsidRPr="00293E99" w14:paraId="55F18BF5" w14:textId="77777777" w:rsidTr="001617F7">
        <w:tc>
          <w:tcPr>
            <w:tcW w:w="9498" w:type="dxa"/>
          </w:tcPr>
          <w:p w14:paraId="6DBF10B9" w14:textId="776E3D11" w:rsidR="007C0815" w:rsidRPr="00293E99" w:rsidRDefault="00C55D12" w:rsidP="007C0815">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Pr>
                <w:rFonts w:ascii="Verdana" w:hAnsi="Verdana"/>
                <w:b w:val="0"/>
                <w:bCs w:val="0"/>
                <w:i/>
                <w:iCs/>
                <w:color w:val="002060"/>
                <w:sz w:val="18"/>
                <w:szCs w:val="18"/>
                <w:lang w:val="en-GB"/>
              </w:rPr>
              <w:t>Is There a</w:t>
            </w:r>
            <w:r w:rsidR="007C0815" w:rsidRPr="00293E99">
              <w:rPr>
                <w:rFonts w:ascii="Verdana" w:hAnsi="Verdana"/>
                <w:b w:val="0"/>
                <w:bCs w:val="0"/>
                <w:i/>
                <w:iCs/>
                <w:color w:val="002060"/>
                <w:sz w:val="18"/>
                <w:szCs w:val="18"/>
                <w:lang w:val="en-GB"/>
              </w:rPr>
              <w:t xml:space="preserve"> Statutory </w:t>
            </w:r>
            <w:r>
              <w:rPr>
                <w:rFonts w:ascii="Verdana" w:hAnsi="Verdana"/>
                <w:b w:val="0"/>
                <w:bCs w:val="0"/>
                <w:i/>
                <w:iCs/>
                <w:color w:val="002060"/>
                <w:sz w:val="18"/>
                <w:szCs w:val="18"/>
                <w:lang w:val="en-GB"/>
              </w:rPr>
              <w:t>Basis for</w:t>
            </w:r>
            <w:r w:rsidR="007C0815" w:rsidRPr="00293E99">
              <w:rPr>
                <w:rFonts w:ascii="Verdana" w:hAnsi="Verdana"/>
                <w:b w:val="0"/>
                <w:bCs w:val="0"/>
                <w:i/>
                <w:iCs/>
                <w:color w:val="002060"/>
                <w:sz w:val="18"/>
                <w:szCs w:val="18"/>
                <w:lang w:val="en-GB"/>
              </w:rPr>
              <w:t xml:space="preserve"> Compartment Bankrupt</w:t>
            </w:r>
            <w:r>
              <w:rPr>
                <w:rFonts w:ascii="Verdana" w:hAnsi="Verdana"/>
                <w:b w:val="0"/>
                <w:bCs w:val="0"/>
                <w:i/>
                <w:iCs/>
                <w:color w:val="002060"/>
                <w:sz w:val="18"/>
                <w:szCs w:val="18"/>
                <w:lang w:val="en-GB"/>
              </w:rPr>
              <w:t>cy</w:t>
            </w:r>
            <w:r w:rsidR="00697FFC" w:rsidRPr="00293E99">
              <w:rPr>
                <w:rFonts w:ascii="Verdana" w:hAnsi="Verdana"/>
                <w:b w:val="0"/>
                <w:bCs w:val="0"/>
                <w:i/>
                <w:iCs/>
                <w:color w:val="002060"/>
                <w:sz w:val="18"/>
                <w:szCs w:val="18"/>
                <w:lang w:val="en-GB"/>
              </w:rPr>
              <w:t>?</w:t>
            </w:r>
          </w:p>
        </w:tc>
      </w:tr>
      <w:tr w:rsidR="007C0815" w:rsidRPr="00293E99" w14:paraId="149453CD" w14:textId="77777777" w:rsidTr="001617F7">
        <w:tc>
          <w:tcPr>
            <w:tcW w:w="9498" w:type="dxa"/>
          </w:tcPr>
          <w:p w14:paraId="18AF3516" w14:textId="0E4FB5C7" w:rsidR="007C0815" w:rsidRPr="00293E99" w:rsidRDefault="007C0815" w:rsidP="007C081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The compartmentalisation of </w:t>
            </w:r>
            <w:r w:rsidR="00697FFC" w:rsidRPr="00293E99">
              <w:rPr>
                <w:rFonts w:ascii="Verdana" w:hAnsi="Verdana"/>
                <w:b w:val="0"/>
                <w:bCs w:val="0"/>
                <w:color w:val="000000" w:themeColor="text1"/>
                <w:sz w:val="18"/>
                <w:szCs w:val="18"/>
                <w:lang w:val="en-GB"/>
              </w:rPr>
              <w:t>Luxembourg product</w:t>
            </w:r>
            <w:r w:rsidRPr="00293E99">
              <w:rPr>
                <w:rFonts w:ascii="Verdana" w:hAnsi="Verdana"/>
                <w:b w:val="0"/>
                <w:bCs w:val="0"/>
                <w:color w:val="000000" w:themeColor="text1"/>
                <w:sz w:val="18"/>
                <w:szCs w:val="18"/>
                <w:lang w:val="en-GB"/>
              </w:rPr>
              <w:t xml:space="preserve"> funds</w:t>
            </w:r>
            <w:r w:rsidR="00697FFC" w:rsidRPr="00293E99">
              <w:rPr>
                <w:rFonts w:ascii="Verdana" w:hAnsi="Verdana"/>
                <w:b w:val="0"/>
                <w:bCs w:val="0"/>
                <w:color w:val="000000" w:themeColor="text1"/>
                <w:sz w:val="18"/>
                <w:szCs w:val="18"/>
                <w:lang w:val="en-GB"/>
              </w:rPr>
              <w:t xml:space="preserve"> –</w:t>
            </w:r>
            <w:r w:rsidR="008223EB" w:rsidRPr="00293E99">
              <w:rPr>
                <w:rFonts w:ascii="Verdana" w:hAnsi="Verdana"/>
                <w:b w:val="0"/>
                <w:bCs w:val="0"/>
                <w:color w:val="000000" w:themeColor="text1"/>
                <w:sz w:val="18"/>
                <w:szCs w:val="18"/>
                <w:lang w:val="en-GB"/>
              </w:rPr>
              <w:t xml:space="preserve"> such as SICARs,</w:t>
            </w:r>
            <w:r w:rsidR="00342047" w:rsidRPr="00293E99">
              <w:rPr>
                <w:rStyle w:val="FootnoteReference"/>
                <w:rFonts w:ascii="Verdana" w:hAnsi="Verdana"/>
                <w:b w:val="0"/>
                <w:bCs w:val="0"/>
                <w:color w:val="002060"/>
                <w:sz w:val="18"/>
                <w:szCs w:val="18"/>
                <w:lang w:val="en-GB"/>
              </w:rPr>
              <w:footnoteReference w:id="2"/>
            </w:r>
            <w:r w:rsidR="008223EB" w:rsidRPr="00293E99">
              <w:rPr>
                <w:rFonts w:ascii="Verdana" w:hAnsi="Verdana"/>
                <w:b w:val="0"/>
                <w:bCs w:val="0"/>
                <w:color w:val="000000" w:themeColor="text1"/>
                <w:sz w:val="18"/>
                <w:szCs w:val="18"/>
                <w:lang w:val="en-GB"/>
              </w:rPr>
              <w:t xml:space="preserve"> SIFs, </w:t>
            </w:r>
            <w:r w:rsidR="00342047" w:rsidRPr="00293E99">
              <w:rPr>
                <w:rFonts w:ascii="Verdana" w:hAnsi="Verdana"/>
                <w:b w:val="0"/>
                <w:bCs w:val="0"/>
                <w:color w:val="000000" w:themeColor="text1"/>
                <w:sz w:val="18"/>
                <w:szCs w:val="18"/>
                <w:lang w:val="en-GB"/>
              </w:rPr>
              <w:t>UCITS,</w:t>
            </w:r>
            <w:r w:rsidR="00B20767" w:rsidRPr="00293E99">
              <w:rPr>
                <w:rStyle w:val="FootnoteReference"/>
                <w:rFonts w:ascii="Verdana" w:hAnsi="Verdana"/>
                <w:b w:val="0"/>
                <w:bCs w:val="0"/>
                <w:color w:val="000000" w:themeColor="text1"/>
                <w:sz w:val="18"/>
                <w:szCs w:val="18"/>
                <w:lang w:val="en-GB"/>
              </w:rPr>
              <w:footnoteReference w:id="3"/>
            </w:r>
            <w:r w:rsidR="00342047" w:rsidRPr="00293E99">
              <w:rPr>
                <w:rFonts w:ascii="Verdana" w:hAnsi="Verdana"/>
                <w:b w:val="0"/>
                <w:bCs w:val="0"/>
                <w:color w:val="000000" w:themeColor="text1"/>
                <w:sz w:val="18"/>
                <w:szCs w:val="18"/>
                <w:lang w:val="en-GB"/>
              </w:rPr>
              <w:t xml:space="preserve"> Part II UCIs and RAIFs</w:t>
            </w:r>
            <w:r w:rsidR="00342047" w:rsidRPr="00293E99">
              <w:rPr>
                <w:rStyle w:val="FootnoteReference"/>
                <w:rFonts w:ascii="Verdana" w:hAnsi="Verdana"/>
                <w:b w:val="0"/>
                <w:bCs w:val="0"/>
                <w:color w:val="002060"/>
                <w:sz w:val="18"/>
                <w:szCs w:val="18"/>
                <w:lang w:val="en-GB"/>
              </w:rPr>
              <w:footnoteReference w:id="4"/>
            </w:r>
            <w:r w:rsidRPr="00293E99">
              <w:rPr>
                <w:rFonts w:ascii="Verdana" w:hAnsi="Verdana"/>
                <w:b w:val="0"/>
                <w:bCs w:val="0"/>
                <w:color w:val="000000" w:themeColor="text1"/>
                <w:sz w:val="18"/>
                <w:szCs w:val="18"/>
                <w:lang w:val="en-GB"/>
              </w:rPr>
              <w:t xml:space="preserve"> is a cornerstone of Luxembourg product fund laws. Compartments allow for the internal segregation of assets and liabilities in separate entities, while preserving the unity of the fund itself.</w:t>
            </w:r>
          </w:p>
        </w:tc>
      </w:tr>
      <w:tr w:rsidR="007C0815" w:rsidRPr="00293E99" w14:paraId="35040756" w14:textId="77777777" w:rsidTr="001617F7">
        <w:tc>
          <w:tcPr>
            <w:tcW w:w="9498" w:type="dxa"/>
          </w:tcPr>
          <w:p w14:paraId="38411D0B" w14:textId="0B508A3D" w:rsidR="007C0815" w:rsidRPr="00293E99" w:rsidRDefault="007C0815" w:rsidP="007C081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Despite </w:t>
            </w:r>
            <w:r w:rsidR="00697FFC" w:rsidRPr="00293E99">
              <w:rPr>
                <w:rFonts w:ascii="Verdana" w:hAnsi="Verdana"/>
                <w:b w:val="0"/>
                <w:bCs w:val="0"/>
                <w:color w:val="000000" w:themeColor="text1"/>
                <w:sz w:val="18"/>
                <w:szCs w:val="18"/>
                <w:lang w:val="en-GB"/>
              </w:rPr>
              <w:t>legislative</w:t>
            </w:r>
            <w:r w:rsidRPr="00293E99">
              <w:rPr>
                <w:rFonts w:ascii="Verdana" w:hAnsi="Verdana"/>
                <w:b w:val="0"/>
                <w:bCs w:val="0"/>
                <w:color w:val="000000" w:themeColor="text1"/>
                <w:sz w:val="18"/>
                <w:szCs w:val="18"/>
                <w:lang w:val="en-GB"/>
              </w:rPr>
              <w:t xml:space="preserve"> amendments to the SICAR Act 2004, the SIF Act 2007, and the UCI Act 2010</w:t>
            </w:r>
            <w:r w:rsidR="00697FFC" w:rsidRPr="00293E99">
              <w:rPr>
                <w:rFonts w:ascii="Verdana" w:hAnsi="Verdana"/>
                <w:b w:val="0"/>
                <w:bCs w:val="0"/>
                <w:color w:val="000000" w:themeColor="text1"/>
                <w:sz w:val="18"/>
                <w:szCs w:val="18"/>
                <w:lang w:val="en-GB"/>
              </w:rPr>
              <w:t>,</w:t>
            </w:r>
            <w:r w:rsidRPr="00293E99">
              <w:rPr>
                <w:rFonts w:ascii="Verdana" w:hAnsi="Verdana"/>
                <w:b w:val="0"/>
                <w:bCs w:val="0"/>
                <w:color w:val="000000" w:themeColor="text1"/>
                <w:sz w:val="18"/>
                <w:szCs w:val="18"/>
                <w:lang w:val="en-GB"/>
              </w:rPr>
              <w:t xml:space="preserve"> the insolvency of a single compartment of such fund products still seems to raise difficult questions at the intersection of commercial law, insolvency law, and financial regulation. Can a compartment be subjected to collective insolvency proceedings in its own right? If so, under what legal basis and procedural framework?</w:t>
            </w:r>
          </w:p>
        </w:tc>
      </w:tr>
      <w:tr w:rsidR="007C0815" w:rsidRPr="00293E99" w14:paraId="3CF670CB" w14:textId="77777777" w:rsidTr="001617F7">
        <w:tc>
          <w:tcPr>
            <w:tcW w:w="9498" w:type="dxa"/>
          </w:tcPr>
          <w:p w14:paraId="51E0ED24" w14:textId="27CE830B" w:rsidR="007C0815" w:rsidRPr="00293E99" w:rsidRDefault="007C0815" w:rsidP="007C081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In the above referred Ruling 186/25, the Court of Appeal </w:t>
            </w:r>
            <w:r w:rsidR="00697FFC" w:rsidRPr="00293E99">
              <w:rPr>
                <w:rFonts w:ascii="Verdana" w:hAnsi="Verdana"/>
                <w:b w:val="0"/>
                <w:bCs w:val="0"/>
                <w:color w:val="000000" w:themeColor="text1"/>
                <w:sz w:val="18"/>
                <w:szCs w:val="18"/>
                <w:lang w:val="en-GB"/>
              </w:rPr>
              <w:t>answered this question in the negative, holding that, in the absence of any legal basis</w:t>
            </w:r>
            <w:r w:rsidRPr="00293E99">
              <w:rPr>
                <w:rFonts w:ascii="Verdana" w:hAnsi="Verdana"/>
                <w:b w:val="0"/>
                <w:bCs w:val="0"/>
                <w:color w:val="000000" w:themeColor="text1"/>
                <w:sz w:val="18"/>
                <w:szCs w:val="18"/>
                <w:lang w:val="en-GB"/>
              </w:rPr>
              <w:t xml:space="preserve">, a compartment of a </w:t>
            </w:r>
            <w:r w:rsidR="00DF0DA2" w:rsidRPr="00293E99">
              <w:rPr>
                <w:rFonts w:ascii="Verdana" w:hAnsi="Verdana"/>
                <w:b w:val="0"/>
                <w:bCs w:val="0"/>
                <w:color w:val="000000" w:themeColor="text1"/>
                <w:sz w:val="18"/>
                <w:szCs w:val="18"/>
                <w:lang w:val="en-GB"/>
              </w:rPr>
              <w:t>SIF</w:t>
            </w:r>
            <w:r w:rsidRPr="00293E99">
              <w:rPr>
                <w:rFonts w:ascii="Verdana" w:hAnsi="Verdana"/>
                <w:b w:val="0"/>
                <w:bCs w:val="0"/>
                <w:color w:val="000000" w:themeColor="text1"/>
                <w:sz w:val="18"/>
                <w:szCs w:val="18"/>
                <w:lang w:val="en-GB"/>
              </w:rPr>
              <w:t xml:space="preserve"> cannot be declared bankrupt. At first glance, this conclusion appears difficult to reconcile with Article 47 of the SIF Act 2007, which explicitly refers to the dissolution and liquidation of one or more compartments and empowers the court to apply thereto “the rules governing bankruptcy”.</w:t>
            </w:r>
          </w:p>
        </w:tc>
      </w:tr>
      <w:tr w:rsidR="000F5C77" w:rsidRPr="00293E99" w14:paraId="37DAA5B4" w14:textId="77777777" w:rsidTr="001617F7">
        <w:tc>
          <w:tcPr>
            <w:tcW w:w="9498" w:type="dxa"/>
          </w:tcPr>
          <w:p w14:paraId="31702F7D" w14:textId="09403580" w:rsidR="000F5C77" w:rsidRPr="00293E99" w:rsidRDefault="000F5C77" w:rsidP="000F5C77">
            <w:pPr>
              <w:pStyle w:val="NormalWeb"/>
              <w:numPr>
                <w:ilvl w:val="0"/>
                <w:numId w:val="155"/>
              </w:numPr>
              <w:spacing w:before="0" w:beforeAutospacing="0" w:after="120" w:afterAutospacing="0"/>
              <w:jc w:val="both"/>
              <w:rPr>
                <w:rFonts w:ascii="Verdana" w:hAnsi="Verdana"/>
                <w:b w:val="0"/>
                <w:bCs w:val="0"/>
                <w:color w:val="002060"/>
                <w:sz w:val="18"/>
                <w:szCs w:val="18"/>
                <w:lang w:val="en-GB"/>
              </w:rPr>
            </w:pPr>
            <w:r w:rsidRPr="00293E99">
              <w:rPr>
                <w:rFonts w:ascii="Verdana" w:hAnsi="Verdana"/>
                <w:b w:val="0"/>
                <w:bCs w:val="0"/>
                <w:color w:val="002060"/>
                <w:sz w:val="18"/>
                <w:szCs w:val="18"/>
                <w:lang w:val="en-GB"/>
              </w:rPr>
              <w:t>Historical Background</w:t>
            </w:r>
          </w:p>
        </w:tc>
      </w:tr>
      <w:tr w:rsidR="000F5C77" w:rsidRPr="00293E99" w14:paraId="2DBBF1A4" w14:textId="77777777" w:rsidTr="001617F7">
        <w:tc>
          <w:tcPr>
            <w:tcW w:w="9498" w:type="dxa"/>
          </w:tcPr>
          <w:p w14:paraId="34B20D7B" w14:textId="3837A028" w:rsidR="000F5C77" w:rsidRPr="00293E99" w:rsidRDefault="00C55D12" w:rsidP="000F5C77">
            <w:pPr>
              <w:pStyle w:val="NormalWeb"/>
              <w:numPr>
                <w:ilvl w:val="0"/>
                <w:numId w:val="165"/>
              </w:numPr>
              <w:spacing w:before="0" w:beforeAutospacing="0" w:after="120" w:afterAutospacing="0"/>
              <w:jc w:val="both"/>
              <w:rPr>
                <w:rFonts w:ascii="Verdana" w:hAnsi="Verdana"/>
                <w:b w:val="0"/>
                <w:bCs w:val="0"/>
                <w:color w:val="000000" w:themeColor="text1"/>
                <w:sz w:val="18"/>
                <w:szCs w:val="18"/>
                <w:lang w:val="en-GB"/>
              </w:rPr>
            </w:pPr>
            <w:r>
              <w:rPr>
                <w:rFonts w:ascii="Verdana" w:hAnsi="Verdana"/>
                <w:b w:val="0"/>
                <w:bCs w:val="0"/>
                <w:color w:val="002060"/>
                <w:sz w:val="18"/>
                <w:szCs w:val="18"/>
                <w:lang w:val="en-GB"/>
              </w:rPr>
              <w:t>The Pre-2023 Orthodoxy: Judicial Liquidation Without Core Bankruptcy Tools</w:t>
            </w:r>
          </w:p>
        </w:tc>
      </w:tr>
      <w:tr w:rsidR="000F5C77" w:rsidRPr="00293E99" w14:paraId="6A49883B" w14:textId="77777777" w:rsidTr="001617F7">
        <w:tc>
          <w:tcPr>
            <w:tcW w:w="9498" w:type="dxa"/>
          </w:tcPr>
          <w:p w14:paraId="7A3BFC43" w14:textId="54132662"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In a </w:t>
            </w:r>
            <w:r w:rsidR="00697FFC" w:rsidRPr="00293E99">
              <w:rPr>
                <w:rFonts w:ascii="Verdana" w:hAnsi="Verdana"/>
                <w:b w:val="0"/>
                <w:bCs w:val="0"/>
                <w:color w:val="000000" w:themeColor="text1"/>
                <w:sz w:val="18"/>
                <w:szCs w:val="18"/>
                <w:lang w:val="en-GB"/>
              </w:rPr>
              <w:t xml:space="preserve">doctrinal </w:t>
            </w:r>
            <w:r w:rsidRPr="00293E99">
              <w:rPr>
                <w:rFonts w:ascii="Verdana" w:hAnsi="Verdana"/>
                <w:b w:val="0"/>
                <w:bCs w:val="0"/>
                <w:color w:val="000000" w:themeColor="text1"/>
                <w:sz w:val="18"/>
                <w:szCs w:val="18"/>
                <w:lang w:val="en-GB"/>
              </w:rPr>
              <w:t xml:space="preserve">paper </w:t>
            </w:r>
            <w:r w:rsidR="00697FFC" w:rsidRPr="00293E99">
              <w:rPr>
                <w:rFonts w:ascii="Verdana" w:hAnsi="Verdana"/>
                <w:b w:val="0"/>
                <w:bCs w:val="0"/>
                <w:color w:val="000000" w:themeColor="text1"/>
                <w:sz w:val="18"/>
                <w:szCs w:val="18"/>
                <w:lang w:val="en-GB"/>
              </w:rPr>
              <w:t>published prior to the 2023 reform,</w:t>
            </w:r>
            <w:r w:rsidRPr="00293E99">
              <w:rPr>
                <w:rFonts w:ascii="Verdana" w:hAnsi="Verdana"/>
                <w:b w:val="0"/>
                <w:bCs w:val="0"/>
                <w:color w:val="000000" w:themeColor="text1"/>
                <w:sz w:val="18"/>
                <w:szCs w:val="18"/>
                <w:lang w:val="en-GB"/>
              </w:rPr>
              <w:t xml:space="preserve"> </w:t>
            </w:r>
            <w:proofErr w:type="spellStart"/>
            <w:r w:rsidRPr="00293E99">
              <w:rPr>
                <w:rFonts w:ascii="Verdana" w:hAnsi="Verdana"/>
                <w:b w:val="0"/>
                <w:bCs w:val="0"/>
                <w:color w:val="000000" w:themeColor="text1"/>
                <w:sz w:val="18"/>
                <w:szCs w:val="18"/>
                <w:lang w:val="en-GB"/>
              </w:rPr>
              <w:t>Thiebaud</w:t>
            </w:r>
            <w:proofErr w:type="spellEnd"/>
            <w:r w:rsidRPr="00293E99">
              <w:rPr>
                <w:rFonts w:ascii="Verdana" w:hAnsi="Verdana"/>
                <w:b w:val="0"/>
                <w:bCs w:val="0"/>
                <w:color w:val="000000" w:themeColor="text1"/>
                <w:sz w:val="18"/>
                <w:szCs w:val="18"/>
                <w:lang w:val="en-GB"/>
              </w:rPr>
              <w:t xml:space="preserve"> </w:t>
            </w:r>
            <w:r w:rsidRPr="00293E99">
              <w:rPr>
                <w:rFonts w:ascii="Verdana" w:hAnsi="Verdana"/>
                <w:b w:val="0"/>
                <w:bCs w:val="0"/>
                <w:i/>
                <w:iCs/>
                <w:color w:val="000000" w:themeColor="text1"/>
                <w:sz w:val="18"/>
                <w:szCs w:val="18"/>
                <w:lang w:val="en-GB"/>
              </w:rPr>
              <w:t>et al</w:t>
            </w:r>
            <w:r w:rsidRPr="00293E99">
              <w:rPr>
                <w:rFonts w:ascii="Verdana" w:hAnsi="Verdana"/>
                <w:b w:val="0"/>
                <w:bCs w:val="0"/>
                <w:color w:val="000000" w:themeColor="text1"/>
                <w:sz w:val="18"/>
                <w:szCs w:val="18"/>
                <w:lang w:val="en-GB"/>
              </w:rPr>
              <w:t>.,</w:t>
            </w:r>
            <w:r w:rsidRPr="00293E99">
              <w:rPr>
                <w:rStyle w:val="FootnoteReference"/>
                <w:rFonts w:ascii="Verdana" w:hAnsi="Verdana"/>
                <w:b w:val="0"/>
                <w:bCs w:val="0"/>
                <w:color w:val="000000"/>
                <w:sz w:val="18"/>
                <w:szCs w:val="18"/>
                <w:lang w:val="en-GB"/>
              </w:rPr>
              <w:footnoteReference w:id="5"/>
            </w:r>
            <w:r w:rsidRPr="00293E99">
              <w:rPr>
                <w:rFonts w:ascii="Verdana" w:hAnsi="Verdana"/>
                <w:b w:val="0"/>
                <w:bCs w:val="0"/>
                <w:color w:val="000000" w:themeColor="text1"/>
                <w:sz w:val="18"/>
                <w:szCs w:val="18"/>
                <w:lang w:val="en-GB"/>
              </w:rPr>
              <w:t xml:space="preserve"> </w:t>
            </w:r>
            <w:r w:rsidR="00697FFC" w:rsidRPr="00293E99">
              <w:rPr>
                <w:rFonts w:ascii="Verdana" w:hAnsi="Verdana"/>
                <w:b w:val="0"/>
                <w:bCs w:val="0"/>
                <w:color w:val="000000" w:themeColor="text1"/>
                <w:sz w:val="18"/>
                <w:szCs w:val="18"/>
                <w:lang w:val="en-GB"/>
              </w:rPr>
              <w:t>observed</w:t>
            </w:r>
            <w:r w:rsidRPr="00293E99">
              <w:rPr>
                <w:rFonts w:ascii="Verdana" w:hAnsi="Verdana"/>
                <w:b w:val="0"/>
                <w:bCs w:val="0"/>
                <w:color w:val="000000" w:themeColor="text1"/>
                <w:sz w:val="18"/>
                <w:szCs w:val="18"/>
                <w:lang w:val="en-GB"/>
              </w:rPr>
              <w:t xml:space="preserve"> that “</w:t>
            </w:r>
            <w:r w:rsidRPr="00293E99">
              <w:rPr>
                <w:rFonts w:ascii="Verdana" w:hAnsi="Verdana"/>
                <w:b w:val="0"/>
                <w:bCs w:val="0"/>
                <w:i/>
                <w:iCs/>
                <w:color w:val="000000" w:themeColor="text1"/>
                <w:sz w:val="18"/>
                <w:szCs w:val="18"/>
                <w:lang w:val="en-GB"/>
              </w:rPr>
              <w:t xml:space="preserve">Compartments of undertakings for collective investment have their assets and liabilities segregated from those of other compartments within the same umbrella structure. Since they </w:t>
            </w:r>
            <w:r w:rsidRPr="00293E99">
              <w:rPr>
                <w:rFonts w:ascii="Verdana" w:hAnsi="Verdana"/>
                <w:b w:val="0"/>
                <w:bCs w:val="0"/>
                <w:i/>
                <w:iCs/>
                <w:color w:val="000000" w:themeColor="text1"/>
                <w:sz w:val="18"/>
                <w:szCs w:val="18"/>
                <w:lang w:val="en-GB"/>
              </w:rPr>
              <w:lastRenderedPageBreak/>
              <w:t>lack legal personality, they are not eligible for bankruptcy but are subject to court-ordered dissolution and liquidation</w:t>
            </w:r>
            <w:r w:rsidRPr="00293E99">
              <w:rPr>
                <w:rFonts w:ascii="Verdana" w:hAnsi="Verdana"/>
                <w:b w:val="0"/>
                <w:bCs w:val="0"/>
                <w:color w:val="000000" w:themeColor="text1"/>
                <w:sz w:val="18"/>
                <w:szCs w:val="18"/>
                <w:lang w:val="en-GB"/>
              </w:rPr>
              <w:t>”.</w:t>
            </w:r>
          </w:p>
        </w:tc>
      </w:tr>
      <w:tr w:rsidR="000F5C77" w:rsidRPr="00293E99" w14:paraId="09DAED97" w14:textId="77777777" w:rsidTr="001617F7">
        <w:tc>
          <w:tcPr>
            <w:tcW w:w="9498" w:type="dxa"/>
          </w:tcPr>
          <w:p w14:paraId="5FEC5DE4" w14:textId="08720435" w:rsidR="007864C5" w:rsidRPr="00293E99" w:rsidRDefault="000F5C77" w:rsidP="007864C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lastRenderedPageBreak/>
              <w:t xml:space="preserve">They </w:t>
            </w:r>
            <w:r w:rsidR="00697FFC" w:rsidRPr="00293E99">
              <w:rPr>
                <w:rFonts w:ascii="Verdana" w:hAnsi="Verdana"/>
                <w:b w:val="0"/>
                <w:bCs w:val="0"/>
                <w:color w:val="000000" w:themeColor="text1"/>
                <w:sz w:val="18"/>
                <w:szCs w:val="18"/>
                <w:lang w:val="en-GB"/>
              </w:rPr>
              <w:t>further</w:t>
            </w:r>
            <w:r w:rsidRPr="00293E99">
              <w:rPr>
                <w:rFonts w:ascii="Verdana" w:hAnsi="Verdana"/>
                <w:b w:val="0"/>
                <w:bCs w:val="0"/>
                <w:color w:val="000000" w:themeColor="text1"/>
                <w:sz w:val="18"/>
                <w:szCs w:val="18"/>
                <w:lang w:val="en-GB"/>
              </w:rPr>
              <w:t xml:space="preserve"> explain</w:t>
            </w:r>
            <w:r w:rsidR="00697FFC" w:rsidRPr="00293E99">
              <w:rPr>
                <w:rFonts w:ascii="Verdana" w:hAnsi="Verdana"/>
                <w:b w:val="0"/>
                <w:bCs w:val="0"/>
                <w:color w:val="000000" w:themeColor="text1"/>
                <w:sz w:val="18"/>
                <w:szCs w:val="18"/>
                <w:lang w:val="en-GB"/>
              </w:rPr>
              <w:t>ed</w:t>
            </w:r>
            <w:r w:rsidRPr="00293E99">
              <w:rPr>
                <w:rFonts w:ascii="Verdana" w:hAnsi="Verdana"/>
                <w:b w:val="0"/>
                <w:bCs w:val="0"/>
                <w:color w:val="000000" w:themeColor="text1"/>
                <w:sz w:val="18"/>
                <w:szCs w:val="18"/>
                <w:lang w:val="en-GB"/>
              </w:rPr>
              <w:t xml:space="preserve"> that, </w:t>
            </w:r>
            <w:r w:rsidR="00697FFC" w:rsidRPr="00293E99">
              <w:rPr>
                <w:rFonts w:ascii="Verdana" w:hAnsi="Verdana"/>
                <w:b w:val="0"/>
                <w:bCs w:val="0"/>
                <w:color w:val="000000" w:themeColor="text1"/>
                <w:sz w:val="18"/>
                <w:szCs w:val="18"/>
                <w:lang w:val="en-GB"/>
              </w:rPr>
              <w:t>pursuant</w:t>
            </w:r>
            <w:r w:rsidRPr="00293E99">
              <w:rPr>
                <w:rFonts w:ascii="Verdana" w:hAnsi="Verdana"/>
                <w:b w:val="0"/>
                <w:bCs w:val="0"/>
                <w:color w:val="000000" w:themeColor="text1"/>
                <w:sz w:val="18"/>
                <w:szCs w:val="18"/>
                <w:lang w:val="en-GB"/>
              </w:rPr>
              <w:t xml:space="preserve"> to a ruling </w:t>
            </w:r>
            <w:r w:rsidR="00697FFC" w:rsidRPr="00293E99">
              <w:rPr>
                <w:rFonts w:ascii="Verdana" w:hAnsi="Verdana"/>
                <w:b w:val="0"/>
                <w:bCs w:val="0"/>
                <w:color w:val="000000" w:themeColor="text1"/>
                <w:sz w:val="18"/>
                <w:szCs w:val="18"/>
                <w:lang w:val="en-GB"/>
              </w:rPr>
              <w:t>of</w:t>
            </w:r>
            <w:r w:rsidRPr="00293E99">
              <w:rPr>
                <w:rFonts w:ascii="Verdana" w:hAnsi="Verdana"/>
                <w:b w:val="0"/>
                <w:bCs w:val="0"/>
                <w:color w:val="000000" w:themeColor="text1"/>
                <w:sz w:val="18"/>
                <w:szCs w:val="18"/>
                <w:lang w:val="en-GB"/>
              </w:rPr>
              <w:t xml:space="preserve"> the Court of Appeal dated 14 March 2018, “</w:t>
            </w:r>
            <w:r w:rsidRPr="00293E99">
              <w:rPr>
                <w:rFonts w:ascii="Verdana" w:hAnsi="Verdana"/>
                <w:b w:val="0"/>
                <w:bCs w:val="0"/>
                <w:i/>
                <w:iCs/>
                <w:color w:val="000000" w:themeColor="text1"/>
                <w:sz w:val="18"/>
                <w:szCs w:val="18"/>
                <w:lang w:val="en-GB"/>
              </w:rPr>
              <w:t>other provisions governing bankruptcy (such as clawback clauses and specific sanctions against member of the management body of the investment vehicle)</w:t>
            </w:r>
            <w:r w:rsidRPr="00293E99">
              <w:rPr>
                <w:rFonts w:ascii="Verdana" w:hAnsi="Verdana"/>
                <w:b w:val="0"/>
                <w:bCs w:val="0"/>
                <w:color w:val="000000" w:themeColor="text1"/>
                <w:sz w:val="18"/>
                <w:szCs w:val="18"/>
                <w:lang w:val="en-GB"/>
              </w:rPr>
              <w:t xml:space="preserve">” </w:t>
            </w:r>
            <w:r w:rsidR="007864C5" w:rsidRPr="00293E99">
              <w:rPr>
                <w:rFonts w:ascii="Verdana" w:hAnsi="Verdana"/>
                <w:b w:val="0"/>
                <w:bCs w:val="0"/>
                <w:color w:val="000000" w:themeColor="text1"/>
                <w:sz w:val="18"/>
                <w:szCs w:val="18"/>
                <w:lang w:val="en-GB"/>
              </w:rPr>
              <w:t>were not encompassed by judicial liquidation regimes applicable to product funds and their compartments.</w:t>
            </w:r>
          </w:p>
        </w:tc>
      </w:tr>
      <w:tr w:rsidR="000F5C77" w:rsidRPr="00293E99" w14:paraId="7D0F4E51" w14:textId="77777777" w:rsidTr="001617F7">
        <w:tc>
          <w:tcPr>
            <w:tcW w:w="9498" w:type="dxa"/>
          </w:tcPr>
          <w:p w14:paraId="67387C8E" w14:textId="0A977269" w:rsidR="000F5C77" w:rsidRPr="00293E99" w:rsidRDefault="000F5C77" w:rsidP="007864C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As the</w:t>
            </w:r>
            <w:r w:rsidR="007864C5" w:rsidRPr="00293E99">
              <w:rPr>
                <w:rFonts w:ascii="Verdana" w:hAnsi="Verdana"/>
                <w:b w:val="0"/>
                <w:bCs w:val="0"/>
                <w:color w:val="000000" w:themeColor="text1"/>
                <w:sz w:val="18"/>
                <w:szCs w:val="18"/>
                <w:lang w:val="en-GB"/>
              </w:rPr>
              <w:t xml:space="preserve"> authors</w:t>
            </w:r>
            <w:r w:rsidRPr="00293E99">
              <w:rPr>
                <w:rFonts w:ascii="Verdana" w:hAnsi="Verdana"/>
                <w:b w:val="0"/>
                <w:bCs w:val="0"/>
                <w:color w:val="000000" w:themeColor="text1"/>
                <w:sz w:val="18"/>
                <w:szCs w:val="18"/>
                <w:lang w:val="en-GB"/>
              </w:rPr>
              <w:t xml:space="preserve"> rightly remarked</w:t>
            </w:r>
            <w:r w:rsidR="007864C5" w:rsidRPr="00293E99">
              <w:rPr>
                <w:rFonts w:ascii="Verdana" w:hAnsi="Verdana"/>
                <w:b w:val="0"/>
                <w:bCs w:val="0"/>
                <w:color w:val="000000" w:themeColor="text1"/>
                <w:sz w:val="18"/>
                <w:szCs w:val="18"/>
                <w:lang w:val="en-GB"/>
              </w:rPr>
              <w:t>,</w:t>
            </w:r>
            <w:r w:rsidRPr="00293E99">
              <w:rPr>
                <w:rFonts w:ascii="Verdana" w:hAnsi="Verdana"/>
                <w:b w:val="0"/>
                <w:bCs w:val="0"/>
                <w:color w:val="000000" w:themeColor="text1"/>
                <w:sz w:val="18"/>
                <w:szCs w:val="18"/>
                <w:lang w:val="en-GB"/>
              </w:rPr>
              <w:t xml:space="preserve"> the </w:t>
            </w:r>
            <w:r w:rsidR="007864C5" w:rsidRPr="00293E99">
              <w:rPr>
                <w:rFonts w:ascii="Verdana" w:hAnsi="Verdana"/>
                <w:b w:val="0"/>
                <w:bCs w:val="0"/>
                <w:color w:val="000000" w:themeColor="text1"/>
                <w:sz w:val="18"/>
                <w:szCs w:val="18"/>
                <w:lang w:val="en-GB"/>
              </w:rPr>
              <w:t xml:space="preserve">prevailing </w:t>
            </w:r>
            <w:r w:rsidRPr="00293E99">
              <w:rPr>
                <w:rFonts w:ascii="Verdana" w:hAnsi="Verdana"/>
                <w:b w:val="0"/>
                <w:bCs w:val="0"/>
                <w:color w:val="000000" w:themeColor="text1"/>
                <w:sz w:val="18"/>
                <w:szCs w:val="18"/>
                <w:lang w:val="en-GB"/>
              </w:rPr>
              <w:t xml:space="preserve">case law of the Court of Appeal excluded key bankruptcy protections (notably clawback) from </w:t>
            </w:r>
            <w:r w:rsidR="007864C5" w:rsidRPr="00293E99">
              <w:rPr>
                <w:rFonts w:ascii="Verdana" w:hAnsi="Verdana"/>
                <w:b w:val="0"/>
                <w:bCs w:val="0"/>
                <w:color w:val="000000" w:themeColor="text1"/>
                <w:sz w:val="18"/>
                <w:szCs w:val="18"/>
                <w:lang w:val="en-GB"/>
              </w:rPr>
              <w:t>judicial liquidation, both at fund level and, where applicable, at compartment level. This exclusion was widely perceived as a structural deficiency of the Luxembourg insolvency framework as applied to product funds, and as calling for legislative reform</w:t>
            </w:r>
            <w:r w:rsidRPr="00293E99">
              <w:rPr>
                <w:rFonts w:ascii="Verdana" w:hAnsi="Verdana"/>
                <w:b w:val="0"/>
                <w:bCs w:val="0"/>
                <w:color w:val="000000" w:themeColor="text1"/>
                <w:sz w:val="18"/>
                <w:szCs w:val="18"/>
                <w:lang w:val="en-GB"/>
              </w:rPr>
              <w:t>.</w:t>
            </w:r>
          </w:p>
        </w:tc>
      </w:tr>
      <w:tr w:rsidR="000F5C77" w:rsidRPr="00293E99" w14:paraId="57ADAF9D" w14:textId="77777777" w:rsidTr="001617F7">
        <w:tc>
          <w:tcPr>
            <w:tcW w:w="9498" w:type="dxa"/>
          </w:tcPr>
          <w:p w14:paraId="5B5B4688" w14:textId="56A84428" w:rsidR="000F5C77" w:rsidRPr="00293E99" w:rsidRDefault="00C55D12" w:rsidP="000F5C77">
            <w:pPr>
              <w:pStyle w:val="NormalWeb"/>
              <w:numPr>
                <w:ilvl w:val="0"/>
                <w:numId w:val="165"/>
              </w:numPr>
              <w:spacing w:before="0" w:beforeAutospacing="0" w:after="120" w:afterAutospacing="0"/>
              <w:jc w:val="both"/>
              <w:rPr>
                <w:rFonts w:ascii="Verdana" w:hAnsi="Verdana"/>
                <w:b w:val="0"/>
                <w:bCs w:val="0"/>
                <w:i/>
                <w:iCs/>
                <w:color w:val="000000" w:themeColor="text1"/>
                <w:sz w:val="18"/>
                <w:szCs w:val="18"/>
                <w:lang w:val="en-GB"/>
              </w:rPr>
            </w:pPr>
            <w:r>
              <w:rPr>
                <w:rFonts w:ascii="Verdana" w:hAnsi="Verdana"/>
                <w:b w:val="0"/>
                <w:bCs w:val="0"/>
                <w:i/>
                <w:iCs/>
                <w:color w:val="002060"/>
                <w:sz w:val="18"/>
                <w:szCs w:val="18"/>
                <w:lang w:val="en-GB"/>
              </w:rPr>
              <w:t xml:space="preserve">The 2023 Reform: Legislative Rationale and Remaining </w:t>
            </w:r>
            <w:r w:rsidR="00FF0E0F">
              <w:rPr>
                <w:rFonts w:ascii="Verdana" w:hAnsi="Verdana"/>
                <w:b w:val="0"/>
                <w:bCs w:val="0"/>
                <w:i/>
                <w:iCs/>
                <w:color w:val="002060"/>
                <w:sz w:val="18"/>
                <w:szCs w:val="18"/>
                <w:lang w:val="en-GB"/>
              </w:rPr>
              <w:t>Asymmetries</w:t>
            </w:r>
          </w:p>
        </w:tc>
      </w:tr>
      <w:tr w:rsidR="000F5C77" w:rsidRPr="00293E99" w14:paraId="440E6311" w14:textId="77777777" w:rsidTr="001617F7">
        <w:tc>
          <w:tcPr>
            <w:tcW w:w="9498" w:type="dxa"/>
          </w:tcPr>
          <w:p w14:paraId="01841B0D" w14:textId="66199C70"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3 years following said paper, the legislator – in close cooperation with the relevant competent authorities and representatives of the Luxembourg investment funds sector – presented a Bill</w:t>
            </w:r>
            <w:r w:rsidR="00C55D12" w:rsidRPr="00C55D12">
              <w:rPr>
                <w:rStyle w:val="FootnoteReference"/>
                <w:rFonts w:ascii="Verdana" w:hAnsi="Verdana"/>
                <w:b w:val="0"/>
                <w:bCs w:val="0"/>
                <w:color w:val="000000" w:themeColor="text1"/>
                <w:sz w:val="18"/>
                <w:szCs w:val="18"/>
                <w:lang w:val="en-GB"/>
              </w:rPr>
              <w:footnoteReference w:id="6"/>
            </w:r>
            <w:r w:rsidRPr="00293E99">
              <w:rPr>
                <w:rFonts w:ascii="Verdana" w:hAnsi="Verdana"/>
                <w:b w:val="0"/>
                <w:bCs w:val="0"/>
                <w:color w:val="000000" w:themeColor="text1"/>
                <w:sz w:val="18"/>
                <w:szCs w:val="18"/>
                <w:lang w:val="en-GB"/>
              </w:rPr>
              <w:t xml:space="preserve"> whose objective was to improve and modernise the “Luxembourg toolbox” relating to investment funds and thereby enhance the attractiveness and competitiveness of the financial centre.</w:t>
            </w:r>
          </w:p>
        </w:tc>
      </w:tr>
      <w:tr w:rsidR="000F5C77" w:rsidRPr="00293E99" w14:paraId="56A258BD" w14:textId="77777777" w:rsidTr="001617F7">
        <w:tc>
          <w:tcPr>
            <w:tcW w:w="9498" w:type="dxa"/>
          </w:tcPr>
          <w:p w14:paraId="23322AD8" w14:textId="6CF52831"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One of said improvements related to the ability for SICARs, SIFs, UCITS and Part II UCIs, to access rules governing bankruptcy.</w:t>
            </w:r>
          </w:p>
        </w:tc>
      </w:tr>
      <w:tr w:rsidR="000F5C77" w:rsidRPr="00293E99" w14:paraId="3477FC4E" w14:textId="77777777" w:rsidTr="001617F7">
        <w:tc>
          <w:tcPr>
            <w:tcW w:w="9498" w:type="dxa"/>
          </w:tcPr>
          <w:p w14:paraId="206A98E3" w14:textId="25EF1FEA"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Prior to the Bill, the wording employed in the SICAR Act, the SIF Act, and the UCI Act stated that </w:t>
            </w:r>
            <w:r w:rsidRPr="00293E99">
              <w:rPr>
                <w:rFonts w:ascii="Verdana" w:hAnsi="Verdana"/>
                <w:b w:val="0"/>
                <w:bCs w:val="0"/>
                <w:i/>
                <w:iCs/>
                <w:color w:val="000000" w:themeColor="text1"/>
                <w:sz w:val="18"/>
                <w:szCs w:val="18"/>
                <w:lang w:val="en-GB"/>
              </w:rPr>
              <w:t>“[the court] may, to the extent it determines, make applicable the rules governing the liquidation of bankruptcy</w:t>
            </w:r>
            <w:r w:rsidRPr="00293E99">
              <w:rPr>
                <w:rFonts w:ascii="Verdana" w:hAnsi="Verdana"/>
                <w:b w:val="0"/>
                <w:bCs w:val="0"/>
                <w:color w:val="000000" w:themeColor="text1"/>
                <w:sz w:val="18"/>
                <w:szCs w:val="18"/>
                <w:lang w:val="en-GB"/>
              </w:rPr>
              <w:t xml:space="preserve">”). </w:t>
            </w:r>
            <w:r w:rsidR="008223EB" w:rsidRPr="00293E99">
              <w:rPr>
                <w:rFonts w:ascii="Verdana" w:hAnsi="Verdana"/>
                <w:b w:val="0"/>
                <w:bCs w:val="0"/>
                <w:color w:val="000000" w:themeColor="text1"/>
                <w:sz w:val="18"/>
                <w:szCs w:val="18"/>
                <w:lang w:val="en-GB"/>
              </w:rPr>
              <w:t>In the words of</w:t>
            </w:r>
            <w:r w:rsidRPr="00293E99">
              <w:rPr>
                <w:rFonts w:ascii="Verdana" w:hAnsi="Verdana"/>
                <w:b w:val="0"/>
                <w:bCs w:val="0"/>
                <w:color w:val="000000" w:themeColor="text1"/>
                <w:sz w:val="18"/>
                <w:szCs w:val="18"/>
                <w:lang w:val="en-GB"/>
              </w:rPr>
              <w:t xml:space="preserve"> the legislator, courts were not able to apply, in particular, Article 442 of the Commercial Code, which allows the date of cessation of payments to be set and, consequently, a suspect period to apply, but only the rules relating to the administration and liquidation of bankruptcy set out in Articles 455 to 495-1 of the Commercial Code.</w:t>
            </w:r>
          </w:p>
        </w:tc>
      </w:tr>
      <w:tr w:rsidR="000F5C77" w:rsidRPr="00293E99" w14:paraId="7D81DDF4" w14:textId="77777777" w:rsidTr="001617F7">
        <w:tc>
          <w:tcPr>
            <w:tcW w:w="9498" w:type="dxa"/>
          </w:tcPr>
          <w:p w14:paraId="411FD6D7" w14:textId="579CAE18"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The amendment introduced by the legislator in 2023, by specifying that the court “</w:t>
            </w:r>
            <w:r w:rsidRPr="00293E99">
              <w:rPr>
                <w:rFonts w:ascii="Verdana" w:hAnsi="Verdana"/>
                <w:b w:val="0"/>
                <w:bCs w:val="0"/>
                <w:i/>
                <w:iCs/>
                <w:color w:val="000000" w:themeColor="text1"/>
                <w:sz w:val="18"/>
                <w:szCs w:val="18"/>
                <w:lang w:val="en-GB"/>
              </w:rPr>
              <w:t>may, to the extent it determines, make applicable the rules governing bankruptcy</w:t>
            </w:r>
            <w:r w:rsidRPr="00293E99">
              <w:rPr>
                <w:rFonts w:ascii="Verdana" w:hAnsi="Verdana"/>
                <w:b w:val="0"/>
                <w:bCs w:val="0"/>
                <w:color w:val="000000" w:themeColor="text1"/>
                <w:sz w:val="18"/>
                <w:szCs w:val="18"/>
                <w:lang w:val="en-GB"/>
              </w:rPr>
              <w:t>”, was thus intended to fill this gap.</w:t>
            </w:r>
          </w:p>
        </w:tc>
      </w:tr>
      <w:tr w:rsidR="000F5C77" w:rsidRPr="00293E99" w14:paraId="5962D130" w14:textId="77777777" w:rsidTr="001617F7">
        <w:tc>
          <w:tcPr>
            <w:tcW w:w="9498" w:type="dxa"/>
          </w:tcPr>
          <w:p w14:paraId="2443D583" w14:textId="30CFB91E"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If the legislator introduced this amendment for SICARs, SIFs, UCITS and Part II UCIs, it would appear that it inadvertently omitted RAIFs, as Article 35(1) of the RAIF Act still retains the former wording.</w:t>
            </w:r>
          </w:p>
        </w:tc>
      </w:tr>
      <w:tr w:rsidR="00A51F98" w:rsidRPr="00293E99" w14:paraId="1F8B3757" w14:textId="77777777" w:rsidTr="001617F7">
        <w:tc>
          <w:tcPr>
            <w:tcW w:w="9498" w:type="dxa"/>
          </w:tcPr>
          <w:p w14:paraId="6E431BB7" w14:textId="0A13F53B" w:rsidR="00A51F98" w:rsidRPr="00293E99" w:rsidRDefault="00C55D12" w:rsidP="00A51F98">
            <w:pPr>
              <w:pStyle w:val="NormalWeb"/>
              <w:numPr>
                <w:ilvl w:val="0"/>
                <w:numId w:val="155"/>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color w:val="002060"/>
                <w:sz w:val="18"/>
                <w:szCs w:val="18"/>
                <w:lang w:val="en-GB"/>
              </w:rPr>
              <w:t>Article 47 of the SIF Act 2007: Judicial Liquidation Trigger, Bankruptcy Rules by Reference, and Structural Limits</w:t>
            </w:r>
          </w:p>
        </w:tc>
      </w:tr>
      <w:tr w:rsidR="00A51F98" w:rsidRPr="00293E99" w14:paraId="5973168F" w14:textId="77777777" w:rsidTr="001617F7">
        <w:tc>
          <w:tcPr>
            <w:tcW w:w="9498" w:type="dxa"/>
          </w:tcPr>
          <w:p w14:paraId="7F9D87E3" w14:textId="25FE5FDA" w:rsidR="00A51F98" w:rsidRPr="00293E99" w:rsidRDefault="00A51F98"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Article 47(1) of the SIF Act 2007</w:t>
            </w:r>
            <w:r w:rsidR="00D441B2" w:rsidRPr="00293E99">
              <w:rPr>
                <w:rStyle w:val="FootnoteReference"/>
                <w:rFonts w:ascii="Verdana" w:hAnsi="Verdana"/>
                <w:b w:val="0"/>
                <w:bCs w:val="0"/>
                <w:color w:val="002060"/>
                <w:sz w:val="18"/>
                <w:szCs w:val="18"/>
                <w:lang w:val="en-GB"/>
              </w:rPr>
              <w:footnoteReference w:id="7"/>
            </w:r>
            <w:r w:rsidRPr="00293E99">
              <w:rPr>
                <w:rFonts w:ascii="Verdana" w:hAnsi="Verdana"/>
                <w:b w:val="0"/>
                <w:bCs w:val="0"/>
                <w:color w:val="000000" w:themeColor="text1"/>
                <w:sz w:val="18"/>
                <w:szCs w:val="18"/>
                <w:lang w:val="en-GB"/>
              </w:rPr>
              <w:t xml:space="preserve"> empowers the District Court, acting upon application by the public prosecutor (either of its own motion or at the request of the Luxembourg financial supervisory authority (the </w:t>
            </w:r>
            <w:r w:rsidRPr="00293E99">
              <w:rPr>
                <w:rFonts w:ascii="Verdana" w:hAnsi="Verdana"/>
                <w:b w:val="0"/>
                <w:bCs w:val="0"/>
                <w:i/>
                <w:iCs/>
                <w:color w:val="000000" w:themeColor="text1"/>
                <w:sz w:val="18"/>
                <w:szCs w:val="18"/>
                <w:lang w:val="en-GB"/>
              </w:rPr>
              <w:t xml:space="preserve">Commission de Surveillance du </w:t>
            </w:r>
            <w:proofErr w:type="spellStart"/>
            <w:r w:rsidRPr="00293E99">
              <w:rPr>
                <w:rFonts w:ascii="Verdana" w:hAnsi="Verdana"/>
                <w:b w:val="0"/>
                <w:bCs w:val="0"/>
                <w:i/>
                <w:iCs/>
                <w:color w:val="000000" w:themeColor="text1"/>
                <w:sz w:val="18"/>
                <w:szCs w:val="18"/>
                <w:lang w:val="en-GB"/>
              </w:rPr>
              <w:t>Secteur</w:t>
            </w:r>
            <w:proofErr w:type="spellEnd"/>
            <w:r w:rsidRPr="00293E99">
              <w:rPr>
                <w:rFonts w:ascii="Verdana" w:hAnsi="Verdana"/>
                <w:b w:val="0"/>
                <w:bCs w:val="0"/>
                <w:i/>
                <w:iCs/>
                <w:color w:val="000000" w:themeColor="text1"/>
                <w:sz w:val="18"/>
                <w:szCs w:val="18"/>
                <w:lang w:val="en-GB"/>
              </w:rPr>
              <w:t xml:space="preserve"> Financier </w:t>
            </w:r>
            <w:r w:rsidRPr="00293E99">
              <w:rPr>
                <w:rFonts w:ascii="Verdana" w:hAnsi="Verdana"/>
                <w:b w:val="0"/>
                <w:bCs w:val="0"/>
                <w:color w:val="000000" w:themeColor="text1"/>
                <w:sz w:val="18"/>
                <w:szCs w:val="18"/>
                <w:lang w:val="en-GB"/>
              </w:rPr>
              <w:t>or “</w:t>
            </w:r>
            <w:r w:rsidRPr="00293E99">
              <w:rPr>
                <w:rFonts w:ascii="Verdana" w:hAnsi="Verdana"/>
                <w:color w:val="002060"/>
                <w:sz w:val="18"/>
                <w:szCs w:val="18"/>
                <w:lang w:val="en-GB"/>
              </w:rPr>
              <w:t>CSSF</w:t>
            </w:r>
            <w:r w:rsidRPr="00293E99">
              <w:rPr>
                <w:rFonts w:ascii="Verdana" w:hAnsi="Verdana"/>
                <w:b w:val="0"/>
                <w:bCs w:val="0"/>
                <w:color w:val="000000" w:themeColor="text1"/>
                <w:sz w:val="18"/>
                <w:szCs w:val="18"/>
                <w:lang w:val="en-GB"/>
              </w:rPr>
              <w:t xml:space="preserve">”)), to order the dissolution and liquidation of a SIF whose authorisation has been definitively refused or withdrawn. The same </w:t>
            </w:r>
            <w:r w:rsidR="00293E99">
              <w:rPr>
                <w:rFonts w:ascii="Verdana" w:hAnsi="Verdana"/>
                <w:b w:val="0"/>
                <w:bCs w:val="0"/>
                <w:color w:val="000000" w:themeColor="text1"/>
                <w:sz w:val="18"/>
                <w:szCs w:val="18"/>
                <w:lang w:val="en-GB"/>
              </w:rPr>
              <w:t>Article</w:t>
            </w:r>
            <w:r w:rsidRPr="00293E99">
              <w:rPr>
                <w:rFonts w:ascii="Verdana" w:hAnsi="Verdana"/>
                <w:b w:val="0"/>
                <w:bCs w:val="0"/>
                <w:color w:val="000000" w:themeColor="text1"/>
                <w:sz w:val="18"/>
                <w:szCs w:val="18"/>
                <w:lang w:val="en-GB"/>
              </w:rPr>
              <w:t xml:space="preserve"> expressly extends this mechanism to one or more compartments of a SIF in cases where the authorisation concerning those compartments has been definitively refused or withdrawn.</w:t>
            </w:r>
          </w:p>
        </w:tc>
      </w:tr>
      <w:tr w:rsidR="00A51F98" w:rsidRPr="00293E99" w14:paraId="054E5E7D" w14:textId="77777777" w:rsidTr="001617F7">
        <w:tc>
          <w:tcPr>
            <w:tcW w:w="9498" w:type="dxa"/>
          </w:tcPr>
          <w:p w14:paraId="2CA306F3" w14:textId="5FD85B26" w:rsidR="00A51F98" w:rsidRPr="00293E99" w:rsidRDefault="00A51F98"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When ordering liquidation, the court appoints a judge-commissioner and one or more liquidators, determines the mode of liquidation, and may apply, to the extent it determines, “the rules governing bankruptcy”. Following the Act of 21 July 2023,</w:t>
            </w:r>
            <w:r w:rsidR="00FF0E0F" w:rsidRPr="00FF0E0F">
              <w:rPr>
                <w:rStyle w:val="FootnoteReference"/>
                <w:rFonts w:ascii="Verdana" w:hAnsi="Verdana"/>
                <w:b w:val="0"/>
                <w:bCs w:val="0"/>
                <w:color w:val="000000" w:themeColor="text1"/>
                <w:sz w:val="18"/>
                <w:szCs w:val="18"/>
                <w:lang w:val="en-GB"/>
              </w:rPr>
              <w:footnoteReference w:id="8"/>
            </w:r>
            <w:r w:rsidRPr="00293E99">
              <w:rPr>
                <w:rFonts w:ascii="Verdana" w:hAnsi="Verdana"/>
                <w:b w:val="0"/>
                <w:bCs w:val="0"/>
                <w:color w:val="000000" w:themeColor="text1"/>
                <w:sz w:val="18"/>
                <w:szCs w:val="18"/>
                <w:lang w:val="en-GB"/>
              </w:rPr>
              <w:t xml:space="preserve"> the reference was </w:t>
            </w:r>
            <w:r w:rsidRPr="00293E99">
              <w:rPr>
                <w:rFonts w:ascii="Verdana" w:hAnsi="Verdana"/>
                <w:b w:val="0"/>
                <w:bCs w:val="0"/>
                <w:color w:val="000000" w:themeColor="text1"/>
                <w:sz w:val="18"/>
                <w:szCs w:val="18"/>
                <w:lang w:val="en-GB"/>
              </w:rPr>
              <w:lastRenderedPageBreak/>
              <w:t>broadened from “the rules governing the liquidation of bankruptcy” to “the rules governing bankruptcy” as such.</w:t>
            </w:r>
          </w:p>
        </w:tc>
      </w:tr>
      <w:tr w:rsidR="00A51F98" w:rsidRPr="00293E99" w14:paraId="507CD110" w14:textId="77777777" w:rsidTr="001617F7">
        <w:tc>
          <w:tcPr>
            <w:tcW w:w="9498" w:type="dxa"/>
          </w:tcPr>
          <w:p w14:paraId="48FDED13" w14:textId="2EDB92D2" w:rsidR="00A51F98" w:rsidRPr="00293E99" w:rsidRDefault="00A51F98" w:rsidP="00A51F98">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lastRenderedPageBreak/>
              <w:t xml:space="preserve">At first sight, this provision appears to contradict the Court of Appeal’s assertion that no legal basis exists for compartment-level bankruptcy. Article 47(1) clearly contemplates compartment-specific proceedings and explicitly refers to bankruptcy rules. </w:t>
            </w:r>
          </w:p>
        </w:tc>
      </w:tr>
      <w:tr w:rsidR="00AE7B3A" w:rsidRPr="00293E99" w14:paraId="11027665" w14:textId="77777777" w:rsidTr="001617F7">
        <w:tc>
          <w:tcPr>
            <w:tcW w:w="9498" w:type="dxa"/>
          </w:tcPr>
          <w:p w14:paraId="43899ABF" w14:textId="389C5589" w:rsidR="00AE7B3A" w:rsidRPr="00293E99" w:rsidRDefault="003024E3" w:rsidP="00A51F98">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 closer doctrinal analysis, however, reveals that Article 47 operates on a different conceptual plane.</w:t>
            </w:r>
          </w:p>
        </w:tc>
      </w:tr>
      <w:tr w:rsidR="00AE7B3A" w:rsidRPr="00293E99" w14:paraId="133751F3" w14:textId="77777777" w:rsidTr="001617F7">
        <w:tc>
          <w:tcPr>
            <w:tcW w:w="9498" w:type="dxa"/>
          </w:tcPr>
          <w:p w14:paraId="4B26311F" w14:textId="1F7AB29A" w:rsidR="00AE7B3A" w:rsidRPr="003024E3" w:rsidRDefault="003024E3" w:rsidP="003024E3">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24E3">
              <w:rPr>
                <w:rFonts w:ascii="Verdana" w:hAnsi="Verdana"/>
                <w:b w:val="0"/>
                <w:bCs w:val="0"/>
                <w:color w:val="000000" w:themeColor="text1"/>
                <w:sz w:val="18"/>
                <w:szCs w:val="18"/>
                <w:lang w:val="en-GB"/>
              </w:rPr>
              <w:t>First, Article 47 does not provide for the declaration of bankruptcy. It establishes a special regime of judicial dissolution and liquidation triggered by a regulatory event, namely the definitive refusal or withdrawal of authorisation. Bankruptcy, as a formal insolvency procedure, is not the object of the judgment; liquidation is.</w:t>
            </w:r>
          </w:p>
        </w:tc>
      </w:tr>
      <w:tr w:rsidR="003024E3" w:rsidRPr="00293E99" w14:paraId="62ADC7DC" w14:textId="77777777" w:rsidTr="001617F7">
        <w:tc>
          <w:tcPr>
            <w:tcW w:w="9498" w:type="dxa"/>
          </w:tcPr>
          <w:p w14:paraId="64A680F3" w14:textId="1C7FF9D1" w:rsidR="003024E3" w:rsidRPr="003024E3" w:rsidRDefault="003024E3" w:rsidP="003024E3">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24E3">
              <w:rPr>
                <w:rFonts w:ascii="Verdana" w:hAnsi="Verdana"/>
                <w:b w:val="0"/>
                <w:bCs w:val="0"/>
                <w:color w:val="000000" w:themeColor="text1"/>
                <w:sz w:val="18"/>
                <w:szCs w:val="18"/>
                <w:lang w:val="en-GB"/>
              </w:rPr>
              <w:t>Second, the reference to bankruptcy rules functions as an ancillary mechanism allowing the court to import certain insolvency-law tools into the liquidation process. Even after the 2023 reform, this cross-reference does not amount to the creation of an autonomous gateway for opening bankruptcy proceedings against a compartment.</w:t>
            </w:r>
          </w:p>
        </w:tc>
      </w:tr>
      <w:tr w:rsidR="003024E3" w:rsidRPr="00293E99" w14:paraId="366B2A53" w14:textId="77777777" w:rsidTr="001617F7">
        <w:tc>
          <w:tcPr>
            <w:tcW w:w="9498" w:type="dxa"/>
          </w:tcPr>
          <w:p w14:paraId="0C305CF7" w14:textId="08C3FF5E" w:rsidR="003024E3" w:rsidRPr="003024E3" w:rsidRDefault="003024E3" w:rsidP="003024E3">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24E3">
              <w:rPr>
                <w:rFonts w:ascii="Verdana" w:hAnsi="Verdana"/>
                <w:b w:val="0"/>
                <w:bCs w:val="0"/>
                <w:color w:val="000000" w:themeColor="text1"/>
                <w:sz w:val="18"/>
                <w:szCs w:val="18"/>
                <w:lang w:val="en-GB"/>
              </w:rPr>
              <w:t xml:space="preserve">Third, the procedural framework of Article 47 differs fundamentally from that of Article 440 of the Commercial Code. Proceedings under Article 47 may only be initiated by the public prosecutor, acting </w:t>
            </w:r>
            <w:r w:rsidRPr="003024E3">
              <w:rPr>
                <w:rFonts w:ascii="Verdana" w:hAnsi="Verdana"/>
                <w:b w:val="0"/>
                <w:bCs w:val="0"/>
                <w:i/>
                <w:iCs/>
                <w:color w:val="000000" w:themeColor="text1"/>
                <w:sz w:val="18"/>
                <w:szCs w:val="18"/>
                <w:lang w:val="en-GB"/>
              </w:rPr>
              <w:t>ex officio</w:t>
            </w:r>
            <w:r w:rsidRPr="003024E3">
              <w:rPr>
                <w:rFonts w:ascii="Verdana" w:hAnsi="Verdana"/>
                <w:b w:val="0"/>
                <w:bCs w:val="0"/>
                <w:color w:val="000000" w:themeColor="text1"/>
                <w:sz w:val="18"/>
                <w:szCs w:val="18"/>
                <w:lang w:val="en-GB"/>
              </w:rPr>
              <w:t xml:space="preserve"> or at the request of the </w:t>
            </w:r>
            <w:r>
              <w:rPr>
                <w:rFonts w:ascii="Verdana" w:hAnsi="Verdana"/>
                <w:b w:val="0"/>
                <w:bCs w:val="0"/>
                <w:color w:val="000000" w:themeColor="text1"/>
                <w:sz w:val="18"/>
                <w:szCs w:val="18"/>
                <w:lang w:val="en-GB"/>
              </w:rPr>
              <w:t>CSSF</w:t>
            </w:r>
            <w:r w:rsidRPr="003024E3">
              <w:rPr>
                <w:rFonts w:ascii="Verdana" w:hAnsi="Verdana"/>
                <w:b w:val="0"/>
                <w:bCs w:val="0"/>
                <w:color w:val="000000" w:themeColor="text1"/>
                <w:sz w:val="18"/>
                <w:szCs w:val="18"/>
                <w:lang w:val="en-GB"/>
              </w:rPr>
              <w:t xml:space="preserve">. </w:t>
            </w:r>
            <w:r>
              <w:rPr>
                <w:rFonts w:ascii="Verdana" w:hAnsi="Verdana"/>
                <w:b w:val="0"/>
                <w:bCs w:val="0"/>
                <w:color w:val="000000" w:themeColor="text1"/>
                <w:sz w:val="18"/>
                <w:szCs w:val="18"/>
                <w:lang w:val="en-GB"/>
              </w:rPr>
              <w:t>In other words, t</w:t>
            </w:r>
            <w:r w:rsidRPr="003024E3">
              <w:rPr>
                <w:rFonts w:ascii="Verdana" w:hAnsi="Verdana"/>
                <w:b w:val="0"/>
                <w:bCs w:val="0"/>
                <w:color w:val="000000" w:themeColor="text1"/>
                <w:sz w:val="18"/>
                <w:szCs w:val="18"/>
                <w:lang w:val="en-GB"/>
              </w:rPr>
              <w:t>hey are not available at the initiative of a creditor through an “</w:t>
            </w:r>
            <w:proofErr w:type="spellStart"/>
            <w:r w:rsidRPr="003024E3">
              <w:rPr>
                <w:rFonts w:ascii="Verdana" w:hAnsi="Verdana"/>
                <w:b w:val="0"/>
                <w:bCs w:val="0"/>
                <w:i/>
                <w:iCs/>
                <w:color w:val="000000" w:themeColor="text1"/>
                <w:sz w:val="18"/>
                <w:szCs w:val="18"/>
                <w:lang w:val="en-GB"/>
              </w:rPr>
              <w:t>aveu</w:t>
            </w:r>
            <w:proofErr w:type="spellEnd"/>
            <w:r w:rsidRPr="003024E3">
              <w:rPr>
                <w:rFonts w:ascii="Verdana" w:hAnsi="Verdana"/>
                <w:b w:val="0"/>
                <w:bCs w:val="0"/>
                <w:i/>
                <w:iCs/>
                <w:color w:val="000000" w:themeColor="text1"/>
                <w:sz w:val="18"/>
                <w:szCs w:val="18"/>
                <w:lang w:val="en-GB"/>
              </w:rPr>
              <w:t xml:space="preserve"> de </w:t>
            </w:r>
            <w:proofErr w:type="spellStart"/>
            <w:r w:rsidRPr="003024E3">
              <w:rPr>
                <w:rFonts w:ascii="Verdana" w:hAnsi="Verdana"/>
                <w:b w:val="0"/>
                <w:bCs w:val="0"/>
                <w:i/>
                <w:iCs/>
                <w:color w:val="000000" w:themeColor="text1"/>
                <w:sz w:val="18"/>
                <w:szCs w:val="18"/>
                <w:lang w:val="en-GB"/>
              </w:rPr>
              <w:t>faillite</w:t>
            </w:r>
            <w:proofErr w:type="spellEnd"/>
            <w:r w:rsidRPr="003024E3">
              <w:rPr>
                <w:rFonts w:ascii="Verdana" w:hAnsi="Verdana"/>
                <w:b w:val="0"/>
                <w:bCs w:val="0"/>
                <w:color w:val="000000" w:themeColor="text1"/>
                <w:sz w:val="18"/>
                <w:szCs w:val="18"/>
                <w:lang w:val="en-GB"/>
              </w:rPr>
              <w:t xml:space="preserve">”. Moreover, </w:t>
            </w:r>
            <w:proofErr w:type="spellStart"/>
            <w:r>
              <w:rPr>
                <w:rFonts w:ascii="Verdana" w:hAnsi="Verdana"/>
                <w:b w:val="0"/>
                <w:bCs w:val="0"/>
                <w:i/>
                <w:iCs/>
                <w:color w:val="000000" w:themeColor="text1"/>
                <w:sz w:val="18"/>
                <w:szCs w:val="18"/>
                <w:lang w:val="en-GB"/>
              </w:rPr>
              <w:t>stricto</w:t>
            </w:r>
            <w:proofErr w:type="spellEnd"/>
            <w:r>
              <w:rPr>
                <w:rFonts w:ascii="Verdana" w:hAnsi="Verdana"/>
                <w:b w:val="0"/>
                <w:bCs w:val="0"/>
                <w:i/>
                <w:iCs/>
                <w:color w:val="000000" w:themeColor="text1"/>
                <w:sz w:val="18"/>
                <w:szCs w:val="18"/>
                <w:lang w:val="en-GB"/>
              </w:rPr>
              <w:t xml:space="preserve"> </w:t>
            </w:r>
            <w:proofErr w:type="spellStart"/>
            <w:r>
              <w:rPr>
                <w:rFonts w:ascii="Verdana" w:hAnsi="Verdana"/>
                <w:b w:val="0"/>
                <w:bCs w:val="0"/>
                <w:i/>
                <w:iCs/>
                <w:color w:val="000000" w:themeColor="text1"/>
                <w:sz w:val="18"/>
                <w:szCs w:val="18"/>
                <w:lang w:val="en-GB"/>
              </w:rPr>
              <w:t>sensu</w:t>
            </w:r>
            <w:proofErr w:type="spellEnd"/>
            <w:r>
              <w:rPr>
                <w:rFonts w:ascii="Verdana" w:hAnsi="Verdana"/>
                <w:b w:val="0"/>
                <w:bCs w:val="0"/>
                <w:i/>
                <w:iCs/>
                <w:color w:val="000000" w:themeColor="text1"/>
                <w:sz w:val="18"/>
                <w:szCs w:val="18"/>
                <w:lang w:val="en-GB"/>
              </w:rPr>
              <w:t xml:space="preserve"> </w:t>
            </w:r>
            <w:r w:rsidRPr="003024E3">
              <w:rPr>
                <w:rFonts w:ascii="Verdana" w:hAnsi="Verdana"/>
                <w:b w:val="0"/>
                <w:bCs w:val="0"/>
                <w:color w:val="000000" w:themeColor="text1"/>
                <w:sz w:val="18"/>
                <w:szCs w:val="18"/>
                <w:lang w:val="en-GB"/>
              </w:rPr>
              <w:t>the triggering condition is regulatory in nature</w:t>
            </w:r>
            <w:r>
              <w:rPr>
                <w:rFonts w:ascii="Verdana" w:hAnsi="Verdana"/>
                <w:b w:val="0"/>
                <w:bCs w:val="0"/>
                <w:color w:val="000000" w:themeColor="text1"/>
                <w:sz w:val="18"/>
                <w:szCs w:val="18"/>
                <w:lang w:val="en-GB"/>
              </w:rPr>
              <w:t xml:space="preserve"> (</w:t>
            </w:r>
            <w:r>
              <w:rPr>
                <w:rFonts w:ascii="Verdana" w:hAnsi="Verdana"/>
                <w:b w:val="0"/>
                <w:bCs w:val="0"/>
                <w:i/>
                <w:iCs/>
                <w:color w:val="000000" w:themeColor="text1"/>
                <w:sz w:val="18"/>
                <w:szCs w:val="18"/>
                <w:lang w:val="en-GB"/>
              </w:rPr>
              <w:t>i.e.</w:t>
            </w:r>
            <w:r>
              <w:rPr>
                <w:rFonts w:ascii="Verdana" w:hAnsi="Verdana"/>
                <w:b w:val="0"/>
                <w:bCs w:val="0"/>
                <w:color w:val="000000" w:themeColor="text1"/>
                <w:sz w:val="18"/>
                <w:szCs w:val="18"/>
                <w:lang w:val="en-GB"/>
              </w:rPr>
              <w:t xml:space="preserve">, the </w:t>
            </w:r>
            <w:r w:rsidRPr="00293E99">
              <w:rPr>
                <w:rFonts w:ascii="Verdana" w:hAnsi="Verdana"/>
                <w:b w:val="0"/>
                <w:bCs w:val="0"/>
                <w:color w:val="000000" w:themeColor="text1"/>
                <w:sz w:val="18"/>
                <w:szCs w:val="18"/>
                <w:lang w:val="en-GB"/>
              </w:rPr>
              <w:t>refus</w:t>
            </w:r>
            <w:r>
              <w:rPr>
                <w:rFonts w:ascii="Verdana" w:hAnsi="Verdana"/>
                <w:b w:val="0"/>
                <w:bCs w:val="0"/>
                <w:color w:val="000000" w:themeColor="text1"/>
                <w:sz w:val="18"/>
                <w:szCs w:val="18"/>
                <w:lang w:val="en-GB"/>
              </w:rPr>
              <w:t>al</w:t>
            </w:r>
            <w:r w:rsidRPr="00293E99">
              <w:rPr>
                <w:rFonts w:ascii="Verdana" w:hAnsi="Verdana"/>
                <w:b w:val="0"/>
                <w:bCs w:val="0"/>
                <w:color w:val="000000" w:themeColor="text1"/>
                <w:sz w:val="18"/>
                <w:szCs w:val="18"/>
                <w:lang w:val="en-GB"/>
              </w:rPr>
              <w:t xml:space="preserve"> or withdraw</w:t>
            </w:r>
            <w:r>
              <w:rPr>
                <w:rFonts w:ascii="Verdana" w:hAnsi="Verdana"/>
                <w:b w:val="0"/>
                <w:bCs w:val="0"/>
                <w:color w:val="000000" w:themeColor="text1"/>
                <w:sz w:val="18"/>
                <w:szCs w:val="18"/>
                <w:lang w:val="en-GB"/>
              </w:rPr>
              <w:t>al of the SIF or its compartment(s))</w:t>
            </w:r>
            <w:r w:rsidRPr="003024E3">
              <w:rPr>
                <w:rFonts w:ascii="Verdana" w:hAnsi="Verdana"/>
                <w:b w:val="0"/>
                <w:bCs w:val="0"/>
                <w:color w:val="000000" w:themeColor="text1"/>
                <w:sz w:val="18"/>
                <w:szCs w:val="18"/>
                <w:lang w:val="en-GB"/>
              </w:rPr>
              <w:t>, not insolvency-driven as such.</w:t>
            </w:r>
          </w:p>
        </w:tc>
      </w:tr>
      <w:tr w:rsidR="00D441B2" w:rsidRPr="00293E99" w14:paraId="688C63BA" w14:textId="77777777" w:rsidTr="00D70955">
        <w:tc>
          <w:tcPr>
            <w:tcW w:w="9498" w:type="dxa"/>
          </w:tcPr>
          <w:p w14:paraId="01C4736A" w14:textId="54B5B16C" w:rsidR="00D441B2" w:rsidRPr="00D441B2" w:rsidRDefault="00D441B2" w:rsidP="00D441B2">
            <w:pPr>
              <w:pStyle w:val="NormalWeb"/>
              <w:numPr>
                <w:ilvl w:val="0"/>
                <w:numId w:val="155"/>
              </w:numPr>
              <w:spacing w:before="0" w:beforeAutospacing="0" w:after="120" w:afterAutospacing="0"/>
              <w:jc w:val="both"/>
              <w:rPr>
                <w:rFonts w:ascii="Verdana" w:hAnsi="Verdana"/>
                <w:b w:val="0"/>
                <w:bCs w:val="0"/>
                <w:color w:val="002060"/>
                <w:sz w:val="18"/>
                <w:szCs w:val="18"/>
                <w:lang w:val="en-GB"/>
              </w:rPr>
            </w:pPr>
            <w:r w:rsidRPr="00D441B2">
              <w:rPr>
                <w:rFonts w:ascii="Verdana" w:hAnsi="Verdana"/>
                <w:b w:val="0"/>
                <w:bCs w:val="0"/>
                <w:color w:val="002060"/>
                <w:sz w:val="18"/>
                <w:szCs w:val="18"/>
                <w:lang w:val="en-GB"/>
              </w:rPr>
              <w:t>Appraisal</w:t>
            </w:r>
            <w:r w:rsidR="00C55D12">
              <w:rPr>
                <w:rFonts w:ascii="Verdana" w:hAnsi="Verdana"/>
                <w:b w:val="0"/>
                <w:bCs w:val="0"/>
                <w:color w:val="002060"/>
                <w:sz w:val="18"/>
                <w:szCs w:val="18"/>
                <w:lang w:val="en-GB"/>
              </w:rPr>
              <w:t>: Legal Basis Versus Practical Accessibility</w:t>
            </w:r>
          </w:p>
        </w:tc>
      </w:tr>
      <w:tr w:rsidR="00D441B2" w:rsidRPr="00293E99" w14:paraId="1D74EBE6" w14:textId="77777777" w:rsidTr="00D70955">
        <w:tc>
          <w:tcPr>
            <w:tcW w:w="9498" w:type="dxa"/>
          </w:tcPr>
          <w:p w14:paraId="6CDAB594" w14:textId="05A8C742" w:rsidR="00D441B2" w:rsidRPr="003024E3" w:rsidRDefault="00D441B2" w:rsidP="00D7095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D441B2">
              <w:rPr>
                <w:rFonts w:ascii="Verdana" w:hAnsi="Verdana"/>
                <w:b w:val="0"/>
                <w:bCs w:val="0"/>
                <w:color w:val="000000" w:themeColor="text1"/>
                <w:sz w:val="18"/>
                <w:szCs w:val="18"/>
                <w:lang w:val="en-GB"/>
              </w:rPr>
              <w:t xml:space="preserve">Against this backdrop, the Court of Appeal’s reasoning in </w:t>
            </w:r>
            <w:r>
              <w:rPr>
                <w:rFonts w:ascii="Verdana" w:hAnsi="Verdana"/>
                <w:b w:val="0"/>
                <w:bCs w:val="0"/>
                <w:color w:val="000000" w:themeColor="text1"/>
                <w:sz w:val="18"/>
                <w:szCs w:val="18"/>
                <w:lang w:val="en-GB"/>
              </w:rPr>
              <w:t>R</w:t>
            </w:r>
            <w:r w:rsidRPr="00D441B2">
              <w:rPr>
                <w:rFonts w:ascii="Verdana" w:hAnsi="Verdana"/>
                <w:b w:val="0"/>
                <w:bCs w:val="0"/>
                <w:color w:val="000000" w:themeColor="text1"/>
                <w:sz w:val="18"/>
                <w:szCs w:val="18"/>
                <w:lang w:val="en-GB"/>
              </w:rPr>
              <w:t xml:space="preserve">uling 186/25 </w:t>
            </w:r>
            <w:r w:rsidR="00777303">
              <w:rPr>
                <w:rFonts w:ascii="Verdana" w:hAnsi="Verdana"/>
                <w:b w:val="0"/>
                <w:bCs w:val="0"/>
                <w:color w:val="000000" w:themeColor="text1"/>
                <w:sz w:val="18"/>
                <w:szCs w:val="18"/>
                <w:lang w:val="en-GB"/>
              </w:rPr>
              <w:t xml:space="preserve">might </w:t>
            </w:r>
            <w:r w:rsidRPr="00D441B2">
              <w:rPr>
                <w:rFonts w:ascii="Verdana" w:hAnsi="Verdana"/>
                <w:b w:val="0"/>
                <w:bCs w:val="0"/>
                <w:color w:val="000000" w:themeColor="text1"/>
                <w:sz w:val="18"/>
                <w:szCs w:val="18"/>
                <w:lang w:val="en-GB"/>
              </w:rPr>
              <w:t xml:space="preserve">appear doctrinally sound when read </w:t>
            </w:r>
            <w:r w:rsidR="00777303">
              <w:rPr>
                <w:rFonts w:ascii="Verdana" w:hAnsi="Verdana"/>
                <w:b w:val="0"/>
                <w:bCs w:val="0"/>
                <w:color w:val="000000" w:themeColor="text1"/>
                <w:sz w:val="18"/>
                <w:szCs w:val="18"/>
                <w:lang w:val="en-GB"/>
              </w:rPr>
              <w:t xml:space="preserve">very </w:t>
            </w:r>
            <w:r w:rsidRPr="00D441B2">
              <w:rPr>
                <w:rFonts w:ascii="Verdana" w:hAnsi="Verdana"/>
                <w:b w:val="0"/>
                <w:bCs w:val="0"/>
                <w:color w:val="000000" w:themeColor="text1"/>
                <w:sz w:val="18"/>
                <w:szCs w:val="18"/>
                <w:lang w:val="en-GB"/>
              </w:rPr>
              <w:t>narrowly.</w:t>
            </w:r>
          </w:p>
        </w:tc>
      </w:tr>
      <w:tr w:rsidR="00D441B2" w:rsidRPr="00293E99" w14:paraId="44D25013" w14:textId="77777777" w:rsidTr="00D70955">
        <w:tc>
          <w:tcPr>
            <w:tcW w:w="9498" w:type="dxa"/>
          </w:tcPr>
          <w:p w14:paraId="298A9712" w14:textId="7EBF5145" w:rsidR="00D441B2" w:rsidRPr="003024E3" w:rsidRDefault="00D441B2" w:rsidP="00D7095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D441B2">
              <w:rPr>
                <w:rFonts w:ascii="Verdana" w:hAnsi="Verdana"/>
                <w:b w:val="0"/>
                <w:bCs w:val="0"/>
                <w:color w:val="000000" w:themeColor="text1"/>
                <w:sz w:val="18"/>
                <w:szCs w:val="18"/>
                <w:lang w:val="en-GB"/>
              </w:rPr>
              <w:t xml:space="preserve">At the same time, the categorical statement that </w:t>
            </w:r>
            <w:r>
              <w:rPr>
                <w:rFonts w:ascii="Verdana" w:hAnsi="Verdana"/>
                <w:b w:val="0"/>
                <w:bCs w:val="0"/>
                <w:color w:val="000000" w:themeColor="text1"/>
                <w:sz w:val="18"/>
                <w:szCs w:val="18"/>
                <w:lang w:val="en-GB"/>
              </w:rPr>
              <w:t>there is no</w:t>
            </w:r>
            <w:r w:rsidRPr="00D441B2">
              <w:rPr>
                <w:rFonts w:ascii="Verdana" w:hAnsi="Verdana"/>
                <w:b w:val="0"/>
                <w:bCs w:val="0"/>
                <w:color w:val="000000" w:themeColor="text1"/>
                <w:sz w:val="18"/>
                <w:szCs w:val="18"/>
                <w:lang w:val="en-GB"/>
              </w:rPr>
              <w:t xml:space="preserve"> </w:t>
            </w:r>
            <w:r>
              <w:rPr>
                <w:rFonts w:ascii="Verdana" w:hAnsi="Verdana"/>
                <w:b w:val="0"/>
                <w:bCs w:val="0"/>
                <w:color w:val="000000" w:themeColor="text1"/>
                <w:sz w:val="18"/>
                <w:szCs w:val="18"/>
                <w:lang w:val="en-GB"/>
              </w:rPr>
              <w:t>s</w:t>
            </w:r>
            <w:r w:rsidRPr="00D441B2">
              <w:rPr>
                <w:rFonts w:ascii="Verdana" w:hAnsi="Verdana"/>
                <w:b w:val="0"/>
                <w:bCs w:val="0"/>
                <w:color w:val="000000" w:themeColor="text1"/>
                <w:sz w:val="18"/>
                <w:szCs w:val="18"/>
                <w:lang w:val="en-GB"/>
              </w:rPr>
              <w:t>pecific statutory provision expressly providing for the possibility of declaring a compartment of a SIF, SICAR, UCITS or UCI</w:t>
            </w:r>
            <w:r w:rsidR="003A3737">
              <w:rPr>
                <w:rFonts w:ascii="Verdana" w:hAnsi="Verdana"/>
                <w:b w:val="0"/>
                <w:bCs w:val="0"/>
                <w:color w:val="000000" w:themeColor="text1"/>
                <w:sz w:val="18"/>
                <w:szCs w:val="18"/>
                <w:lang w:val="en-GB"/>
              </w:rPr>
              <w:t xml:space="preserve"> Part II</w:t>
            </w:r>
            <w:r w:rsidRPr="00D441B2">
              <w:rPr>
                <w:rFonts w:ascii="Verdana" w:hAnsi="Verdana"/>
                <w:b w:val="0"/>
                <w:bCs w:val="0"/>
                <w:color w:val="000000" w:themeColor="text1"/>
                <w:sz w:val="18"/>
                <w:szCs w:val="18"/>
                <w:lang w:val="en-GB"/>
              </w:rPr>
              <w:t xml:space="preserve"> bankrupt risks obscuring the significance of the 2023 reform. While Article 47</w:t>
            </w:r>
            <w:r w:rsidR="003A3737">
              <w:rPr>
                <w:rFonts w:ascii="Verdana" w:hAnsi="Verdana"/>
                <w:b w:val="0"/>
                <w:bCs w:val="0"/>
                <w:color w:val="000000" w:themeColor="text1"/>
                <w:sz w:val="18"/>
                <w:szCs w:val="18"/>
                <w:lang w:val="en-GB"/>
              </w:rPr>
              <w:t xml:space="preserve">(1) of the SIF Act 2007, </w:t>
            </w:r>
            <w:r w:rsidR="003A3737" w:rsidRPr="003A3737">
              <w:rPr>
                <w:rFonts w:ascii="Verdana" w:hAnsi="Verdana"/>
                <w:b w:val="0"/>
                <w:bCs w:val="0"/>
                <w:color w:val="000000" w:themeColor="text1"/>
                <w:sz w:val="18"/>
                <w:szCs w:val="18"/>
                <w:lang w:val="en-GB"/>
              </w:rPr>
              <w:t>Article 19(1) of the SICAR Act, and Article 143(1) of the UCI Act 2010</w:t>
            </w:r>
            <w:r w:rsidRPr="00D441B2">
              <w:rPr>
                <w:rFonts w:ascii="Verdana" w:hAnsi="Verdana"/>
                <w:b w:val="0"/>
                <w:bCs w:val="0"/>
                <w:color w:val="000000" w:themeColor="text1"/>
                <w:sz w:val="18"/>
                <w:szCs w:val="18"/>
                <w:lang w:val="en-GB"/>
              </w:rPr>
              <w:t xml:space="preserve"> do not permit a declaration of bankruptcy, it now provides a statutory basis for applying a broad set of bankruptcy rules at compartment level within judicial liquidation.</w:t>
            </w:r>
            <w:r w:rsidR="00777303" w:rsidRPr="00293E99">
              <w:rPr>
                <w:rStyle w:val="FootnoteReference"/>
                <w:rFonts w:ascii="Verdana" w:hAnsi="Verdana"/>
                <w:b w:val="0"/>
                <w:bCs w:val="0"/>
                <w:color w:val="002060"/>
                <w:sz w:val="18"/>
                <w:szCs w:val="18"/>
                <w:lang w:val="en-GB"/>
              </w:rPr>
              <w:footnoteReference w:id="9"/>
            </w:r>
            <w:r w:rsidRPr="00D441B2">
              <w:rPr>
                <w:rFonts w:ascii="Verdana" w:hAnsi="Verdana"/>
                <w:b w:val="0"/>
                <w:bCs w:val="0"/>
                <w:color w:val="000000" w:themeColor="text1"/>
                <w:sz w:val="18"/>
                <w:szCs w:val="18"/>
                <w:lang w:val="en-GB"/>
              </w:rPr>
              <w:t xml:space="preserve"> </w:t>
            </w:r>
            <w:r w:rsidR="00777303">
              <w:rPr>
                <w:rFonts w:ascii="Verdana" w:hAnsi="Verdana"/>
                <w:b w:val="0"/>
                <w:bCs w:val="0"/>
                <w:color w:val="000000" w:themeColor="text1"/>
                <w:sz w:val="18"/>
                <w:szCs w:val="18"/>
                <w:lang w:val="en-GB"/>
              </w:rPr>
              <w:t xml:space="preserve">Moreover, a voluntary liquidation may always move to a judicial liquidation. </w:t>
            </w:r>
            <w:r w:rsidRPr="00D441B2">
              <w:rPr>
                <w:rFonts w:ascii="Verdana" w:hAnsi="Verdana"/>
                <w:b w:val="0"/>
                <w:bCs w:val="0"/>
                <w:color w:val="000000" w:themeColor="text1"/>
                <w:sz w:val="18"/>
                <w:szCs w:val="18"/>
                <w:lang w:val="en-GB"/>
              </w:rPr>
              <w:t xml:space="preserve">The real issue </w:t>
            </w:r>
            <w:r w:rsidR="003A3737">
              <w:rPr>
                <w:rFonts w:ascii="Verdana" w:hAnsi="Verdana"/>
                <w:b w:val="0"/>
                <w:bCs w:val="0"/>
                <w:color w:val="000000" w:themeColor="text1"/>
                <w:sz w:val="18"/>
                <w:szCs w:val="18"/>
                <w:lang w:val="en-GB"/>
              </w:rPr>
              <w:t xml:space="preserve">in the Author’s view </w:t>
            </w:r>
            <w:r w:rsidRPr="00D441B2">
              <w:rPr>
                <w:rFonts w:ascii="Verdana" w:hAnsi="Verdana"/>
                <w:b w:val="0"/>
                <w:bCs w:val="0"/>
                <w:color w:val="000000" w:themeColor="text1"/>
                <w:sz w:val="18"/>
                <w:szCs w:val="18"/>
                <w:lang w:val="en-GB"/>
              </w:rPr>
              <w:t>is therefore not the absence of a legal basis</w:t>
            </w:r>
            <w:r w:rsidR="00777303">
              <w:rPr>
                <w:rFonts w:ascii="Verdana" w:hAnsi="Verdana"/>
                <w:b w:val="0"/>
                <w:bCs w:val="0"/>
                <w:color w:val="000000" w:themeColor="text1"/>
                <w:sz w:val="18"/>
                <w:szCs w:val="18"/>
                <w:lang w:val="en-GB"/>
              </w:rPr>
              <w:t xml:space="preserve"> – as there is one –</w:t>
            </w:r>
            <w:r w:rsidRPr="00D441B2">
              <w:rPr>
                <w:rFonts w:ascii="Verdana" w:hAnsi="Verdana"/>
                <w:b w:val="0"/>
                <w:bCs w:val="0"/>
                <w:color w:val="000000" w:themeColor="text1"/>
                <w:sz w:val="18"/>
                <w:szCs w:val="18"/>
                <w:lang w:val="en-GB"/>
              </w:rPr>
              <w:t xml:space="preserve"> but </w:t>
            </w:r>
            <w:r w:rsidR="003A3737">
              <w:rPr>
                <w:rFonts w:ascii="Verdana" w:hAnsi="Verdana"/>
                <w:b w:val="0"/>
                <w:bCs w:val="0"/>
                <w:color w:val="000000" w:themeColor="text1"/>
                <w:sz w:val="18"/>
                <w:szCs w:val="18"/>
                <w:lang w:val="en-GB"/>
              </w:rPr>
              <w:t xml:space="preserve">rather </w:t>
            </w:r>
            <w:r w:rsidRPr="00D441B2">
              <w:rPr>
                <w:rFonts w:ascii="Verdana" w:hAnsi="Verdana"/>
                <w:b w:val="0"/>
                <w:bCs w:val="0"/>
                <w:color w:val="000000" w:themeColor="text1"/>
                <w:sz w:val="18"/>
                <w:szCs w:val="18"/>
                <w:lang w:val="en-GB"/>
              </w:rPr>
              <w:t xml:space="preserve">the limited availability of that basis </w:t>
            </w:r>
            <w:r w:rsidR="00777303">
              <w:rPr>
                <w:rFonts w:ascii="Verdana" w:hAnsi="Verdana"/>
                <w:b w:val="0"/>
                <w:bCs w:val="0"/>
                <w:color w:val="000000" w:themeColor="text1"/>
                <w:sz w:val="18"/>
                <w:szCs w:val="18"/>
                <w:lang w:val="en-GB"/>
              </w:rPr>
              <w:t>for creditors</w:t>
            </w:r>
            <w:r w:rsidRPr="00D441B2">
              <w:rPr>
                <w:rFonts w:ascii="Verdana" w:hAnsi="Verdana"/>
                <w:b w:val="0"/>
                <w:bCs w:val="0"/>
                <w:color w:val="000000" w:themeColor="text1"/>
                <w:sz w:val="18"/>
                <w:szCs w:val="18"/>
                <w:lang w:val="en-GB"/>
              </w:rPr>
              <w:t>.</w:t>
            </w:r>
          </w:p>
        </w:tc>
      </w:tr>
      <w:tr w:rsidR="00D441B2" w:rsidRPr="00293E99" w14:paraId="1EED1822" w14:textId="77777777" w:rsidTr="00D70955">
        <w:tc>
          <w:tcPr>
            <w:tcW w:w="9498" w:type="dxa"/>
          </w:tcPr>
          <w:p w14:paraId="4E4A996F" w14:textId="6F13D0B3" w:rsidR="00D441B2" w:rsidRPr="003024E3" w:rsidRDefault="00777303" w:rsidP="00D7095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777303">
              <w:rPr>
                <w:rFonts w:ascii="Verdana" w:hAnsi="Verdana"/>
                <w:b w:val="0"/>
                <w:bCs w:val="0"/>
                <w:color w:val="000000" w:themeColor="text1"/>
                <w:sz w:val="18"/>
                <w:szCs w:val="18"/>
                <w:lang w:val="en-GB"/>
              </w:rPr>
              <w:t>Whether further reform is required to address insolvency-driven compartment failures remains an open question</w:t>
            </w:r>
            <w:r>
              <w:rPr>
                <w:rFonts w:ascii="Verdana" w:hAnsi="Verdana"/>
                <w:b w:val="0"/>
                <w:bCs w:val="0"/>
                <w:color w:val="000000" w:themeColor="text1"/>
                <w:sz w:val="18"/>
                <w:szCs w:val="18"/>
                <w:lang w:val="en-GB"/>
              </w:rPr>
              <w:t xml:space="preserve">, </w:t>
            </w:r>
            <w:r w:rsidRPr="00777303">
              <w:rPr>
                <w:rFonts w:ascii="Verdana" w:hAnsi="Verdana"/>
                <w:b w:val="0"/>
                <w:bCs w:val="0"/>
                <w:color w:val="000000" w:themeColor="text1"/>
                <w:sz w:val="18"/>
                <w:szCs w:val="18"/>
                <w:lang w:val="en-GB"/>
              </w:rPr>
              <w:t>one that goes beyond technical insolvency law and touches upon the broader coherence of Luxembourg’s fund, regulatory and creditor-protection frameworks.</w:t>
            </w:r>
          </w:p>
        </w:tc>
      </w:tr>
      <w:tr w:rsidR="000F5C77" w:rsidRPr="00293E99" w14:paraId="77B71609" w14:textId="77777777" w:rsidTr="001617F7">
        <w:tc>
          <w:tcPr>
            <w:tcW w:w="9498" w:type="dxa"/>
          </w:tcPr>
          <w:p w14:paraId="72490E50" w14:textId="06C29469" w:rsidR="000F5C77" w:rsidRPr="00293E99" w:rsidRDefault="000F5C77" w:rsidP="000F5C77">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sidRPr="00293E99">
              <w:rPr>
                <w:rFonts w:ascii="Verdana" w:hAnsi="Verdana"/>
                <w:b w:val="0"/>
                <w:bCs w:val="0"/>
                <w:i/>
                <w:iCs/>
                <w:color w:val="002060"/>
                <w:sz w:val="18"/>
                <w:szCs w:val="18"/>
                <w:lang w:val="en-GB"/>
              </w:rPr>
              <w:t xml:space="preserve">Article 440 of the Commercial Code </w:t>
            </w:r>
            <w:r w:rsidR="00FF0E0F">
              <w:rPr>
                <w:rFonts w:ascii="Verdana" w:hAnsi="Verdana"/>
                <w:b w:val="0"/>
                <w:bCs w:val="0"/>
                <w:i/>
                <w:iCs/>
                <w:color w:val="002060"/>
                <w:sz w:val="18"/>
                <w:szCs w:val="18"/>
                <w:lang w:val="en-GB"/>
              </w:rPr>
              <w:t>a</w:t>
            </w:r>
            <w:r w:rsidR="00FF0E0F" w:rsidRPr="00FF0E0F">
              <w:rPr>
                <w:rFonts w:ascii="Verdana" w:hAnsi="Verdana"/>
                <w:b w:val="0"/>
                <w:bCs w:val="0"/>
                <w:i/>
                <w:iCs/>
                <w:color w:val="002060"/>
                <w:sz w:val="18"/>
                <w:szCs w:val="18"/>
                <w:lang w:val="en-GB"/>
              </w:rPr>
              <w:t>nd</w:t>
            </w:r>
            <w:r w:rsidRPr="00293E99">
              <w:rPr>
                <w:rFonts w:ascii="Verdana" w:hAnsi="Verdana"/>
                <w:b w:val="0"/>
                <w:bCs w:val="0"/>
                <w:i/>
                <w:iCs/>
                <w:color w:val="002060"/>
                <w:sz w:val="18"/>
                <w:szCs w:val="18"/>
                <w:lang w:val="en-GB"/>
              </w:rPr>
              <w:t xml:space="preserve"> Compartments</w:t>
            </w:r>
          </w:p>
        </w:tc>
      </w:tr>
      <w:tr w:rsidR="000F5C77" w:rsidRPr="00293E99" w14:paraId="39D8F93E" w14:textId="77777777" w:rsidTr="001617F7">
        <w:tc>
          <w:tcPr>
            <w:tcW w:w="9498" w:type="dxa"/>
          </w:tcPr>
          <w:p w14:paraId="03539DCA" w14:textId="163AC84C"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Paragraph 1 of Article 440 of the Commercial Code states that: “</w:t>
            </w:r>
            <w:r w:rsidR="00BA28D3" w:rsidRPr="00BA28D3">
              <w:rPr>
                <w:rFonts w:ascii="Verdana" w:hAnsi="Verdana"/>
                <w:b w:val="0"/>
                <w:bCs w:val="0"/>
                <w:i/>
                <w:iCs/>
                <w:color w:val="000000" w:themeColor="text1"/>
                <w:sz w:val="18"/>
                <w:szCs w:val="18"/>
                <w:lang w:val="en-GB"/>
              </w:rPr>
              <w:t>a</w:t>
            </w:r>
            <w:r w:rsidRPr="00293E99">
              <w:rPr>
                <w:rFonts w:ascii="Verdana" w:hAnsi="Verdana"/>
                <w:b w:val="0"/>
                <w:bCs w:val="0"/>
                <w:i/>
                <w:iCs/>
                <w:color w:val="000000" w:themeColor="text1"/>
                <w:sz w:val="18"/>
                <w:szCs w:val="18"/>
                <w:lang w:val="en-GB"/>
              </w:rPr>
              <w:t>ny merchant and any commercial company that ceases to make payments must, within one month, declare such cessation to the registry of the District Court sitting in commercial matters of its domicile or registered office</w:t>
            </w:r>
            <w:r w:rsidRPr="00293E99">
              <w:rPr>
                <w:rFonts w:ascii="Verdana" w:hAnsi="Verdana"/>
                <w:b w:val="0"/>
                <w:bCs w:val="0"/>
                <w:color w:val="000000" w:themeColor="text1"/>
                <w:sz w:val="18"/>
                <w:szCs w:val="18"/>
                <w:lang w:val="en-GB"/>
              </w:rPr>
              <w:t>”.</w:t>
            </w:r>
          </w:p>
        </w:tc>
      </w:tr>
      <w:tr w:rsidR="000F5C77" w:rsidRPr="00293E99" w14:paraId="1F0D4289" w14:textId="77777777" w:rsidTr="001617F7">
        <w:tc>
          <w:tcPr>
            <w:tcW w:w="9498" w:type="dxa"/>
          </w:tcPr>
          <w:p w14:paraId="7BD7C0D2" w14:textId="6ADC49F2" w:rsidR="000F5C77" w:rsidRPr="00293E99" w:rsidRDefault="000F5C77" w:rsidP="00777303">
            <w:pPr>
              <w:pStyle w:val="NormalWeb"/>
              <w:numPr>
                <w:ilvl w:val="0"/>
                <w:numId w:val="168"/>
              </w:numPr>
              <w:spacing w:before="0" w:beforeAutospacing="0" w:after="120" w:afterAutospacing="0"/>
              <w:jc w:val="both"/>
              <w:rPr>
                <w:rFonts w:ascii="Verdana" w:hAnsi="Verdana"/>
                <w:b w:val="0"/>
                <w:bCs w:val="0"/>
                <w:color w:val="002060"/>
                <w:sz w:val="18"/>
                <w:szCs w:val="18"/>
                <w:lang w:val="en-GB"/>
              </w:rPr>
            </w:pPr>
            <w:r w:rsidRPr="00293E99">
              <w:rPr>
                <w:rFonts w:ascii="Verdana" w:hAnsi="Verdana"/>
                <w:b w:val="0"/>
                <w:bCs w:val="0"/>
                <w:color w:val="002060"/>
                <w:sz w:val="18"/>
                <w:szCs w:val="18"/>
                <w:lang w:val="en-GB"/>
              </w:rPr>
              <w:t xml:space="preserve">Compartments and the </w:t>
            </w:r>
            <w:r w:rsidR="00FF0E0F">
              <w:rPr>
                <w:rFonts w:ascii="Verdana" w:hAnsi="Verdana"/>
                <w:b w:val="0"/>
                <w:bCs w:val="0"/>
                <w:color w:val="002060"/>
                <w:sz w:val="18"/>
                <w:szCs w:val="18"/>
                <w:lang w:val="en-GB"/>
              </w:rPr>
              <w:t>“</w:t>
            </w:r>
            <w:r w:rsidRPr="00293E99">
              <w:rPr>
                <w:rFonts w:ascii="Verdana" w:hAnsi="Verdana"/>
                <w:b w:val="0"/>
                <w:bCs w:val="0"/>
                <w:color w:val="002060"/>
                <w:sz w:val="18"/>
                <w:szCs w:val="18"/>
                <w:lang w:val="en-GB"/>
              </w:rPr>
              <w:t>Commercial Company</w:t>
            </w:r>
            <w:r w:rsidR="00FF0E0F">
              <w:rPr>
                <w:rFonts w:ascii="Verdana" w:hAnsi="Verdana"/>
                <w:b w:val="0"/>
                <w:bCs w:val="0"/>
                <w:color w:val="002060"/>
                <w:sz w:val="18"/>
                <w:szCs w:val="18"/>
                <w:lang w:val="en-GB"/>
              </w:rPr>
              <w:t>”</w:t>
            </w:r>
            <w:r w:rsidRPr="00293E99">
              <w:rPr>
                <w:rFonts w:ascii="Verdana" w:hAnsi="Verdana"/>
                <w:b w:val="0"/>
                <w:bCs w:val="0"/>
                <w:color w:val="002060"/>
                <w:sz w:val="18"/>
                <w:szCs w:val="18"/>
                <w:lang w:val="en-GB"/>
              </w:rPr>
              <w:t xml:space="preserve"> </w:t>
            </w:r>
            <w:r w:rsidR="00FF0E0F">
              <w:rPr>
                <w:rFonts w:ascii="Verdana" w:hAnsi="Verdana"/>
                <w:b w:val="0"/>
                <w:bCs w:val="0"/>
                <w:color w:val="002060"/>
                <w:sz w:val="18"/>
                <w:szCs w:val="18"/>
                <w:lang w:val="en-GB"/>
              </w:rPr>
              <w:t>L</w:t>
            </w:r>
            <w:r w:rsidR="00FF0E0F" w:rsidRPr="00FF0E0F">
              <w:rPr>
                <w:rFonts w:ascii="Verdana" w:hAnsi="Verdana"/>
                <w:b w:val="0"/>
                <w:bCs w:val="0"/>
                <w:color w:val="002060"/>
                <w:sz w:val="18"/>
                <w:szCs w:val="18"/>
                <w:lang w:val="en-GB"/>
              </w:rPr>
              <w:t>imb</w:t>
            </w:r>
          </w:p>
        </w:tc>
      </w:tr>
      <w:tr w:rsidR="000F5C77" w:rsidRPr="00293E99" w14:paraId="10643126" w14:textId="77777777" w:rsidTr="001617F7">
        <w:tc>
          <w:tcPr>
            <w:tcW w:w="9498" w:type="dxa"/>
          </w:tcPr>
          <w:p w14:paraId="6C36E10A" w14:textId="0B159627"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Without dwelling unduly on this elementary yet decisive point, it must be recalled that a compartment, even </w:t>
            </w:r>
            <w:proofErr w:type="gramStart"/>
            <w:r w:rsidRPr="00293E99">
              <w:rPr>
                <w:rFonts w:ascii="Verdana" w:hAnsi="Verdana"/>
                <w:b w:val="0"/>
                <w:bCs w:val="0"/>
                <w:color w:val="000000" w:themeColor="text1"/>
                <w:sz w:val="18"/>
                <w:szCs w:val="18"/>
                <w:lang w:val="en-GB"/>
              </w:rPr>
              <w:t>where</w:t>
            </w:r>
            <w:proofErr w:type="gramEnd"/>
            <w:r w:rsidRPr="00293E99">
              <w:rPr>
                <w:rFonts w:ascii="Verdana" w:hAnsi="Verdana"/>
                <w:b w:val="0"/>
                <w:bCs w:val="0"/>
                <w:color w:val="000000" w:themeColor="text1"/>
                <w:sz w:val="18"/>
                <w:szCs w:val="18"/>
                <w:lang w:val="en-GB"/>
              </w:rPr>
              <w:t xml:space="preserve"> constituted within a commercial company, does not itself constitute a commercial company.</w:t>
            </w:r>
            <w:r w:rsidR="00BA28D3">
              <w:rPr>
                <w:rFonts w:ascii="Verdana" w:hAnsi="Verdana"/>
                <w:b w:val="0"/>
                <w:bCs w:val="0"/>
                <w:color w:val="000000" w:themeColor="text1"/>
                <w:sz w:val="18"/>
                <w:szCs w:val="18"/>
                <w:lang w:val="en-GB"/>
              </w:rPr>
              <w:t xml:space="preserve"> Therefore, attempt by a Compartment to fall within the scope of Article </w:t>
            </w:r>
            <w:r w:rsidR="00BA28D3">
              <w:rPr>
                <w:rFonts w:ascii="Verdana" w:hAnsi="Verdana"/>
                <w:b w:val="0"/>
                <w:bCs w:val="0"/>
                <w:color w:val="000000" w:themeColor="text1"/>
                <w:sz w:val="18"/>
                <w:szCs w:val="18"/>
                <w:lang w:val="en-GB"/>
              </w:rPr>
              <w:lastRenderedPageBreak/>
              <w:t>440 of the Commercial Code under the pretence that it would be a commercial company (even by extension) is fanciful.</w:t>
            </w:r>
          </w:p>
        </w:tc>
      </w:tr>
      <w:tr w:rsidR="00616655" w:rsidRPr="00293E99" w14:paraId="2B0AC98A" w14:textId="77777777" w:rsidTr="001617F7">
        <w:tc>
          <w:tcPr>
            <w:tcW w:w="9498" w:type="dxa"/>
          </w:tcPr>
          <w:p w14:paraId="2FE2CE22" w14:textId="77777777" w:rsidR="00616655" w:rsidRPr="00293E99" w:rsidRDefault="00616655" w:rsidP="00616655">
            <w:pPr>
              <w:pStyle w:val="NormalWeb"/>
              <w:spacing w:before="0" w:beforeAutospacing="0" w:after="120" w:afterAutospacing="0"/>
              <w:ind w:left="661"/>
              <w:jc w:val="both"/>
              <w:rPr>
                <w:rFonts w:ascii="Verdana" w:hAnsi="Verdana"/>
                <w:b w:val="0"/>
                <w:bCs w:val="0"/>
                <w:color w:val="000000" w:themeColor="text1"/>
                <w:sz w:val="18"/>
                <w:szCs w:val="18"/>
                <w:lang w:val="en-GB"/>
              </w:rPr>
            </w:pPr>
          </w:p>
        </w:tc>
      </w:tr>
      <w:tr w:rsidR="00616655" w:rsidRPr="00293E99" w14:paraId="218A1036" w14:textId="77777777" w:rsidTr="001617F7">
        <w:tc>
          <w:tcPr>
            <w:tcW w:w="9498" w:type="dxa"/>
          </w:tcPr>
          <w:p w14:paraId="299A5A61" w14:textId="77777777" w:rsidR="00616655" w:rsidRPr="00293E99" w:rsidRDefault="00616655" w:rsidP="00616655">
            <w:pPr>
              <w:pStyle w:val="NormalWeb"/>
              <w:spacing w:before="0" w:beforeAutospacing="0" w:after="120" w:afterAutospacing="0"/>
              <w:ind w:left="661"/>
              <w:jc w:val="both"/>
              <w:rPr>
                <w:rFonts w:ascii="Verdana" w:hAnsi="Verdana"/>
                <w:b w:val="0"/>
                <w:bCs w:val="0"/>
                <w:color w:val="000000" w:themeColor="text1"/>
                <w:sz w:val="18"/>
                <w:szCs w:val="18"/>
                <w:lang w:val="en-GB"/>
              </w:rPr>
            </w:pPr>
          </w:p>
        </w:tc>
      </w:tr>
      <w:tr w:rsidR="000F5C77" w:rsidRPr="00293E99" w14:paraId="7C8F82F6" w14:textId="77777777" w:rsidTr="001617F7">
        <w:tc>
          <w:tcPr>
            <w:tcW w:w="9498" w:type="dxa"/>
          </w:tcPr>
          <w:p w14:paraId="1D4BB5F0" w14:textId="0F8714C6" w:rsidR="000F5C77" w:rsidRPr="00293E99" w:rsidRDefault="000F5C77" w:rsidP="00777303">
            <w:pPr>
              <w:pStyle w:val="NormalWeb"/>
              <w:numPr>
                <w:ilvl w:val="0"/>
                <w:numId w:val="168"/>
              </w:numPr>
              <w:spacing w:before="0" w:beforeAutospacing="0" w:after="120" w:afterAutospacing="0"/>
              <w:jc w:val="both"/>
              <w:rPr>
                <w:rFonts w:ascii="Verdana" w:hAnsi="Verdana"/>
                <w:b w:val="0"/>
                <w:bCs w:val="0"/>
                <w:color w:val="002060"/>
                <w:sz w:val="18"/>
                <w:szCs w:val="18"/>
                <w:lang w:val="en-GB"/>
              </w:rPr>
            </w:pPr>
            <w:r w:rsidRPr="00293E99">
              <w:rPr>
                <w:rFonts w:ascii="Verdana" w:hAnsi="Verdana"/>
                <w:b w:val="0"/>
                <w:bCs w:val="0"/>
                <w:color w:val="002060"/>
                <w:sz w:val="18"/>
                <w:szCs w:val="18"/>
                <w:lang w:val="en-GB"/>
              </w:rPr>
              <w:t xml:space="preserve">Compartments and the </w:t>
            </w:r>
            <w:r w:rsidR="00FF0E0F">
              <w:rPr>
                <w:rFonts w:ascii="Verdana" w:hAnsi="Verdana"/>
                <w:b w:val="0"/>
                <w:bCs w:val="0"/>
                <w:color w:val="002060"/>
                <w:sz w:val="18"/>
                <w:szCs w:val="18"/>
                <w:lang w:val="en-GB"/>
              </w:rPr>
              <w:t>“</w:t>
            </w:r>
            <w:r w:rsidRPr="00293E99">
              <w:rPr>
                <w:rFonts w:ascii="Verdana" w:hAnsi="Verdana"/>
                <w:b w:val="0"/>
                <w:bCs w:val="0"/>
                <w:color w:val="002060"/>
                <w:sz w:val="18"/>
                <w:szCs w:val="18"/>
                <w:lang w:val="en-GB"/>
              </w:rPr>
              <w:t>Merchant</w:t>
            </w:r>
            <w:r w:rsidR="00FF0E0F">
              <w:rPr>
                <w:rFonts w:ascii="Verdana" w:hAnsi="Verdana"/>
                <w:b w:val="0"/>
                <w:bCs w:val="0"/>
                <w:color w:val="002060"/>
                <w:sz w:val="18"/>
                <w:szCs w:val="18"/>
                <w:lang w:val="en-GB"/>
              </w:rPr>
              <w:t>”</w:t>
            </w:r>
            <w:r w:rsidR="00FF0E0F" w:rsidRPr="00FF0E0F">
              <w:rPr>
                <w:rFonts w:ascii="Verdana" w:hAnsi="Verdana"/>
                <w:b w:val="0"/>
                <w:bCs w:val="0"/>
                <w:color w:val="002060"/>
                <w:sz w:val="18"/>
                <w:szCs w:val="18"/>
                <w:lang w:val="en-GB"/>
              </w:rPr>
              <w:t xml:space="preserve"> Limb</w:t>
            </w:r>
          </w:p>
        </w:tc>
      </w:tr>
      <w:tr w:rsidR="000F5C77" w:rsidRPr="00293E99" w14:paraId="06D360B6" w14:textId="77777777" w:rsidTr="001617F7">
        <w:tc>
          <w:tcPr>
            <w:tcW w:w="9498" w:type="dxa"/>
          </w:tcPr>
          <w:p w14:paraId="00B04F00" w14:textId="5AB4D735"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It remains then to see, in order for Article 440 to apply to compartments of </w:t>
            </w:r>
            <w:r w:rsidR="00BA28D3">
              <w:rPr>
                <w:rFonts w:ascii="Verdana" w:hAnsi="Verdana"/>
                <w:b w:val="0"/>
                <w:bCs w:val="0"/>
                <w:color w:val="000000" w:themeColor="text1"/>
                <w:sz w:val="18"/>
                <w:szCs w:val="18"/>
                <w:lang w:val="en-GB"/>
              </w:rPr>
              <w:t>a</w:t>
            </w:r>
            <w:r w:rsidRPr="00293E99">
              <w:rPr>
                <w:rFonts w:ascii="Verdana" w:hAnsi="Verdana"/>
                <w:b w:val="0"/>
                <w:bCs w:val="0"/>
                <w:color w:val="000000" w:themeColor="text1"/>
                <w:sz w:val="18"/>
                <w:szCs w:val="18"/>
                <w:lang w:val="en-GB"/>
              </w:rPr>
              <w:t xml:space="preserve"> </w:t>
            </w:r>
            <w:r w:rsidR="00BA28D3">
              <w:rPr>
                <w:rFonts w:ascii="Verdana" w:hAnsi="Verdana"/>
                <w:b w:val="0"/>
                <w:bCs w:val="0"/>
                <w:color w:val="000000" w:themeColor="text1"/>
                <w:sz w:val="18"/>
                <w:szCs w:val="18"/>
                <w:lang w:val="en-GB"/>
              </w:rPr>
              <w:t xml:space="preserve">product </w:t>
            </w:r>
            <w:r w:rsidR="00BA28D3" w:rsidRPr="00293E99">
              <w:rPr>
                <w:rFonts w:ascii="Verdana" w:hAnsi="Verdana"/>
                <w:b w:val="0"/>
                <w:bCs w:val="0"/>
                <w:color w:val="000000" w:themeColor="text1"/>
                <w:sz w:val="18"/>
                <w:szCs w:val="18"/>
                <w:lang w:val="en-GB"/>
              </w:rPr>
              <w:t>fund</w:t>
            </w:r>
            <w:r w:rsidRPr="00293E99">
              <w:rPr>
                <w:rFonts w:ascii="Verdana" w:hAnsi="Verdana"/>
                <w:b w:val="0"/>
                <w:bCs w:val="0"/>
                <w:color w:val="000000" w:themeColor="text1"/>
                <w:sz w:val="18"/>
                <w:szCs w:val="18"/>
                <w:lang w:val="en-GB"/>
              </w:rPr>
              <w:t xml:space="preserve">, if a </w:t>
            </w:r>
            <w:r w:rsidR="00BD2FBF">
              <w:rPr>
                <w:rFonts w:ascii="Verdana" w:hAnsi="Verdana"/>
                <w:b w:val="0"/>
                <w:bCs w:val="0"/>
                <w:color w:val="000000" w:themeColor="text1"/>
                <w:sz w:val="18"/>
                <w:szCs w:val="18"/>
                <w:lang w:val="en-GB"/>
              </w:rPr>
              <w:t xml:space="preserve">given </w:t>
            </w:r>
            <w:r w:rsidRPr="00293E99">
              <w:rPr>
                <w:rFonts w:ascii="Verdana" w:hAnsi="Verdana"/>
                <w:b w:val="0"/>
                <w:bCs w:val="0"/>
                <w:color w:val="000000" w:themeColor="text1"/>
                <w:sz w:val="18"/>
                <w:szCs w:val="18"/>
                <w:lang w:val="en-GB"/>
              </w:rPr>
              <w:t>compartment qualifies as a merchant. Article 1 of the Commercial Code provides that: “</w:t>
            </w:r>
            <w:r w:rsidR="00BD2FBF">
              <w:rPr>
                <w:rFonts w:ascii="Verdana" w:hAnsi="Verdana"/>
                <w:b w:val="0"/>
                <w:bCs w:val="0"/>
                <w:i/>
                <w:iCs/>
                <w:color w:val="000000" w:themeColor="text1"/>
                <w:sz w:val="18"/>
                <w:szCs w:val="18"/>
                <w:lang w:val="en-GB"/>
              </w:rPr>
              <w:t>m</w:t>
            </w:r>
            <w:r w:rsidRPr="00293E99">
              <w:rPr>
                <w:rFonts w:ascii="Verdana" w:hAnsi="Verdana"/>
                <w:b w:val="0"/>
                <w:bCs w:val="0"/>
                <w:i/>
                <w:iCs/>
                <w:color w:val="000000" w:themeColor="text1"/>
                <w:sz w:val="18"/>
                <w:szCs w:val="18"/>
                <w:lang w:val="en-GB"/>
              </w:rPr>
              <w:t>erchants are those who carry out acts of commerce and make them their habitual profession</w:t>
            </w:r>
            <w:r w:rsidRPr="00293E99">
              <w:rPr>
                <w:rFonts w:ascii="Verdana" w:hAnsi="Verdana"/>
                <w:b w:val="0"/>
                <w:bCs w:val="0"/>
                <w:color w:val="000000" w:themeColor="text1"/>
                <w:sz w:val="18"/>
                <w:szCs w:val="18"/>
                <w:lang w:val="en-GB"/>
              </w:rPr>
              <w:t>”.</w:t>
            </w:r>
          </w:p>
        </w:tc>
      </w:tr>
      <w:tr w:rsidR="000F5C77" w:rsidRPr="00293E99" w14:paraId="7CF103BE" w14:textId="77777777" w:rsidTr="001617F7">
        <w:tc>
          <w:tcPr>
            <w:tcW w:w="9498" w:type="dxa"/>
          </w:tcPr>
          <w:p w14:paraId="43CF25FC" w14:textId="5A451CF6"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The concept of merchant originates in commercial law and is defined by the Commercial Code as a functional legal category. Its interpretation is inseparable from the objectives and mechanisms of the </w:t>
            </w:r>
            <w:r w:rsidR="00BD2FBF">
              <w:rPr>
                <w:rFonts w:ascii="Verdana" w:hAnsi="Verdana"/>
                <w:b w:val="0"/>
                <w:bCs w:val="0"/>
                <w:color w:val="000000" w:themeColor="text1"/>
                <w:sz w:val="18"/>
                <w:szCs w:val="18"/>
                <w:lang w:val="en-GB"/>
              </w:rPr>
              <w:t xml:space="preserve">European and national </w:t>
            </w:r>
            <w:r w:rsidRPr="00293E99">
              <w:rPr>
                <w:rFonts w:ascii="Verdana" w:hAnsi="Verdana"/>
                <w:b w:val="0"/>
                <w:bCs w:val="0"/>
                <w:color w:val="000000" w:themeColor="text1"/>
                <w:sz w:val="18"/>
                <w:szCs w:val="18"/>
                <w:lang w:val="en-GB"/>
              </w:rPr>
              <w:t>commercial legal regime, with the result that the same notion may be understood differently in other branches of law, including tax and social security law.</w:t>
            </w:r>
            <w:r w:rsidRPr="00293E99">
              <w:rPr>
                <w:rStyle w:val="FootnoteReference"/>
                <w:rFonts w:ascii="Verdana" w:hAnsi="Verdana"/>
                <w:b w:val="0"/>
                <w:bCs w:val="0"/>
                <w:color w:val="000000" w:themeColor="text1"/>
                <w:sz w:val="18"/>
                <w:szCs w:val="18"/>
                <w:lang w:val="en-GB"/>
              </w:rPr>
              <w:footnoteReference w:id="10"/>
            </w:r>
            <w:r w:rsidRPr="00293E99">
              <w:rPr>
                <w:rFonts w:ascii="Verdana" w:hAnsi="Verdana"/>
                <w:b w:val="0"/>
                <w:bCs w:val="0"/>
                <w:color w:val="000000" w:themeColor="text1"/>
                <w:sz w:val="18"/>
                <w:szCs w:val="18"/>
                <w:lang w:val="en-GB"/>
              </w:rPr>
              <w:t xml:space="preserve"> Article 1 therefore requires for a compartment to qualify as a merchant, (</w:t>
            </w:r>
            <w:proofErr w:type="spellStart"/>
            <w:r w:rsidRPr="00293E99">
              <w:rPr>
                <w:rFonts w:ascii="Verdana" w:hAnsi="Verdana"/>
                <w:b w:val="0"/>
                <w:bCs w:val="0"/>
                <w:color w:val="000000" w:themeColor="text1"/>
                <w:sz w:val="18"/>
                <w:szCs w:val="18"/>
                <w:lang w:val="en-GB"/>
              </w:rPr>
              <w:t>i</w:t>
            </w:r>
            <w:proofErr w:type="spellEnd"/>
            <w:r w:rsidRPr="00293E99">
              <w:rPr>
                <w:rFonts w:ascii="Verdana" w:hAnsi="Verdana"/>
                <w:b w:val="0"/>
                <w:bCs w:val="0"/>
                <w:color w:val="000000" w:themeColor="text1"/>
                <w:sz w:val="18"/>
                <w:szCs w:val="18"/>
                <w:lang w:val="en-GB"/>
              </w:rPr>
              <w:t xml:space="preserve">) </w:t>
            </w:r>
            <w:r w:rsidR="009F21F5">
              <w:rPr>
                <w:rFonts w:ascii="Verdana" w:hAnsi="Verdana"/>
                <w:b w:val="0"/>
                <w:bCs w:val="0"/>
                <w:color w:val="000000" w:themeColor="text1"/>
                <w:sz w:val="18"/>
                <w:szCs w:val="18"/>
                <w:lang w:val="en-GB"/>
              </w:rPr>
              <w:t xml:space="preserve">acts of commerce, (ii) </w:t>
            </w:r>
            <w:r w:rsidRPr="00293E99">
              <w:rPr>
                <w:rFonts w:ascii="Verdana" w:hAnsi="Verdana"/>
                <w:b w:val="0"/>
                <w:bCs w:val="0"/>
                <w:color w:val="000000" w:themeColor="text1"/>
                <w:sz w:val="18"/>
                <w:szCs w:val="18"/>
                <w:lang w:val="en-GB"/>
              </w:rPr>
              <w:t xml:space="preserve">the </w:t>
            </w:r>
            <w:r w:rsidR="00BA25B2">
              <w:rPr>
                <w:rFonts w:ascii="Verdana" w:hAnsi="Verdana"/>
                <w:b w:val="0"/>
                <w:bCs w:val="0"/>
                <w:color w:val="000000" w:themeColor="text1"/>
                <w:sz w:val="18"/>
                <w:szCs w:val="18"/>
                <w:lang w:val="en-GB"/>
              </w:rPr>
              <w:t xml:space="preserve">independence in the </w:t>
            </w:r>
            <w:r w:rsidRPr="00293E99">
              <w:rPr>
                <w:rFonts w:ascii="Verdana" w:hAnsi="Verdana"/>
                <w:b w:val="0"/>
                <w:bCs w:val="0"/>
                <w:color w:val="000000" w:themeColor="text1"/>
                <w:sz w:val="18"/>
                <w:szCs w:val="18"/>
                <w:lang w:val="en-GB"/>
              </w:rPr>
              <w:t xml:space="preserve">performance of </w:t>
            </w:r>
            <w:r w:rsidR="009F21F5">
              <w:rPr>
                <w:rFonts w:ascii="Verdana" w:hAnsi="Verdana"/>
                <w:b w:val="0"/>
                <w:bCs w:val="0"/>
                <w:color w:val="000000" w:themeColor="text1"/>
                <w:sz w:val="18"/>
                <w:szCs w:val="18"/>
                <w:lang w:val="en-GB"/>
              </w:rPr>
              <w:t xml:space="preserve">said </w:t>
            </w:r>
            <w:r w:rsidRPr="00293E99">
              <w:rPr>
                <w:rFonts w:ascii="Verdana" w:hAnsi="Verdana"/>
                <w:b w:val="0"/>
                <w:bCs w:val="0"/>
                <w:color w:val="000000" w:themeColor="text1"/>
                <w:sz w:val="18"/>
                <w:szCs w:val="18"/>
                <w:lang w:val="en-GB"/>
              </w:rPr>
              <w:t>acts of commerce, (ii</w:t>
            </w:r>
            <w:r w:rsidR="009F21F5">
              <w:rPr>
                <w:rFonts w:ascii="Verdana" w:hAnsi="Verdana"/>
                <w:b w:val="0"/>
                <w:bCs w:val="0"/>
                <w:color w:val="000000" w:themeColor="text1"/>
                <w:sz w:val="18"/>
                <w:szCs w:val="18"/>
                <w:lang w:val="en-GB"/>
              </w:rPr>
              <w:t>i</w:t>
            </w:r>
            <w:r w:rsidRPr="00293E99">
              <w:rPr>
                <w:rFonts w:ascii="Verdana" w:hAnsi="Verdana"/>
                <w:b w:val="0"/>
                <w:bCs w:val="0"/>
                <w:color w:val="000000" w:themeColor="text1"/>
                <w:sz w:val="18"/>
                <w:szCs w:val="18"/>
                <w:lang w:val="en-GB"/>
              </w:rPr>
              <w:t xml:space="preserve">) </w:t>
            </w:r>
            <w:r w:rsidR="009F21F5">
              <w:rPr>
                <w:rFonts w:ascii="Verdana" w:hAnsi="Verdana"/>
                <w:b w:val="0"/>
                <w:bCs w:val="0"/>
                <w:color w:val="000000" w:themeColor="text1"/>
                <w:sz w:val="18"/>
                <w:szCs w:val="18"/>
                <w:lang w:val="en-GB"/>
              </w:rPr>
              <w:t>the</w:t>
            </w:r>
            <w:r w:rsidRPr="00293E99">
              <w:rPr>
                <w:rFonts w:ascii="Verdana" w:hAnsi="Verdana"/>
                <w:b w:val="0"/>
                <w:bCs w:val="0"/>
                <w:color w:val="000000" w:themeColor="text1"/>
                <w:sz w:val="18"/>
                <w:szCs w:val="18"/>
                <w:lang w:val="en-GB"/>
              </w:rPr>
              <w:t xml:space="preserve"> habitual </w:t>
            </w:r>
            <w:r w:rsidR="009F21F5">
              <w:rPr>
                <w:rFonts w:ascii="Verdana" w:hAnsi="Verdana"/>
                <w:b w:val="0"/>
                <w:bCs w:val="0"/>
                <w:color w:val="000000" w:themeColor="text1"/>
                <w:sz w:val="18"/>
                <w:szCs w:val="18"/>
                <w:lang w:val="en-GB"/>
              </w:rPr>
              <w:t>performance of such acts,</w:t>
            </w:r>
            <w:r w:rsidR="00BA25B2">
              <w:rPr>
                <w:rFonts w:ascii="Verdana" w:hAnsi="Verdana"/>
                <w:b w:val="0"/>
                <w:bCs w:val="0"/>
                <w:color w:val="000000" w:themeColor="text1"/>
                <w:sz w:val="18"/>
                <w:szCs w:val="18"/>
                <w:lang w:val="en-GB"/>
              </w:rPr>
              <w:t xml:space="preserve"> and (i</w:t>
            </w:r>
            <w:r w:rsidR="009F21F5">
              <w:rPr>
                <w:rFonts w:ascii="Verdana" w:hAnsi="Verdana"/>
                <w:b w:val="0"/>
                <w:bCs w:val="0"/>
                <w:color w:val="000000" w:themeColor="text1"/>
                <w:sz w:val="18"/>
                <w:szCs w:val="18"/>
                <w:lang w:val="en-GB"/>
              </w:rPr>
              <w:t>v</w:t>
            </w:r>
            <w:r w:rsidR="00BA25B2">
              <w:rPr>
                <w:rFonts w:ascii="Verdana" w:hAnsi="Verdana"/>
                <w:b w:val="0"/>
                <w:bCs w:val="0"/>
                <w:color w:val="000000" w:themeColor="text1"/>
                <w:sz w:val="18"/>
                <w:szCs w:val="18"/>
                <w:lang w:val="en-GB"/>
              </w:rPr>
              <w:t xml:space="preserve">) </w:t>
            </w:r>
            <w:r w:rsidR="009F21F5">
              <w:rPr>
                <w:rFonts w:ascii="Verdana" w:hAnsi="Verdana"/>
                <w:b w:val="0"/>
                <w:bCs w:val="0"/>
                <w:color w:val="000000" w:themeColor="text1"/>
                <w:sz w:val="18"/>
                <w:szCs w:val="18"/>
                <w:lang w:val="en-GB"/>
              </w:rPr>
              <w:t xml:space="preserve">their performance </w:t>
            </w:r>
            <w:r w:rsidR="00BA25B2" w:rsidRPr="00293E99">
              <w:rPr>
                <w:rFonts w:ascii="Verdana" w:hAnsi="Verdana"/>
                <w:b w:val="0"/>
                <w:bCs w:val="0"/>
                <w:color w:val="000000" w:themeColor="text1"/>
                <w:sz w:val="18"/>
                <w:szCs w:val="18"/>
                <w:lang w:val="en-GB"/>
              </w:rPr>
              <w:t>as a professional activity</w:t>
            </w:r>
            <w:r w:rsidRPr="00293E99">
              <w:rPr>
                <w:rFonts w:ascii="Verdana" w:hAnsi="Verdana"/>
                <w:b w:val="0"/>
                <w:bCs w:val="0"/>
                <w:color w:val="000000" w:themeColor="text1"/>
                <w:sz w:val="18"/>
                <w:szCs w:val="18"/>
                <w:lang w:val="en-GB"/>
              </w:rPr>
              <w:t>.</w:t>
            </w:r>
          </w:p>
        </w:tc>
      </w:tr>
      <w:tr w:rsidR="000F5C77" w:rsidRPr="00293E99" w14:paraId="4EEFB297" w14:textId="77777777" w:rsidTr="001617F7">
        <w:tc>
          <w:tcPr>
            <w:tcW w:w="9498" w:type="dxa"/>
          </w:tcPr>
          <w:p w14:paraId="1914D302" w14:textId="42D8DF8D" w:rsidR="000F5C77" w:rsidRPr="00293E99" w:rsidRDefault="000F5C77" w:rsidP="00BA28D3">
            <w:pPr>
              <w:pStyle w:val="NormalWeb"/>
              <w:numPr>
                <w:ilvl w:val="0"/>
                <w:numId w:val="169"/>
              </w:numPr>
              <w:spacing w:before="0" w:beforeAutospacing="0" w:after="120" w:afterAutospacing="0"/>
              <w:jc w:val="both"/>
              <w:rPr>
                <w:rFonts w:ascii="Verdana" w:hAnsi="Verdana"/>
                <w:b w:val="0"/>
                <w:bCs w:val="0"/>
                <w:color w:val="002060"/>
                <w:sz w:val="18"/>
                <w:szCs w:val="18"/>
                <w:lang w:val="en-GB"/>
              </w:rPr>
            </w:pPr>
            <w:r w:rsidRPr="00293E99">
              <w:rPr>
                <w:rFonts w:ascii="Verdana" w:hAnsi="Verdana"/>
                <w:b w:val="0"/>
                <w:bCs w:val="0"/>
                <w:i/>
                <w:iCs/>
                <w:color w:val="002060"/>
                <w:sz w:val="18"/>
                <w:szCs w:val="18"/>
                <w:lang w:val="en-GB"/>
              </w:rPr>
              <w:t>Acts of Commerce</w:t>
            </w:r>
            <w:r w:rsidR="00FF0E0F">
              <w:rPr>
                <w:rFonts w:ascii="Verdana" w:hAnsi="Verdana"/>
                <w:b w:val="0"/>
                <w:bCs w:val="0"/>
                <w:i/>
                <w:iCs/>
                <w:color w:val="002060"/>
                <w:sz w:val="18"/>
                <w:szCs w:val="18"/>
                <w:lang w:val="en-GB"/>
              </w:rPr>
              <w:t xml:space="preserve"> by Nature</w:t>
            </w:r>
          </w:p>
        </w:tc>
      </w:tr>
      <w:tr w:rsidR="000F5C77" w:rsidRPr="00293E99" w14:paraId="4BCB4999" w14:textId="77777777" w:rsidTr="001617F7">
        <w:tc>
          <w:tcPr>
            <w:tcW w:w="9498" w:type="dxa"/>
          </w:tcPr>
          <w:p w14:paraId="61C132EB" w14:textId="2AF7CC89"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Under Article 1 of the Commercial Code, merchant status is premised on the performance of acts of commerce, which – by elimination – must be understood as acts of commerce by nature. Neither acts of commerce by accessory nor acts of commerce by form are capable, as such, of grounding that qualification.</w:t>
            </w:r>
          </w:p>
        </w:tc>
      </w:tr>
      <w:tr w:rsidR="000F5C77" w:rsidRPr="00293E99" w14:paraId="0B28FDD7" w14:textId="77777777" w:rsidTr="001617F7">
        <w:tc>
          <w:tcPr>
            <w:tcW w:w="9498" w:type="dxa"/>
          </w:tcPr>
          <w:p w14:paraId="3381871C" w14:textId="5A22A5B1"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A private equity investment strategy carried out through a compartment of a </w:t>
            </w:r>
            <w:r w:rsidR="00BA25B2">
              <w:rPr>
                <w:rFonts w:ascii="Verdana" w:hAnsi="Verdana"/>
                <w:b w:val="0"/>
                <w:bCs w:val="0"/>
                <w:color w:val="000000" w:themeColor="text1"/>
                <w:sz w:val="18"/>
                <w:szCs w:val="18"/>
                <w:lang w:val="en-GB"/>
              </w:rPr>
              <w:t xml:space="preserve">SIF </w:t>
            </w:r>
            <w:r w:rsidRPr="00293E99">
              <w:rPr>
                <w:rFonts w:ascii="Verdana" w:hAnsi="Verdana"/>
                <w:b w:val="0"/>
                <w:bCs w:val="0"/>
                <w:color w:val="000000" w:themeColor="text1"/>
                <w:sz w:val="18"/>
                <w:szCs w:val="18"/>
                <w:lang w:val="en-GB"/>
              </w:rPr>
              <w:t>for instance generally consists in the acquisition of equity interests in unlisted companies, and most often the active participation in their governance together with the implementation of value-creation strategies with a view to resale. Such operations are structurally oriented toward speculative gain through an organised economic activity.</w:t>
            </w:r>
          </w:p>
        </w:tc>
      </w:tr>
      <w:tr w:rsidR="000F5C77" w:rsidRPr="00293E99" w14:paraId="1F857D8D" w14:textId="77777777" w:rsidTr="001617F7">
        <w:tc>
          <w:tcPr>
            <w:tcW w:w="9498" w:type="dxa"/>
          </w:tcPr>
          <w:p w14:paraId="499CCD87" w14:textId="3E6B4163"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While the acquisition of shares is not, in itself, systematically classified as an act of commerce, it is well established that investment activities forming part of a structured economic undertaking aimed at profit-making should qualify as acts of commerce by nature, even where they do not involve purchases for resale in the strict sense.</w:t>
            </w:r>
          </w:p>
        </w:tc>
      </w:tr>
      <w:tr w:rsidR="000F5C77" w:rsidRPr="00293E99" w14:paraId="433CF2F6" w14:textId="77777777" w:rsidTr="001617F7">
        <w:tc>
          <w:tcPr>
            <w:tcW w:w="9498" w:type="dxa"/>
          </w:tcPr>
          <w:p w14:paraId="29FBFD9B" w14:textId="544D634B"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Accordingly, where a compartment systematically acquires participations in operating companies, intervenes in their strategic and operational reorganisation, assumes entrepreneurial risk</w:t>
            </w:r>
            <w:r w:rsidR="00BA25B2">
              <w:rPr>
                <w:rFonts w:ascii="Verdana" w:hAnsi="Verdana"/>
                <w:b w:val="0"/>
                <w:bCs w:val="0"/>
                <w:color w:val="000000" w:themeColor="text1"/>
                <w:sz w:val="18"/>
                <w:szCs w:val="18"/>
                <w:lang w:val="en-GB"/>
              </w:rPr>
              <w:t xml:space="preserve"> as a shareholder thereof</w:t>
            </w:r>
            <w:r w:rsidRPr="00293E99">
              <w:rPr>
                <w:rFonts w:ascii="Verdana" w:hAnsi="Verdana"/>
                <w:b w:val="0"/>
                <w:bCs w:val="0"/>
                <w:color w:val="000000" w:themeColor="text1"/>
                <w:sz w:val="18"/>
                <w:szCs w:val="18"/>
                <w:lang w:val="en-GB"/>
              </w:rPr>
              <w:t>, and ultimately seeks to realise capital gains upon exit, the acts performed by the compartment may, in substance, correspond to acts of commerce by nature within the meaning of Article 2 of the Commercial Code.</w:t>
            </w:r>
          </w:p>
        </w:tc>
      </w:tr>
      <w:tr w:rsidR="000F5C77" w:rsidRPr="00293E99" w14:paraId="2DAF9D27" w14:textId="77777777" w:rsidTr="001617F7">
        <w:tc>
          <w:tcPr>
            <w:tcW w:w="9498" w:type="dxa"/>
          </w:tcPr>
          <w:p w14:paraId="09A5836D" w14:textId="5675E2AF"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Article 2 of the Commercial Code deems as acts of commerce namely “manufacturing or factory enterprises”, “enterprises involved in public or private works, or in transport by land, air, or water”, “enterprises of supplies, agencies, business offices, public auction houses, public entertainment establishments, and premium-based insurance” and “enterprises whose purpose is the purchase of real estate with a view to resale”.</w:t>
            </w:r>
          </w:p>
        </w:tc>
      </w:tr>
      <w:tr w:rsidR="000F5C77" w:rsidRPr="00293E99" w14:paraId="2547F2B2" w14:textId="77777777" w:rsidTr="00D70955">
        <w:tc>
          <w:tcPr>
            <w:tcW w:w="9498" w:type="dxa"/>
          </w:tcPr>
          <w:p w14:paraId="202E24D6" w14:textId="0D454C55" w:rsidR="000F5C77" w:rsidRPr="00293E99" w:rsidRDefault="000F5C77" w:rsidP="000F5C77">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In that sense, it is also interesting to note that the Court of Justice of the European Union stated that a reference to enterprises is to be construed in accordance with Articles 48, 81 and 82 of the Treaty, i.e., namely any non-listed “</w:t>
            </w:r>
            <w:r w:rsidRPr="00293E99">
              <w:rPr>
                <w:rFonts w:ascii="Verdana" w:hAnsi="Verdana"/>
                <w:b w:val="0"/>
                <w:bCs w:val="0"/>
                <w:i/>
                <w:iCs/>
                <w:color w:val="000000" w:themeColor="text1"/>
                <w:sz w:val="18"/>
                <w:szCs w:val="18"/>
                <w:u w:val="single"/>
                <w:lang w:val="en-GB"/>
              </w:rPr>
              <w:t>entity engaged in an economic activity, irrespective of its legal form</w:t>
            </w:r>
            <w:r w:rsidRPr="00293E99">
              <w:rPr>
                <w:rFonts w:ascii="Verdana" w:hAnsi="Verdana"/>
                <w:b w:val="0"/>
                <w:bCs w:val="0"/>
                <w:i/>
                <w:iCs/>
                <w:color w:val="000000" w:themeColor="text1"/>
                <w:sz w:val="18"/>
                <w:szCs w:val="18"/>
                <w:lang w:val="en-GB"/>
              </w:rPr>
              <w:t xml:space="preserve"> [which] includes, in particular, self-employed persons and family businesses engaged in craft or other activities, and partnerships or associations regularly engaged in an economic activity</w:t>
            </w:r>
            <w:r w:rsidRPr="00293E99">
              <w:rPr>
                <w:rFonts w:ascii="Verdana" w:hAnsi="Verdana"/>
                <w:b w:val="0"/>
                <w:bCs w:val="0"/>
                <w:color w:val="000000" w:themeColor="text1"/>
                <w:sz w:val="18"/>
                <w:szCs w:val="18"/>
                <w:lang w:val="en-GB"/>
              </w:rPr>
              <w:t>” (emphasis added).</w:t>
            </w:r>
            <w:r w:rsidRPr="00293E99">
              <w:rPr>
                <w:rStyle w:val="FootnoteReference"/>
                <w:rFonts w:ascii="Verdana" w:hAnsi="Verdana"/>
                <w:b w:val="0"/>
                <w:bCs w:val="0"/>
                <w:color w:val="000000" w:themeColor="text1"/>
                <w:sz w:val="18"/>
                <w:szCs w:val="18"/>
                <w:lang w:val="en-GB"/>
              </w:rPr>
              <w:footnoteReference w:id="11"/>
            </w:r>
          </w:p>
        </w:tc>
      </w:tr>
      <w:tr w:rsidR="009F21F5" w:rsidRPr="00293E99" w14:paraId="3F73CBAD" w14:textId="77777777" w:rsidTr="00D70955">
        <w:tc>
          <w:tcPr>
            <w:tcW w:w="9498" w:type="dxa"/>
          </w:tcPr>
          <w:p w14:paraId="7CB178CA" w14:textId="1504EDBB" w:rsidR="009F21F5" w:rsidRDefault="009F21F5" w:rsidP="009F21F5">
            <w:pPr>
              <w:pStyle w:val="NormalWeb"/>
              <w:numPr>
                <w:ilvl w:val="0"/>
                <w:numId w:val="169"/>
              </w:numPr>
              <w:spacing w:before="0" w:beforeAutospacing="0" w:after="120" w:afterAutospacing="0"/>
              <w:jc w:val="both"/>
              <w:rPr>
                <w:rFonts w:ascii="Verdana" w:hAnsi="Verdana"/>
                <w:b w:val="0"/>
                <w:bCs w:val="0"/>
                <w:color w:val="000000" w:themeColor="text1"/>
                <w:sz w:val="18"/>
                <w:szCs w:val="18"/>
                <w:lang w:val="en-GB"/>
              </w:rPr>
            </w:pPr>
            <w:r>
              <w:rPr>
                <w:rFonts w:ascii="Verdana" w:hAnsi="Verdana"/>
                <w:b w:val="0"/>
                <w:bCs w:val="0"/>
                <w:i/>
                <w:iCs/>
                <w:color w:val="002060"/>
                <w:sz w:val="18"/>
                <w:szCs w:val="18"/>
                <w:lang w:val="en-GB"/>
              </w:rPr>
              <w:lastRenderedPageBreak/>
              <w:t>Independence in the</w:t>
            </w:r>
            <w:r w:rsidRPr="00293E99">
              <w:rPr>
                <w:rFonts w:ascii="Verdana" w:hAnsi="Verdana"/>
                <w:b w:val="0"/>
                <w:bCs w:val="0"/>
                <w:i/>
                <w:iCs/>
                <w:color w:val="002060"/>
                <w:sz w:val="18"/>
                <w:szCs w:val="18"/>
                <w:lang w:val="en-GB"/>
              </w:rPr>
              <w:t xml:space="preserve"> Performance of Acts of Commerce</w:t>
            </w:r>
          </w:p>
        </w:tc>
      </w:tr>
      <w:tr w:rsidR="009F21F5" w:rsidRPr="00293E99" w14:paraId="06A1B339" w14:textId="77777777" w:rsidTr="00D70955">
        <w:tc>
          <w:tcPr>
            <w:tcW w:w="9498" w:type="dxa"/>
          </w:tcPr>
          <w:p w14:paraId="2BB2D4FD" w14:textId="17C98204"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Pr>
                <w:rFonts w:ascii="Verdana" w:hAnsi="Verdana"/>
                <w:b w:val="0"/>
                <w:bCs w:val="0"/>
                <w:color w:val="000000" w:themeColor="text1"/>
                <w:sz w:val="18"/>
                <w:szCs w:val="18"/>
                <w:lang w:val="en-GB"/>
              </w:rPr>
              <w:t>It is also essential to note that</w:t>
            </w:r>
            <w:r w:rsidRPr="00293E99">
              <w:rPr>
                <w:rFonts w:ascii="Verdana" w:hAnsi="Verdana"/>
                <w:b w:val="0"/>
                <w:bCs w:val="0"/>
                <w:color w:val="000000" w:themeColor="text1"/>
                <w:sz w:val="18"/>
                <w:szCs w:val="18"/>
                <w:lang w:val="en-GB"/>
              </w:rPr>
              <w:t xml:space="preserve"> Article 1 of the Commercial Code does not expressly make legal personality a condition for the qualification of merchant. The provision refers instead to the exercise of acts of commerce as a habitual profession. From this perspective, independence</w:t>
            </w:r>
            <w:r>
              <w:rPr>
                <w:rFonts w:ascii="Verdana" w:hAnsi="Verdana"/>
                <w:b w:val="0"/>
                <w:bCs w:val="0"/>
                <w:color w:val="000000" w:themeColor="text1"/>
                <w:sz w:val="18"/>
                <w:szCs w:val="18"/>
                <w:lang w:val="en-GB"/>
              </w:rPr>
              <w:t xml:space="preserve"> in the performance of acts of commerce</w:t>
            </w:r>
            <w:r w:rsidRPr="00293E99">
              <w:rPr>
                <w:rFonts w:ascii="Verdana" w:hAnsi="Verdana"/>
                <w:b w:val="0"/>
                <w:bCs w:val="0"/>
                <w:color w:val="000000" w:themeColor="text1"/>
                <w:sz w:val="18"/>
                <w:szCs w:val="18"/>
                <w:lang w:val="en-GB"/>
              </w:rPr>
              <w:t xml:space="preserve"> should be understood in functional and economic terms rather than as a purely formal attribute such as legal personality.</w:t>
            </w:r>
          </w:p>
        </w:tc>
      </w:tr>
      <w:tr w:rsidR="009F21F5" w:rsidRPr="00293E99" w14:paraId="117A8EB7" w14:textId="77777777" w:rsidTr="00D70955">
        <w:tc>
          <w:tcPr>
            <w:tcW w:w="9498" w:type="dxa"/>
          </w:tcPr>
          <w:p w14:paraId="6B861257" w14:textId="6AC9309A"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A compartment of a </w:t>
            </w:r>
            <w:r>
              <w:rPr>
                <w:rFonts w:ascii="Verdana" w:hAnsi="Verdana"/>
                <w:b w:val="0"/>
                <w:bCs w:val="0"/>
                <w:color w:val="000000" w:themeColor="text1"/>
                <w:sz w:val="18"/>
                <w:szCs w:val="18"/>
                <w:lang w:val="en-GB"/>
              </w:rPr>
              <w:t>SIF</w:t>
            </w:r>
            <w:r w:rsidRPr="00293E99">
              <w:rPr>
                <w:rFonts w:ascii="Verdana" w:hAnsi="Verdana"/>
                <w:b w:val="0"/>
                <w:bCs w:val="0"/>
                <w:color w:val="000000" w:themeColor="text1"/>
                <w:sz w:val="18"/>
                <w:szCs w:val="18"/>
                <w:lang w:val="en-GB"/>
              </w:rPr>
              <w:t xml:space="preserve"> (or another Luxembourg umbrella structure), notwithstanding the absence of legal personality, may display a significant degree of operational autonomy.</w:t>
            </w:r>
            <w:r w:rsidR="00196A8C" w:rsidRPr="00293E99">
              <w:rPr>
                <w:rStyle w:val="FootnoteReference"/>
                <w:rFonts w:ascii="Verdana" w:hAnsi="Verdana"/>
                <w:b w:val="0"/>
                <w:bCs w:val="0"/>
                <w:color w:val="000000" w:themeColor="text1"/>
                <w:sz w:val="18"/>
                <w:szCs w:val="18"/>
                <w:lang w:val="en-GB"/>
              </w:rPr>
              <w:footnoteReference w:id="12"/>
            </w:r>
            <w:r w:rsidRPr="00293E99">
              <w:rPr>
                <w:rFonts w:ascii="Verdana" w:hAnsi="Verdana"/>
                <w:b w:val="0"/>
                <w:bCs w:val="0"/>
                <w:color w:val="000000" w:themeColor="text1"/>
                <w:sz w:val="18"/>
                <w:szCs w:val="18"/>
                <w:lang w:val="en-GB"/>
              </w:rPr>
              <w:t xml:space="preserve"> In practice, such a compartment is characterised by the segregation of assets and liabilities, a distinct investment strategy, ring-fenced investors and creditor recourse, and compartment-specific decision-making. It constitutes a self-contained centre of profit and loss, bearing entrepreneurial risk independently from other compartments of the same fund.</w:t>
            </w:r>
          </w:p>
        </w:tc>
      </w:tr>
      <w:tr w:rsidR="009F21F5" w:rsidRPr="00293E99" w14:paraId="7765132D" w14:textId="77777777" w:rsidTr="001617F7">
        <w:tc>
          <w:tcPr>
            <w:tcW w:w="9498" w:type="dxa"/>
          </w:tcPr>
          <w:p w14:paraId="381ACE32" w14:textId="33520997"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The fact that the compartment acts through the governing bodies of the fund </w:t>
            </w:r>
            <w:r>
              <w:rPr>
                <w:rFonts w:ascii="Verdana" w:hAnsi="Verdana"/>
                <w:b w:val="0"/>
                <w:bCs w:val="0"/>
                <w:color w:val="000000" w:themeColor="text1"/>
                <w:sz w:val="18"/>
                <w:szCs w:val="18"/>
                <w:lang w:val="en-GB"/>
              </w:rPr>
              <w:t xml:space="preserve">and their agent(s) </w:t>
            </w:r>
            <w:r w:rsidRPr="00293E99">
              <w:rPr>
                <w:rFonts w:ascii="Verdana" w:hAnsi="Verdana"/>
                <w:b w:val="0"/>
                <w:bCs w:val="0"/>
                <w:color w:val="000000" w:themeColor="text1"/>
                <w:sz w:val="18"/>
                <w:szCs w:val="18"/>
                <w:lang w:val="en-GB"/>
              </w:rPr>
              <w:t>does not preclude independence. Commercial law for instance has indeed long accepted that economic activity may be carried out through representation without depriving the underlying economic unit of its commercial character.</w:t>
            </w:r>
          </w:p>
        </w:tc>
      </w:tr>
      <w:tr w:rsidR="009F21F5" w:rsidRPr="00293E99" w14:paraId="1132C11B" w14:textId="77777777" w:rsidTr="001617F7">
        <w:tc>
          <w:tcPr>
            <w:tcW w:w="9498" w:type="dxa"/>
          </w:tcPr>
          <w:p w14:paraId="688353CD" w14:textId="2BAE4949"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Where the economic consequences of transactions, including profits, losses, and liabilities, are borne exclusively by a given compartment, it may </w:t>
            </w:r>
            <w:r>
              <w:rPr>
                <w:rFonts w:ascii="Verdana" w:hAnsi="Verdana"/>
                <w:b w:val="0"/>
                <w:bCs w:val="0"/>
                <w:color w:val="000000" w:themeColor="text1"/>
                <w:sz w:val="18"/>
                <w:szCs w:val="18"/>
                <w:lang w:val="en-GB"/>
              </w:rPr>
              <w:t xml:space="preserve">therefore </w:t>
            </w:r>
            <w:r w:rsidRPr="00293E99">
              <w:rPr>
                <w:rFonts w:ascii="Verdana" w:hAnsi="Verdana"/>
                <w:b w:val="0"/>
                <w:bCs w:val="0"/>
                <w:color w:val="000000" w:themeColor="text1"/>
                <w:sz w:val="18"/>
                <w:szCs w:val="18"/>
                <w:lang w:val="en-GB"/>
              </w:rPr>
              <w:t>be argued that the activity is exercised for its own account in an economic sense, even if the legal acts are formally executed in the name of the fund in relation to the relevant compartment.</w:t>
            </w:r>
          </w:p>
        </w:tc>
      </w:tr>
      <w:tr w:rsidR="009F21F5" w:rsidRPr="00293E99" w14:paraId="6F44C287" w14:textId="77777777" w:rsidTr="001617F7">
        <w:tc>
          <w:tcPr>
            <w:tcW w:w="9498" w:type="dxa"/>
          </w:tcPr>
          <w:p w14:paraId="6CE6D9F7" w14:textId="6D2525B5" w:rsidR="009F21F5" w:rsidRPr="00293E99" w:rsidRDefault="009F21F5" w:rsidP="009F21F5">
            <w:pPr>
              <w:pStyle w:val="NormalWeb"/>
              <w:numPr>
                <w:ilvl w:val="0"/>
                <w:numId w:val="169"/>
              </w:numPr>
              <w:spacing w:before="0" w:beforeAutospacing="0" w:after="120" w:afterAutospacing="0"/>
              <w:jc w:val="both"/>
              <w:rPr>
                <w:rFonts w:ascii="Verdana" w:hAnsi="Verdana"/>
                <w:b w:val="0"/>
                <w:bCs w:val="0"/>
                <w:i/>
                <w:iCs/>
                <w:color w:val="002060"/>
                <w:sz w:val="18"/>
                <w:szCs w:val="18"/>
                <w:lang w:val="en-GB"/>
              </w:rPr>
            </w:pPr>
            <w:r w:rsidRPr="00293E99">
              <w:rPr>
                <w:rFonts w:ascii="Verdana" w:hAnsi="Verdana"/>
                <w:b w:val="0"/>
                <w:bCs w:val="0"/>
                <w:i/>
                <w:iCs/>
                <w:color w:val="002060"/>
                <w:sz w:val="18"/>
                <w:szCs w:val="18"/>
                <w:lang w:val="en-GB"/>
              </w:rPr>
              <w:t xml:space="preserve">The </w:t>
            </w:r>
            <w:r>
              <w:rPr>
                <w:rFonts w:ascii="Verdana" w:hAnsi="Verdana"/>
                <w:b w:val="0"/>
                <w:bCs w:val="0"/>
                <w:i/>
                <w:iCs/>
                <w:color w:val="002060"/>
                <w:sz w:val="18"/>
                <w:szCs w:val="18"/>
                <w:lang w:val="en-GB"/>
              </w:rPr>
              <w:t xml:space="preserve">Habitual </w:t>
            </w:r>
            <w:r w:rsidRPr="00293E99">
              <w:rPr>
                <w:rFonts w:ascii="Verdana" w:hAnsi="Verdana"/>
                <w:b w:val="0"/>
                <w:bCs w:val="0"/>
                <w:i/>
                <w:iCs/>
                <w:color w:val="002060"/>
                <w:sz w:val="18"/>
                <w:szCs w:val="18"/>
                <w:lang w:val="en-GB"/>
              </w:rPr>
              <w:t>Performance</w:t>
            </w:r>
          </w:p>
        </w:tc>
      </w:tr>
      <w:tr w:rsidR="009F21F5" w:rsidRPr="00293E99" w14:paraId="6625BA95" w14:textId="77777777" w:rsidTr="001617F7">
        <w:tc>
          <w:tcPr>
            <w:tcW w:w="9498" w:type="dxa"/>
          </w:tcPr>
          <w:p w14:paraId="53365347" w14:textId="1957225B"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The requirement that acts of commerce be exercised as a habitual profession does not imply the requirement for a perpetual activity, but rather the systematic and organised pursuit of a commercial act.</w:t>
            </w:r>
          </w:p>
        </w:tc>
      </w:tr>
      <w:tr w:rsidR="009F21F5" w:rsidRPr="00293E99" w14:paraId="625F566D" w14:textId="77777777" w:rsidTr="001617F7">
        <w:tc>
          <w:tcPr>
            <w:tcW w:w="9498" w:type="dxa"/>
          </w:tcPr>
          <w:p w14:paraId="30BD1F1D" w14:textId="3ECDB82D"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 private equity compartment is typically established for the purpose of engaging in one or more acquisitions, restructurings, and disposals, pursuant to a defined investment policy and over a predetermined investment cycle. The organisation (and where applicable the repetition) of such acts within the life of the compartment may suffice to characterise the activity as habitual, notwithstanding its finite duration.</w:t>
            </w:r>
          </w:p>
        </w:tc>
      </w:tr>
      <w:tr w:rsidR="009F21F5" w:rsidRPr="00293E99" w14:paraId="41C022BC" w14:textId="77777777" w:rsidTr="001617F7">
        <w:tc>
          <w:tcPr>
            <w:tcW w:w="9498" w:type="dxa"/>
          </w:tcPr>
          <w:p w14:paraId="1776C068" w14:textId="7AC0BB7F"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Finally, the closed-ended nature of many investment fund compartments investing in private equity does not, in itself, negate habituality. Indeed, commercial law frequently recognises the professional character of activities carried out by project-based or </w:t>
            </w:r>
            <w:r>
              <w:rPr>
                <w:rFonts w:ascii="Verdana" w:hAnsi="Verdana"/>
                <w:b w:val="0"/>
                <w:bCs w:val="0"/>
                <w:color w:val="000000" w:themeColor="text1"/>
                <w:sz w:val="18"/>
                <w:szCs w:val="18"/>
                <w:lang w:val="en-GB"/>
              </w:rPr>
              <w:t>commercial companies</w:t>
            </w:r>
            <w:r w:rsidRPr="00293E99">
              <w:rPr>
                <w:rFonts w:ascii="Verdana" w:hAnsi="Verdana"/>
                <w:b w:val="0"/>
                <w:bCs w:val="0"/>
                <w:color w:val="000000" w:themeColor="text1"/>
                <w:sz w:val="18"/>
                <w:szCs w:val="18"/>
                <w:lang w:val="en-GB"/>
              </w:rPr>
              <w:t xml:space="preserve"> whose existence is limited in time. What matters in other words is not the duration of the activity, but its structured and professional nature.</w:t>
            </w:r>
          </w:p>
        </w:tc>
      </w:tr>
      <w:tr w:rsidR="009F21F5" w:rsidRPr="00293E99" w14:paraId="45C50497" w14:textId="77777777" w:rsidTr="001617F7">
        <w:tc>
          <w:tcPr>
            <w:tcW w:w="9498" w:type="dxa"/>
          </w:tcPr>
          <w:p w14:paraId="6D07228A" w14:textId="56F86764" w:rsidR="009F21F5" w:rsidRPr="00293E99" w:rsidRDefault="009F21F5" w:rsidP="009F21F5">
            <w:pPr>
              <w:pStyle w:val="NormalWeb"/>
              <w:numPr>
                <w:ilvl w:val="0"/>
                <w:numId w:val="169"/>
              </w:numPr>
              <w:spacing w:before="0" w:beforeAutospacing="0" w:after="120" w:afterAutospacing="0"/>
              <w:jc w:val="both"/>
              <w:rPr>
                <w:rFonts w:ascii="Verdana" w:hAnsi="Verdana"/>
                <w:b w:val="0"/>
                <w:bCs w:val="0"/>
                <w:i/>
                <w:iCs/>
                <w:color w:val="002060"/>
                <w:sz w:val="18"/>
                <w:szCs w:val="18"/>
                <w:lang w:val="en-GB"/>
              </w:rPr>
            </w:pPr>
            <w:r w:rsidRPr="00293E99">
              <w:rPr>
                <w:rFonts w:ascii="Verdana" w:hAnsi="Verdana"/>
                <w:b w:val="0"/>
                <w:bCs w:val="0"/>
                <w:i/>
                <w:iCs/>
                <w:color w:val="002060"/>
                <w:sz w:val="18"/>
                <w:szCs w:val="18"/>
                <w:lang w:val="en-GB"/>
              </w:rPr>
              <w:t xml:space="preserve">The Professional </w:t>
            </w:r>
            <w:r w:rsidR="00FF0E0F">
              <w:rPr>
                <w:rFonts w:ascii="Verdana" w:hAnsi="Verdana"/>
                <w:b w:val="0"/>
                <w:bCs w:val="0"/>
                <w:i/>
                <w:iCs/>
                <w:color w:val="002060"/>
                <w:sz w:val="18"/>
                <w:szCs w:val="18"/>
                <w:lang w:val="en-GB"/>
              </w:rPr>
              <w:t>Performance</w:t>
            </w:r>
          </w:p>
        </w:tc>
      </w:tr>
      <w:tr w:rsidR="009F21F5" w:rsidRPr="00293E99" w14:paraId="51CA5508" w14:textId="77777777" w:rsidTr="001617F7">
        <w:tc>
          <w:tcPr>
            <w:tcW w:w="9498" w:type="dxa"/>
          </w:tcPr>
          <w:p w14:paraId="711BC7BB" w14:textId="6C2D196D"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Article 1 of the Commercial Code also </w:t>
            </w:r>
            <w:r w:rsidR="00312E1D">
              <w:rPr>
                <w:rFonts w:ascii="Verdana" w:hAnsi="Verdana"/>
                <w:b w:val="0"/>
                <w:bCs w:val="0"/>
                <w:color w:val="000000" w:themeColor="text1"/>
                <w:sz w:val="18"/>
                <w:szCs w:val="18"/>
                <w:lang w:val="en-GB"/>
              </w:rPr>
              <w:t xml:space="preserve">requires </w:t>
            </w:r>
            <w:r w:rsidRPr="00293E99">
              <w:rPr>
                <w:rFonts w:ascii="Verdana" w:hAnsi="Verdana"/>
                <w:b w:val="0"/>
                <w:bCs w:val="0"/>
                <w:color w:val="000000" w:themeColor="text1"/>
                <w:sz w:val="18"/>
                <w:szCs w:val="18"/>
                <w:lang w:val="en-GB"/>
              </w:rPr>
              <w:t xml:space="preserve">that such acts </w:t>
            </w:r>
            <w:r w:rsidR="00312E1D">
              <w:rPr>
                <w:rFonts w:ascii="Verdana" w:hAnsi="Verdana"/>
                <w:b w:val="0"/>
                <w:bCs w:val="0"/>
                <w:color w:val="000000" w:themeColor="text1"/>
                <w:sz w:val="18"/>
                <w:szCs w:val="18"/>
                <w:lang w:val="en-GB"/>
              </w:rPr>
              <w:t xml:space="preserve">of commerce </w:t>
            </w:r>
            <w:r w:rsidRPr="00293E99">
              <w:rPr>
                <w:rFonts w:ascii="Verdana" w:hAnsi="Verdana"/>
                <w:b w:val="0"/>
                <w:bCs w:val="0"/>
                <w:color w:val="000000" w:themeColor="text1"/>
                <w:sz w:val="18"/>
                <w:szCs w:val="18"/>
                <w:lang w:val="en-GB"/>
              </w:rPr>
              <w:t>be carried out as a professional activity for their author. In this context, “profession” must be understood broadly as the habitual activity through which an economic actor pursues its object and, more generally, secures resources, without it being necessary to establish that such activity is the source of day-to-day subsistence.</w:t>
            </w:r>
          </w:p>
        </w:tc>
      </w:tr>
      <w:tr w:rsidR="009F21F5" w:rsidRPr="00293E99" w14:paraId="20F6A5D4" w14:textId="77777777" w:rsidTr="001617F7">
        <w:tc>
          <w:tcPr>
            <w:tcW w:w="9498" w:type="dxa"/>
          </w:tcPr>
          <w:p w14:paraId="3248767F" w14:textId="6109B7CB" w:rsidR="00312E1D" w:rsidRPr="00312E1D" w:rsidRDefault="009F21F5" w:rsidP="00312E1D">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The notion of professional activity further presupposes a minimum </w:t>
            </w:r>
            <w:r w:rsidR="00312E1D">
              <w:rPr>
                <w:rFonts w:ascii="Verdana" w:hAnsi="Verdana"/>
                <w:b w:val="0"/>
                <w:bCs w:val="0"/>
                <w:color w:val="000000" w:themeColor="text1"/>
                <w:sz w:val="18"/>
                <w:szCs w:val="18"/>
                <w:lang w:val="en-GB"/>
              </w:rPr>
              <w:t>level</w:t>
            </w:r>
            <w:r w:rsidRPr="00293E99">
              <w:rPr>
                <w:rFonts w:ascii="Verdana" w:hAnsi="Verdana"/>
                <w:b w:val="0"/>
                <w:bCs w:val="0"/>
                <w:color w:val="000000" w:themeColor="text1"/>
                <w:sz w:val="18"/>
                <w:szCs w:val="18"/>
                <w:lang w:val="en-GB"/>
              </w:rPr>
              <w:t xml:space="preserve"> of organisation and infrastructure. This requirement is reflected,</w:t>
            </w:r>
            <w:r w:rsidRPr="00312E1D">
              <w:rPr>
                <w:rFonts w:ascii="Verdana" w:hAnsi="Verdana"/>
                <w:b w:val="0"/>
                <w:bCs w:val="0"/>
                <w:i/>
                <w:iCs/>
                <w:color w:val="000000" w:themeColor="text1"/>
                <w:sz w:val="18"/>
                <w:szCs w:val="18"/>
                <w:lang w:val="en-GB"/>
              </w:rPr>
              <w:t xml:space="preserve"> i</w:t>
            </w:r>
            <w:r w:rsidR="00312E1D" w:rsidRPr="00312E1D">
              <w:rPr>
                <w:rFonts w:ascii="Verdana" w:hAnsi="Verdana"/>
                <w:b w:val="0"/>
                <w:bCs w:val="0"/>
                <w:i/>
                <w:iCs/>
                <w:color w:val="000000" w:themeColor="text1"/>
                <w:sz w:val="18"/>
                <w:szCs w:val="18"/>
                <w:lang w:val="en-GB"/>
              </w:rPr>
              <w:t>nter alia</w:t>
            </w:r>
            <w:r w:rsidRPr="00293E99">
              <w:rPr>
                <w:rFonts w:ascii="Verdana" w:hAnsi="Verdana"/>
                <w:b w:val="0"/>
                <w:bCs w:val="0"/>
                <w:color w:val="000000" w:themeColor="text1"/>
                <w:sz w:val="18"/>
                <w:szCs w:val="18"/>
                <w:lang w:val="en-GB"/>
              </w:rPr>
              <w:t>, in Article 2 of the Commercial Code, which</w:t>
            </w:r>
            <w:r w:rsidR="00312E1D">
              <w:rPr>
                <w:rFonts w:ascii="Verdana" w:hAnsi="Verdana"/>
                <w:b w:val="0"/>
                <w:bCs w:val="0"/>
                <w:color w:val="000000" w:themeColor="text1"/>
                <w:sz w:val="18"/>
                <w:szCs w:val="18"/>
                <w:lang w:val="en-GB"/>
              </w:rPr>
              <w:t>,</w:t>
            </w:r>
            <w:r w:rsidRPr="00293E99">
              <w:rPr>
                <w:rFonts w:ascii="Verdana" w:hAnsi="Verdana"/>
                <w:b w:val="0"/>
                <w:bCs w:val="0"/>
                <w:color w:val="000000" w:themeColor="text1"/>
                <w:sz w:val="18"/>
                <w:szCs w:val="18"/>
                <w:lang w:val="en-GB"/>
              </w:rPr>
              <w:t xml:space="preserve"> for certain acts </w:t>
            </w:r>
            <w:r w:rsidR="00312E1D">
              <w:rPr>
                <w:rFonts w:ascii="Verdana" w:hAnsi="Verdana"/>
                <w:b w:val="0"/>
                <w:bCs w:val="0"/>
                <w:color w:val="000000" w:themeColor="text1"/>
                <w:sz w:val="18"/>
                <w:szCs w:val="18"/>
                <w:lang w:val="en-GB"/>
              </w:rPr>
              <w:t xml:space="preserve">of commerce, </w:t>
            </w:r>
            <w:r w:rsidRPr="00293E99">
              <w:rPr>
                <w:rFonts w:ascii="Verdana" w:hAnsi="Verdana"/>
                <w:b w:val="0"/>
                <w:bCs w:val="0"/>
                <w:color w:val="000000" w:themeColor="text1"/>
                <w:sz w:val="18"/>
                <w:szCs w:val="18"/>
                <w:lang w:val="en-GB"/>
              </w:rPr>
              <w:t>refers to their exercise “</w:t>
            </w:r>
            <w:r w:rsidRPr="00293E99">
              <w:rPr>
                <w:rFonts w:ascii="Verdana" w:hAnsi="Verdana"/>
                <w:b w:val="0"/>
                <w:bCs w:val="0"/>
                <w:i/>
                <w:iCs/>
                <w:color w:val="000000" w:themeColor="text1"/>
                <w:sz w:val="18"/>
                <w:szCs w:val="18"/>
                <w:lang w:val="en-GB"/>
              </w:rPr>
              <w:t xml:space="preserve">en </w:t>
            </w:r>
            <w:proofErr w:type="spellStart"/>
            <w:r w:rsidRPr="00293E99">
              <w:rPr>
                <w:rFonts w:ascii="Verdana" w:hAnsi="Verdana"/>
                <w:b w:val="0"/>
                <w:bCs w:val="0"/>
                <w:i/>
                <w:iCs/>
                <w:color w:val="000000" w:themeColor="text1"/>
                <w:sz w:val="18"/>
                <w:szCs w:val="18"/>
                <w:lang w:val="en-GB"/>
              </w:rPr>
              <w:t>entreprise</w:t>
            </w:r>
            <w:proofErr w:type="spellEnd"/>
            <w:r w:rsidRPr="00293E99">
              <w:rPr>
                <w:rFonts w:ascii="Verdana" w:hAnsi="Verdana"/>
                <w:b w:val="0"/>
                <w:bCs w:val="0"/>
                <w:color w:val="000000" w:themeColor="text1"/>
                <w:sz w:val="18"/>
                <w:szCs w:val="18"/>
                <w:lang w:val="en-GB"/>
              </w:rPr>
              <w:t xml:space="preserve">”, thereby pointing to an activity which may be conducted through coordinated means, </w:t>
            </w:r>
            <w:r w:rsidR="00312E1D">
              <w:rPr>
                <w:rFonts w:ascii="Verdana" w:hAnsi="Verdana"/>
                <w:b w:val="0"/>
                <w:bCs w:val="0"/>
                <w:color w:val="000000" w:themeColor="text1"/>
                <w:sz w:val="18"/>
                <w:szCs w:val="18"/>
                <w:lang w:val="en-GB"/>
              </w:rPr>
              <w:t xml:space="preserve">structured </w:t>
            </w:r>
            <w:r w:rsidRPr="00293E99">
              <w:rPr>
                <w:rFonts w:ascii="Verdana" w:hAnsi="Verdana"/>
                <w:b w:val="0"/>
                <w:bCs w:val="0"/>
                <w:color w:val="000000" w:themeColor="text1"/>
                <w:sz w:val="18"/>
                <w:szCs w:val="18"/>
                <w:lang w:val="en-GB"/>
              </w:rPr>
              <w:t xml:space="preserve">processes, and/or </w:t>
            </w:r>
            <w:r w:rsidR="00312E1D">
              <w:rPr>
                <w:rFonts w:ascii="Verdana" w:hAnsi="Verdana"/>
                <w:b w:val="0"/>
                <w:bCs w:val="0"/>
                <w:color w:val="000000" w:themeColor="text1"/>
                <w:sz w:val="18"/>
                <w:szCs w:val="18"/>
                <w:lang w:val="en-GB"/>
              </w:rPr>
              <w:lastRenderedPageBreak/>
              <w:t xml:space="preserve">organised </w:t>
            </w:r>
            <w:r w:rsidRPr="00293E99">
              <w:rPr>
                <w:rFonts w:ascii="Verdana" w:hAnsi="Verdana"/>
                <w:b w:val="0"/>
                <w:bCs w:val="0"/>
                <w:color w:val="000000" w:themeColor="text1"/>
                <w:sz w:val="18"/>
                <w:szCs w:val="18"/>
                <w:lang w:val="en-GB"/>
              </w:rPr>
              <w:t>decision-making.</w:t>
            </w:r>
            <w:r w:rsidR="00312E1D">
              <w:rPr>
                <w:rFonts w:ascii="Verdana" w:hAnsi="Verdana"/>
                <w:b w:val="0"/>
                <w:bCs w:val="0"/>
                <w:color w:val="000000" w:themeColor="text1"/>
                <w:sz w:val="18"/>
                <w:szCs w:val="18"/>
                <w:lang w:val="en-GB"/>
              </w:rPr>
              <w:t xml:space="preserve"> </w:t>
            </w:r>
            <w:r w:rsidR="00312E1D" w:rsidRPr="00312E1D">
              <w:rPr>
                <w:rFonts w:ascii="Verdana" w:hAnsi="Verdana"/>
                <w:b w:val="0"/>
                <w:bCs w:val="0"/>
                <w:color w:val="000000" w:themeColor="text1"/>
                <w:sz w:val="18"/>
                <w:szCs w:val="18"/>
                <w:lang w:val="en-GB"/>
              </w:rPr>
              <w:t>What is decisive is not the scale of the organisation, but the fact that acts of commerce are performed within a coherent operational framework, as opposed to being isolated, occasional, or purely private in nature.</w:t>
            </w:r>
          </w:p>
        </w:tc>
      </w:tr>
      <w:tr w:rsidR="009F21F5" w:rsidRPr="00293E99" w14:paraId="34FEF4B8" w14:textId="77777777" w:rsidTr="001617F7">
        <w:tc>
          <w:tcPr>
            <w:tcW w:w="9498" w:type="dxa"/>
          </w:tcPr>
          <w:p w14:paraId="2AD47E53" w14:textId="0DF48470"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lastRenderedPageBreak/>
              <w:t xml:space="preserve">These characteristics are typically present in a </w:t>
            </w:r>
            <w:r w:rsidR="00312E1D">
              <w:rPr>
                <w:rFonts w:ascii="Verdana" w:hAnsi="Verdana"/>
                <w:b w:val="0"/>
                <w:bCs w:val="0"/>
                <w:color w:val="000000" w:themeColor="text1"/>
                <w:sz w:val="18"/>
                <w:szCs w:val="18"/>
                <w:lang w:val="en-GB"/>
              </w:rPr>
              <w:t>SIF</w:t>
            </w:r>
            <w:r w:rsidRPr="00293E99">
              <w:rPr>
                <w:rFonts w:ascii="Verdana" w:hAnsi="Verdana"/>
                <w:b w:val="0"/>
                <w:bCs w:val="0"/>
                <w:color w:val="000000" w:themeColor="text1"/>
                <w:sz w:val="18"/>
                <w:szCs w:val="18"/>
                <w:lang w:val="en-GB"/>
              </w:rPr>
              <w:t xml:space="preserve"> compartment </w:t>
            </w:r>
            <w:r w:rsidR="00312E1D">
              <w:rPr>
                <w:rFonts w:ascii="Verdana" w:hAnsi="Verdana"/>
                <w:b w:val="0"/>
                <w:bCs w:val="0"/>
                <w:color w:val="000000" w:themeColor="text1"/>
                <w:sz w:val="18"/>
                <w:szCs w:val="18"/>
                <w:lang w:val="en-GB"/>
              </w:rPr>
              <w:t xml:space="preserve">namely when </w:t>
            </w:r>
            <w:r w:rsidRPr="00293E99">
              <w:rPr>
                <w:rFonts w:ascii="Verdana" w:hAnsi="Verdana"/>
                <w:b w:val="0"/>
                <w:bCs w:val="0"/>
                <w:color w:val="000000" w:themeColor="text1"/>
                <w:sz w:val="18"/>
                <w:szCs w:val="18"/>
                <w:lang w:val="en-GB"/>
              </w:rPr>
              <w:t>pursuing a private equity strategy. Such a compartment is established precisely to implement an investment policy consisting in the systematic sourcing, acquisition, structuring, governance, and disposal of equity participations in unlisted companies. The activity is ordinarily conducted pursuant to pre-defined parameters (investment thesis, sector focus, concentration limits, leverage policy, holding period, exit strategy), and executed through organised processes (deal origination, due diligence, valuation, investment committee approval</w:t>
            </w:r>
            <w:r w:rsidR="00312E1D">
              <w:rPr>
                <w:rFonts w:ascii="Verdana" w:hAnsi="Verdana"/>
                <w:b w:val="0"/>
                <w:bCs w:val="0"/>
                <w:color w:val="000000" w:themeColor="text1"/>
                <w:sz w:val="18"/>
                <w:szCs w:val="18"/>
                <w:lang w:val="en-GB"/>
              </w:rPr>
              <w:t xml:space="preserve"> at the level of the investment advisor and the alternative investment fund manager</w:t>
            </w:r>
            <w:r w:rsidRPr="00293E99">
              <w:rPr>
                <w:rFonts w:ascii="Verdana" w:hAnsi="Verdana"/>
                <w:b w:val="0"/>
                <w:bCs w:val="0"/>
                <w:color w:val="000000" w:themeColor="text1"/>
                <w:sz w:val="18"/>
                <w:szCs w:val="18"/>
                <w:lang w:val="en-GB"/>
              </w:rPr>
              <w:t>, documentation and closing, post-acquisition monitoring, value-creation plans, and exit execution). This operational architecture evidences the level of coordination and infrastructure that characterises a professional activity in the commercial</w:t>
            </w:r>
            <w:r w:rsidR="00312E1D">
              <w:rPr>
                <w:rFonts w:ascii="Verdana" w:hAnsi="Verdana"/>
                <w:b w:val="0"/>
                <w:bCs w:val="0"/>
                <w:color w:val="000000" w:themeColor="text1"/>
                <w:sz w:val="18"/>
                <w:szCs w:val="18"/>
                <w:lang w:val="en-GB"/>
              </w:rPr>
              <w:t xml:space="preserve"> </w:t>
            </w:r>
            <w:r w:rsidRPr="00293E99">
              <w:rPr>
                <w:rFonts w:ascii="Verdana" w:hAnsi="Verdana"/>
                <w:b w:val="0"/>
                <w:bCs w:val="0"/>
                <w:color w:val="000000" w:themeColor="text1"/>
                <w:sz w:val="18"/>
                <w:szCs w:val="18"/>
                <w:lang w:val="en-GB"/>
              </w:rPr>
              <w:t>law sense.</w:t>
            </w:r>
          </w:p>
        </w:tc>
      </w:tr>
      <w:tr w:rsidR="009F21F5" w:rsidRPr="00293E99" w14:paraId="702A2117" w14:textId="77777777" w:rsidTr="001617F7">
        <w:tc>
          <w:tcPr>
            <w:tcW w:w="9498" w:type="dxa"/>
          </w:tcPr>
          <w:p w14:paraId="6373E521" w14:textId="72961B3D"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Moreover, the requirement that the activity be real and effective is satisfied. A private-equity compartment, once launched and invested, does not merely announce a project; it executes transactions, assumes risk, and engages in ongoing portfolio management. Its activity is therefore actual rather than fictitious, and continuous rather than episodic, throughout the investment period, holding phase and divestment season. In other words, the compartment’s commercial activity is not an appearance created by documentation or regulatory filings (where applicable), but a concrete economic practice reflected in acquisitions, governance decisions, restructurings, financings, and disposals.</w:t>
            </w:r>
          </w:p>
        </w:tc>
      </w:tr>
      <w:tr w:rsidR="009F21F5" w:rsidRPr="00293E99" w14:paraId="63886DE1" w14:textId="77777777" w:rsidTr="001617F7">
        <w:tc>
          <w:tcPr>
            <w:tcW w:w="9498" w:type="dxa"/>
          </w:tcPr>
          <w:p w14:paraId="29C0C669" w14:textId="4F69061B"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Finally, it is important to distinguish between indicia and constitutive elements. Neither registration with the trade and companies register </w:t>
            </w:r>
            <w:r w:rsidR="009F1AED">
              <w:rPr>
                <w:rFonts w:ascii="Verdana" w:hAnsi="Verdana"/>
                <w:b w:val="0"/>
                <w:bCs w:val="0"/>
                <w:color w:val="000000" w:themeColor="text1"/>
                <w:sz w:val="18"/>
                <w:szCs w:val="18"/>
                <w:lang w:val="en-GB"/>
              </w:rPr>
              <w:t xml:space="preserve">(which does not apply to compartments) </w:t>
            </w:r>
            <w:r w:rsidRPr="00293E99">
              <w:rPr>
                <w:rFonts w:ascii="Verdana" w:hAnsi="Verdana"/>
                <w:b w:val="0"/>
                <w:bCs w:val="0"/>
                <w:color w:val="000000" w:themeColor="text1"/>
                <w:sz w:val="18"/>
                <w:szCs w:val="18"/>
                <w:lang w:val="en-GB"/>
              </w:rPr>
              <w:t xml:space="preserve">nor the holding of an establishment authorisation </w:t>
            </w:r>
            <w:r w:rsidR="009F1AED">
              <w:rPr>
                <w:rFonts w:ascii="Verdana" w:hAnsi="Verdana"/>
                <w:b w:val="0"/>
                <w:bCs w:val="0"/>
                <w:color w:val="000000" w:themeColor="text1"/>
                <w:sz w:val="18"/>
                <w:szCs w:val="18"/>
                <w:lang w:val="en-GB"/>
              </w:rPr>
              <w:t xml:space="preserve">(which does not apply to investment funds and their compartments) </w:t>
            </w:r>
            <w:r w:rsidRPr="00293E99">
              <w:rPr>
                <w:rFonts w:ascii="Verdana" w:hAnsi="Verdana"/>
                <w:b w:val="0"/>
                <w:bCs w:val="0"/>
                <w:color w:val="000000" w:themeColor="text1"/>
                <w:sz w:val="18"/>
                <w:szCs w:val="18"/>
                <w:lang w:val="en-GB"/>
              </w:rPr>
              <w:t>determines merchant status.</w:t>
            </w:r>
            <w:r w:rsidR="009F1AED">
              <w:rPr>
                <w:rFonts w:ascii="Verdana" w:hAnsi="Verdana"/>
                <w:b w:val="0"/>
                <w:bCs w:val="0"/>
                <w:color w:val="000000" w:themeColor="text1"/>
                <w:sz w:val="18"/>
                <w:szCs w:val="18"/>
                <w:lang w:val="en-GB"/>
              </w:rPr>
              <w:t xml:space="preserve"> T</w:t>
            </w:r>
            <w:r w:rsidRPr="00293E99">
              <w:rPr>
                <w:rFonts w:ascii="Verdana" w:hAnsi="Verdana"/>
                <w:b w:val="0"/>
                <w:bCs w:val="0"/>
                <w:color w:val="000000" w:themeColor="text1"/>
                <w:sz w:val="18"/>
                <w:szCs w:val="18"/>
                <w:lang w:val="en-GB"/>
              </w:rPr>
              <w:t>he absence of such formal indicia does not prevent the recognition that a given activity is, in substance, the professional exercise of acts of commerce. Applied to private equity compartments, this distinction supports focusing the analysis on the reality and organisation of the activity itself: where the compartment is the dedicated vehicle through which a structured private equity strategy is implemented as a habitual economic undertaking, it is difficult to deny that acts of commerce are being exercised professionally.</w:t>
            </w:r>
          </w:p>
        </w:tc>
      </w:tr>
      <w:tr w:rsidR="009F21F5" w:rsidRPr="00293E99" w14:paraId="5358201C" w14:textId="77777777" w:rsidTr="001617F7">
        <w:tc>
          <w:tcPr>
            <w:tcW w:w="9498" w:type="dxa"/>
          </w:tcPr>
          <w:p w14:paraId="6124943F" w14:textId="6F5775FD" w:rsidR="009F21F5" w:rsidRPr="00293E99" w:rsidRDefault="00FF0E0F" w:rsidP="009F21F5">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Pr>
                <w:rFonts w:ascii="Verdana" w:hAnsi="Verdana"/>
                <w:b w:val="0"/>
                <w:bCs w:val="0"/>
                <w:i/>
                <w:iCs/>
                <w:color w:val="002060"/>
                <w:sz w:val="18"/>
                <w:szCs w:val="18"/>
                <w:lang w:val="en-GB"/>
              </w:rPr>
              <w:t xml:space="preserve">The </w:t>
            </w:r>
            <w:r w:rsidR="009F21F5" w:rsidRPr="00293E99">
              <w:rPr>
                <w:rFonts w:ascii="Verdana" w:hAnsi="Verdana"/>
                <w:b w:val="0"/>
                <w:bCs w:val="0"/>
                <w:i/>
                <w:iCs/>
                <w:color w:val="002060"/>
                <w:sz w:val="18"/>
                <w:szCs w:val="18"/>
                <w:lang w:val="en-GB"/>
              </w:rPr>
              <w:t xml:space="preserve">Adversarial Principle </w:t>
            </w:r>
            <w:r>
              <w:rPr>
                <w:rFonts w:ascii="Verdana" w:hAnsi="Verdana"/>
                <w:b w:val="0"/>
                <w:bCs w:val="0"/>
                <w:i/>
                <w:iCs/>
                <w:color w:val="002060"/>
                <w:sz w:val="18"/>
                <w:szCs w:val="18"/>
                <w:lang w:val="en-GB"/>
              </w:rPr>
              <w:t>as a Constraint on Ex Officio Legal Reasoning</w:t>
            </w:r>
          </w:p>
        </w:tc>
      </w:tr>
      <w:tr w:rsidR="009F1AED" w:rsidRPr="00293E99" w14:paraId="40FCBE79" w14:textId="77777777" w:rsidTr="001617F7">
        <w:tc>
          <w:tcPr>
            <w:tcW w:w="9498" w:type="dxa"/>
          </w:tcPr>
          <w:p w14:paraId="1FF97B52" w14:textId="7100BF80" w:rsidR="009F1AED" w:rsidRPr="00293E99" w:rsidRDefault="009F1AED"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9F1AED">
              <w:rPr>
                <w:rFonts w:ascii="Verdana" w:hAnsi="Verdana"/>
                <w:b w:val="0"/>
                <w:bCs w:val="0"/>
                <w:color w:val="000000" w:themeColor="text1"/>
                <w:sz w:val="18"/>
                <w:szCs w:val="18"/>
                <w:lang w:val="en-GB"/>
              </w:rPr>
              <w:t>The foregoing analysis demonstrates that, from a purely substantive perspective, arguments could be advanced both in favour of a broader reading of Article 47 of the SIF Act 2007 and in support of the qualification of certain compartments as merchants within the functional meaning of Article 1 of the Commercial Code. The absence of any engagement by the Court of Appeal with these lines of reasoning therefore calls for explanation. That explanation is not to be found in substantive insolvency law, but rather in the procedural constraints governing judicial decision-making under Luxembourg civil and commercial procedure.</w:t>
            </w:r>
          </w:p>
        </w:tc>
      </w:tr>
      <w:tr w:rsidR="009F21F5" w:rsidRPr="00293E99" w14:paraId="3227A3B5" w14:textId="77777777" w:rsidTr="001617F7">
        <w:tc>
          <w:tcPr>
            <w:tcW w:w="9498" w:type="dxa"/>
          </w:tcPr>
          <w:p w14:paraId="7E5230D0" w14:textId="725C5CF3"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Under Luxembourg civil and commercial procedural law, the prohibition on a judge founding a decision on legal grounds raised ex officio without first inviting the parties to comment is a direct and strict application of the </w:t>
            </w:r>
            <w:proofErr w:type="spellStart"/>
            <w:r w:rsidRPr="00BA28D3">
              <w:rPr>
                <w:rFonts w:ascii="Verdana" w:hAnsi="Verdana"/>
                <w:b w:val="0"/>
                <w:bCs w:val="0"/>
                <w:i/>
                <w:iCs/>
                <w:color w:val="000000" w:themeColor="text1"/>
                <w:sz w:val="18"/>
                <w:szCs w:val="18"/>
                <w:lang w:val="en-GB"/>
              </w:rPr>
              <w:t>principe</w:t>
            </w:r>
            <w:proofErr w:type="spellEnd"/>
            <w:r w:rsidRPr="00BA28D3">
              <w:rPr>
                <w:rFonts w:ascii="Verdana" w:hAnsi="Verdana"/>
                <w:b w:val="0"/>
                <w:bCs w:val="0"/>
                <w:i/>
                <w:iCs/>
                <w:color w:val="000000" w:themeColor="text1"/>
                <w:sz w:val="18"/>
                <w:szCs w:val="18"/>
                <w:lang w:val="en-GB"/>
              </w:rPr>
              <w:t xml:space="preserve"> du </w:t>
            </w:r>
            <w:proofErr w:type="spellStart"/>
            <w:r w:rsidRPr="00BA28D3">
              <w:rPr>
                <w:rFonts w:ascii="Verdana" w:hAnsi="Verdana"/>
                <w:b w:val="0"/>
                <w:bCs w:val="0"/>
                <w:i/>
                <w:iCs/>
                <w:color w:val="000000" w:themeColor="text1"/>
                <w:sz w:val="18"/>
                <w:szCs w:val="18"/>
                <w:lang w:val="en-GB"/>
              </w:rPr>
              <w:t>contradictoire</w:t>
            </w:r>
            <w:proofErr w:type="spellEnd"/>
            <w:r w:rsidRPr="00293E99">
              <w:rPr>
                <w:rFonts w:ascii="Verdana" w:hAnsi="Verdana"/>
                <w:b w:val="0"/>
                <w:bCs w:val="0"/>
                <w:color w:val="000000" w:themeColor="text1"/>
                <w:sz w:val="18"/>
                <w:szCs w:val="18"/>
                <w:lang w:val="en-GB"/>
              </w:rPr>
              <w:t xml:space="preserve"> set out in Article 65 of the New Code of Civil Procedure.</w:t>
            </w:r>
            <w:r w:rsidRPr="00293E99">
              <w:rPr>
                <w:rStyle w:val="FootnoteReference"/>
                <w:rFonts w:ascii="Verdana" w:hAnsi="Verdana"/>
                <w:b w:val="0"/>
                <w:bCs w:val="0"/>
                <w:color w:val="002060"/>
                <w:sz w:val="18"/>
                <w:szCs w:val="18"/>
                <w:lang w:val="en-GB"/>
              </w:rPr>
              <w:footnoteReference w:id="13"/>
            </w:r>
            <w:r w:rsidRPr="00293E99">
              <w:rPr>
                <w:rFonts w:ascii="Verdana" w:hAnsi="Verdana"/>
                <w:b w:val="0"/>
                <w:bCs w:val="0"/>
                <w:color w:val="000000" w:themeColor="text1"/>
                <w:sz w:val="18"/>
                <w:szCs w:val="18"/>
                <w:lang w:val="en-GB"/>
              </w:rPr>
              <w:t xml:space="preserve"> Although Luxembourg courts apply the maxim </w:t>
            </w:r>
            <w:proofErr w:type="spellStart"/>
            <w:r w:rsidRPr="00293E99">
              <w:rPr>
                <w:rFonts w:ascii="Verdana" w:hAnsi="Verdana"/>
                <w:b w:val="0"/>
                <w:bCs w:val="0"/>
                <w:i/>
                <w:iCs/>
                <w:color w:val="000000" w:themeColor="text1"/>
                <w:sz w:val="18"/>
                <w:szCs w:val="18"/>
                <w:lang w:val="en-GB"/>
              </w:rPr>
              <w:t>iura</w:t>
            </w:r>
            <w:proofErr w:type="spellEnd"/>
            <w:r w:rsidRPr="00293E99">
              <w:rPr>
                <w:rFonts w:ascii="Verdana" w:hAnsi="Verdana"/>
                <w:b w:val="0"/>
                <w:bCs w:val="0"/>
                <w:i/>
                <w:iCs/>
                <w:color w:val="000000" w:themeColor="text1"/>
                <w:sz w:val="18"/>
                <w:szCs w:val="18"/>
                <w:lang w:val="en-GB"/>
              </w:rPr>
              <w:t xml:space="preserve"> </w:t>
            </w:r>
            <w:proofErr w:type="spellStart"/>
            <w:r w:rsidRPr="00293E99">
              <w:rPr>
                <w:rFonts w:ascii="Verdana" w:hAnsi="Verdana"/>
                <w:b w:val="0"/>
                <w:bCs w:val="0"/>
                <w:i/>
                <w:iCs/>
                <w:color w:val="000000" w:themeColor="text1"/>
                <w:sz w:val="18"/>
                <w:szCs w:val="18"/>
                <w:lang w:val="en-GB"/>
              </w:rPr>
              <w:t>novit</w:t>
            </w:r>
            <w:proofErr w:type="spellEnd"/>
            <w:r w:rsidRPr="00293E99">
              <w:rPr>
                <w:rFonts w:ascii="Verdana" w:hAnsi="Verdana"/>
                <w:b w:val="0"/>
                <w:bCs w:val="0"/>
                <w:i/>
                <w:iCs/>
                <w:color w:val="000000" w:themeColor="text1"/>
                <w:sz w:val="18"/>
                <w:szCs w:val="18"/>
                <w:lang w:val="en-GB"/>
              </w:rPr>
              <w:t xml:space="preserve"> curia</w:t>
            </w:r>
            <w:r w:rsidRPr="00293E99">
              <w:rPr>
                <w:rFonts w:ascii="Verdana" w:hAnsi="Verdana"/>
                <w:b w:val="0"/>
                <w:bCs w:val="0"/>
                <w:color w:val="000000" w:themeColor="text1"/>
                <w:sz w:val="18"/>
                <w:szCs w:val="18"/>
                <w:lang w:val="en-GB"/>
              </w:rPr>
              <w:t>, this principle does not entitle a judge to surprise the parties by deciding the case on a legal basis that was neither invoked nor discussed during the proceedings.</w:t>
            </w:r>
          </w:p>
        </w:tc>
      </w:tr>
      <w:tr w:rsidR="009F1AED" w:rsidRPr="00293E99" w14:paraId="229EA8E7" w14:textId="77777777" w:rsidTr="001617F7">
        <w:tc>
          <w:tcPr>
            <w:tcW w:w="9498" w:type="dxa"/>
          </w:tcPr>
          <w:p w14:paraId="25936537" w14:textId="5C66C159" w:rsidR="009F1AED" w:rsidRPr="00293E99" w:rsidRDefault="009F1AED"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A judge may identify, on his or her own initiative, a legal rule, qualification, or ground that appears relevant to the dispute, but before relying on it in the reasoning or operative part of the judgment, the court must give the parties a genuine opportunity to submit observations on that point.</w:t>
            </w:r>
          </w:p>
        </w:tc>
      </w:tr>
      <w:tr w:rsidR="009F21F5" w:rsidRPr="00293E99" w14:paraId="211005D0" w14:textId="77777777" w:rsidTr="001617F7">
        <w:tc>
          <w:tcPr>
            <w:tcW w:w="9498" w:type="dxa"/>
          </w:tcPr>
          <w:p w14:paraId="2954460C" w14:textId="3B09573B" w:rsidR="009F21F5" w:rsidRPr="00293E99" w:rsidRDefault="009F21F5"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In practical terms, this obligation arises whenever the judge intends to rely on a legal characterisation, rule, or objection not pleaded by the parties, including matters such as </w:t>
            </w:r>
            <w:r w:rsidRPr="00293E99">
              <w:rPr>
                <w:rFonts w:ascii="Verdana" w:hAnsi="Verdana"/>
                <w:b w:val="0"/>
                <w:bCs w:val="0"/>
                <w:color w:val="000000" w:themeColor="text1"/>
                <w:sz w:val="18"/>
                <w:szCs w:val="18"/>
                <w:lang w:val="en-GB"/>
              </w:rPr>
              <w:lastRenderedPageBreak/>
              <w:t>requalification of the claim, issues of admissibility, prescription, lack of standing, absence of legal personality, or the application of public policy rules. The court must then ensure an adversarial debate,</w:t>
            </w:r>
            <w:r w:rsidRPr="00293E99">
              <w:rPr>
                <w:rStyle w:val="FootnoteReference"/>
                <w:rFonts w:ascii="Verdana" w:hAnsi="Verdana"/>
                <w:b w:val="0"/>
                <w:bCs w:val="0"/>
                <w:color w:val="002060"/>
                <w:sz w:val="18"/>
                <w:szCs w:val="18"/>
                <w:lang w:val="en-GB"/>
              </w:rPr>
              <w:footnoteReference w:id="14"/>
            </w:r>
            <w:r w:rsidRPr="00293E99">
              <w:rPr>
                <w:rFonts w:ascii="Verdana" w:hAnsi="Verdana"/>
                <w:b w:val="0"/>
                <w:bCs w:val="0"/>
                <w:color w:val="000000" w:themeColor="text1"/>
                <w:sz w:val="18"/>
                <w:szCs w:val="18"/>
                <w:lang w:val="en-GB"/>
              </w:rPr>
              <w:t xml:space="preserve"> whether by raising the issue at the hearing, inviting written submissions, or reopening the proceedings. If the court fails to do so, it breaches Article 65 of the New Code of Civil Procedure and the parties’ right to be heard, which may lead to the judgment being annulled or overturned on appeal.</w:t>
            </w:r>
          </w:p>
        </w:tc>
      </w:tr>
      <w:tr w:rsidR="00BB0D82" w:rsidRPr="00293E99" w14:paraId="33F0CAD2" w14:textId="77777777" w:rsidTr="001617F7">
        <w:tc>
          <w:tcPr>
            <w:tcW w:w="9498" w:type="dxa"/>
          </w:tcPr>
          <w:p w14:paraId="00A42374" w14:textId="00DF59CC" w:rsidR="00BB0D82" w:rsidRPr="00BB0D82" w:rsidRDefault="00BB0D82" w:rsidP="00BB0D82">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BB0D82">
              <w:rPr>
                <w:rFonts w:ascii="Verdana" w:hAnsi="Verdana"/>
                <w:b w:val="0"/>
                <w:bCs w:val="0"/>
                <w:color w:val="000000" w:themeColor="text1"/>
                <w:sz w:val="18"/>
                <w:szCs w:val="18"/>
                <w:lang w:val="en-GB"/>
              </w:rPr>
              <w:lastRenderedPageBreak/>
              <w:t xml:space="preserve">This procedural requirement operates as a concrete limitation on the scope of </w:t>
            </w:r>
            <w:proofErr w:type="spellStart"/>
            <w:r w:rsidRPr="00BB0D82">
              <w:rPr>
                <w:rFonts w:ascii="Verdana" w:hAnsi="Verdana"/>
                <w:b w:val="0"/>
                <w:bCs w:val="0"/>
                <w:i/>
                <w:iCs/>
                <w:color w:val="000000" w:themeColor="text1"/>
                <w:sz w:val="18"/>
                <w:szCs w:val="18"/>
                <w:lang w:val="en-GB"/>
              </w:rPr>
              <w:t>iura</w:t>
            </w:r>
            <w:proofErr w:type="spellEnd"/>
            <w:r w:rsidRPr="00BB0D82">
              <w:rPr>
                <w:rFonts w:ascii="Verdana" w:hAnsi="Verdana"/>
                <w:b w:val="0"/>
                <w:bCs w:val="0"/>
                <w:i/>
                <w:iCs/>
                <w:color w:val="000000" w:themeColor="text1"/>
                <w:sz w:val="18"/>
                <w:szCs w:val="18"/>
                <w:lang w:val="en-GB"/>
              </w:rPr>
              <w:t xml:space="preserve"> </w:t>
            </w:r>
            <w:proofErr w:type="spellStart"/>
            <w:r w:rsidRPr="00BB0D82">
              <w:rPr>
                <w:rFonts w:ascii="Verdana" w:hAnsi="Verdana"/>
                <w:b w:val="0"/>
                <w:bCs w:val="0"/>
                <w:i/>
                <w:iCs/>
                <w:color w:val="000000" w:themeColor="text1"/>
                <w:sz w:val="18"/>
                <w:szCs w:val="18"/>
                <w:lang w:val="en-GB"/>
              </w:rPr>
              <w:t>novit</w:t>
            </w:r>
            <w:proofErr w:type="spellEnd"/>
            <w:r w:rsidRPr="00BB0D82">
              <w:rPr>
                <w:rFonts w:ascii="Verdana" w:hAnsi="Verdana"/>
                <w:b w:val="0"/>
                <w:bCs w:val="0"/>
                <w:i/>
                <w:iCs/>
                <w:color w:val="000000" w:themeColor="text1"/>
                <w:sz w:val="18"/>
                <w:szCs w:val="18"/>
                <w:lang w:val="en-GB"/>
              </w:rPr>
              <w:t xml:space="preserve"> curia </w:t>
            </w:r>
            <w:r w:rsidRPr="00BB0D82">
              <w:rPr>
                <w:rFonts w:ascii="Verdana" w:hAnsi="Verdana"/>
                <w:b w:val="0"/>
                <w:bCs w:val="0"/>
                <w:color w:val="000000" w:themeColor="text1"/>
                <w:sz w:val="18"/>
                <w:szCs w:val="18"/>
                <w:lang w:val="en-GB"/>
              </w:rPr>
              <w:t>in the present context. Although the judge is responsible for determining the applicable law, that responsibility is conditioned by strict respect for the adversarial process. The court may not substitute its own unargued legal theory for that of the parties, even if such a theory could appear doctrinally plausible or legally innovative.</w:t>
            </w:r>
          </w:p>
        </w:tc>
      </w:tr>
      <w:tr w:rsidR="009F21F5" w:rsidRPr="00293E99" w14:paraId="1C1251BE" w14:textId="77777777" w:rsidTr="001617F7">
        <w:tc>
          <w:tcPr>
            <w:tcW w:w="9498" w:type="dxa"/>
          </w:tcPr>
          <w:p w14:paraId="069BA4EA" w14:textId="05C7A3C3" w:rsidR="00BB0D82" w:rsidRPr="00293E99" w:rsidRDefault="00BB0D82"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BB0D82">
              <w:rPr>
                <w:rFonts w:ascii="Verdana" w:hAnsi="Verdana"/>
                <w:b w:val="0"/>
                <w:bCs w:val="0"/>
                <w:color w:val="000000" w:themeColor="text1"/>
                <w:sz w:val="18"/>
                <w:szCs w:val="18"/>
                <w:lang w:val="en-GB"/>
              </w:rPr>
              <w:t xml:space="preserve">Applied to </w:t>
            </w:r>
            <w:r>
              <w:rPr>
                <w:rFonts w:ascii="Verdana" w:hAnsi="Verdana"/>
                <w:b w:val="0"/>
                <w:bCs w:val="0"/>
                <w:color w:val="000000" w:themeColor="text1"/>
                <w:sz w:val="18"/>
                <w:szCs w:val="18"/>
                <w:lang w:val="en-GB"/>
              </w:rPr>
              <w:t>R</w:t>
            </w:r>
            <w:r w:rsidRPr="00BB0D82">
              <w:rPr>
                <w:rFonts w:ascii="Verdana" w:hAnsi="Verdana"/>
                <w:b w:val="0"/>
                <w:bCs w:val="0"/>
                <w:color w:val="000000" w:themeColor="text1"/>
                <w:sz w:val="18"/>
                <w:szCs w:val="18"/>
                <w:lang w:val="en-GB"/>
              </w:rPr>
              <w:t xml:space="preserve">uling 186/25, this </w:t>
            </w:r>
            <w:r>
              <w:rPr>
                <w:rFonts w:ascii="Verdana" w:hAnsi="Verdana"/>
                <w:b w:val="0"/>
                <w:bCs w:val="0"/>
                <w:color w:val="000000" w:themeColor="text1"/>
                <w:sz w:val="18"/>
                <w:szCs w:val="18"/>
                <w:lang w:val="en-GB"/>
              </w:rPr>
              <w:t xml:space="preserve">would </w:t>
            </w:r>
            <w:r w:rsidRPr="00BB0D82">
              <w:rPr>
                <w:rFonts w:ascii="Verdana" w:hAnsi="Verdana"/>
                <w:b w:val="0"/>
                <w:bCs w:val="0"/>
                <w:color w:val="000000" w:themeColor="text1"/>
                <w:sz w:val="18"/>
                <w:szCs w:val="18"/>
                <w:lang w:val="en-GB"/>
              </w:rPr>
              <w:t xml:space="preserve">explain why the Court of Appeal did not itself develop arguments based either on Article 47 of the SIF Act 2007 as an alleged alternative legal basis for bankruptcy, or on the qualification of a compartment as a merchant within the meaning of Article 440 of the Commercial Code. For the court to reach such conclusions, it would have been necessary for the liquidator to demonstrate, through adversarial debate, either that (i) a compartment qualifies as a merchant notwithstanding the absence of legal personality, or that legal personality is not a prerequisite for the application of Article 440, or (ii) a specific statutory provision, such as Article 47 of the SIF Act 2007, expressly provides for the possibility of declaring a compartment bankrupt </w:t>
            </w:r>
            <w:r>
              <w:rPr>
                <w:rFonts w:ascii="Verdana" w:hAnsi="Verdana"/>
                <w:b w:val="0"/>
                <w:bCs w:val="0"/>
                <w:color w:val="000000" w:themeColor="text1"/>
                <w:sz w:val="18"/>
                <w:szCs w:val="18"/>
                <w:lang w:val="en-GB"/>
              </w:rPr>
              <w:t>as part of the</w:t>
            </w:r>
            <w:r w:rsidRPr="00BB0D82">
              <w:rPr>
                <w:rFonts w:ascii="Verdana" w:hAnsi="Verdana"/>
                <w:b w:val="0"/>
                <w:bCs w:val="0"/>
                <w:color w:val="000000" w:themeColor="text1"/>
                <w:sz w:val="18"/>
                <w:szCs w:val="18"/>
                <w:lang w:val="en-GB"/>
              </w:rPr>
              <w:t xml:space="preserve"> judicial liquidation</w:t>
            </w:r>
            <w:r>
              <w:rPr>
                <w:rFonts w:ascii="Verdana" w:hAnsi="Verdana"/>
                <w:b w:val="0"/>
                <w:bCs w:val="0"/>
                <w:color w:val="000000" w:themeColor="text1"/>
                <w:sz w:val="18"/>
                <w:szCs w:val="18"/>
                <w:lang w:val="en-GB"/>
              </w:rPr>
              <w:t xml:space="preserve"> procedure</w:t>
            </w:r>
            <w:r w:rsidRPr="00BB0D82">
              <w:rPr>
                <w:rFonts w:ascii="Verdana" w:hAnsi="Verdana"/>
                <w:b w:val="0"/>
                <w:bCs w:val="0"/>
                <w:color w:val="000000" w:themeColor="text1"/>
                <w:sz w:val="18"/>
                <w:szCs w:val="18"/>
                <w:lang w:val="en-GB"/>
              </w:rPr>
              <w:t>.</w:t>
            </w:r>
          </w:p>
        </w:tc>
      </w:tr>
      <w:tr w:rsidR="009F21F5" w:rsidRPr="00293E99" w14:paraId="5C47804B" w14:textId="77777777" w:rsidTr="001617F7">
        <w:tc>
          <w:tcPr>
            <w:tcW w:w="9498" w:type="dxa"/>
          </w:tcPr>
          <w:p w14:paraId="049B7E43" w14:textId="32753516" w:rsidR="00BB0D82" w:rsidRPr="00BB0D82" w:rsidRDefault="009F21F5" w:rsidP="00BB0D82">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293E99">
              <w:rPr>
                <w:rFonts w:ascii="Verdana" w:hAnsi="Verdana"/>
                <w:b w:val="0"/>
                <w:bCs w:val="0"/>
                <w:color w:val="000000" w:themeColor="text1"/>
                <w:sz w:val="18"/>
                <w:szCs w:val="18"/>
                <w:lang w:val="en-GB"/>
              </w:rPr>
              <w:t xml:space="preserve">In the absence of such arguments having been raised and </w:t>
            </w:r>
            <w:r w:rsidR="00BB0D82">
              <w:rPr>
                <w:rFonts w:ascii="Verdana" w:hAnsi="Verdana"/>
                <w:b w:val="0"/>
                <w:bCs w:val="0"/>
                <w:color w:val="000000" w:themeColor="text1"/>
                <w:sz w:val="18"/>
                <w:szCs w:val="18"/>
                <w:lang w:val="en-GB"/>
              </w:rPr>
              <w:t>developed</w:t>
            </w:r>
            <w:r w:rsidRPr="00293E99">
              <w:rPr>
                <w:rFonts w:ascii="Verdana" w:hAnsi="Verdana"/>
                <w:b w:val="0"/>
                <w:bCs w:val="0"/>
                <w:color w:val="000000" w:themeColor="text1"/>
                <w:sz w:val="18"/>
                <w:szCs w:val="18"/>
                <w:lang w:val="en-GB"/>
              </w:rPr>
              <w:t xml:space="preserve">, the court was </w:t>
            </w:r>
            <w:r w:rsidR="00BB0D82">
              <w:rPr>
                <w:rFonts w:ascii="Verdana" w:hAnsi="Verdana"/>
                <w:b w:val="0"/>
                <w:bCs w:val="0"/>
                <w:color w:val="000000" w:themeColor="text1"/>
                <w:sz w:val="18"/>
                <w:szCs w:val="18"/>
                <w:lang w:val="en-GB"/>
              </w:rPr>
              <w:t>procedurally barred</w:t>
            </w:r>
            <w:r w:rsidRPr="00293E99">
              <w:rPr>
                <w:rFonts w:ascii="Verdana" w:hAnsi="Verdana"/>
                <w:b w:val="0"/>
                <w:bCs w:val="0"/>
                <w:color w:val="000000" w:themeColor="text1"/>
                <w:sz w:val="18"/>
                <w:szCs w:val="18"/>
                <w:lang w:val="en-GB"/>
              </w:rPr>
              <w:t xml:space="preserve"> by Article 65 of the New Code of Civil Procedure from substituting its own legal reasoning for that of the parties, and from grounding its decision on legal bases that had not been subjected to contradiction</w:t>
            </w:r>
            <w:r w:rsidR="00BB0D82">
              <w:rPr>
                <w:rFonts w:ascii="Verdana" w:hAnsi="Verdana"/>
                <w:b w:val="0"/>
                <w:bCs w:val="0"/>
                <w:color w:val="000000" w:themeColor="text1"/>
                <w:sz w:val="18"/>
                <w:szCs w:val="18"/>
                <w:lang w:val="en-GB"/>
              </w:rPr>
              <w:t xml:space="preserve">, </w:t>
            </w:r>
            <w:r w:rsidR="00BB0D82" w:rsidRPr="00BB0D82">
              <w:rPr>
                <w:rFonts w:ascii="Verdana" w:hAnsi="Verdana"/>
                <w:b w:val="0"/>
                <w:bCs w:val="0"/>
                <w:color w:val="000000" w:themeColor="text1"/>
                <w:sz w:val="18"/>
                <w:szCs w:val="18"/>
                <w:lang w:val="en-GB"/>
              </w:rPr>
              <w:t>even if those bases could</w:t>
            </w:r>
            <w:r w:rsidR="00BB0D82">
              <w:rPr>
                <w:rFonts w:ascii="Verdana" w:hAnsi="Verdana"/>
                <w:b w:val="0"/>
                <w:bCs w:val="0"/>
                <w:color w:val="000000" w:themeColor="text1"/>
                <w:sz w:val="18"/>
                <w:szCs w:val="18"/>
                <w:lang w:val="en-GB"/>
              </w:rPr>
              <w:t>/should</w:t>
            </w:r>
            <w:r w:rsidR="00BB0D82" w:rsidRPr="00BB0D82">
              <w:rPr>
                <w:rFonts w:ascii="Verdana" w:hAnsi="Verdana"/>
                <w:b w:val="0"/>
                <w:bCs w:val="0"/>
                <w:color w:val="000000" w:themeColor="text1"/>
                <w:sz w:val="18"/>
                <w:szCs w:val="18"/>
                <w:lang w:val="en-GB"/>
              </w:rPr>
              <w:t xml:space="preserve"> have been explored. The restraint shown by the Court in </w:t>
            </w:r>
            <w:r w:rsidR="00BB0D82">
              <w:rPr>
                <w:rFonts w:ascii="Verdana" w:hAnsi="Verdana"/>
                <w:b w:val="0"/>
                <w:bCs w:val="0"/>
                <w:color w:val="000000" w:themeColor="text1"/>
                <w:sz w:val="18"/>
                <w:szCs w:val="18"/>
                <w:lang w:val="en-GB"/>
              </w:rPr>
              <w:t>R</w:t>
            </w:r>
            <w:r w:rsidR="00BB0D82" w:rsidRPr="00BB0D82">
              <w:rPr>
                <w:rFonts w:ascii="Verdana" w:hAnsi="Verdana"/>
                <w:b w:val="0"/>
                <w:bCs w:val="0"/>
                <w:color w:val="000000" w:themeColor="text1"/>
                <w:sz w:val="18"/>
                <w:szCs w:val="18"/>
                <w:lang w:val="en-GB"/>
              </w:rPr>
              <w:t>uling 186/25 must thus be understood not as a rejection of alternative substantive analyses, but as a necessary consequence of the procedural framework within which Luxembourg courts operate.</w:t>
            </w:r>
          </w:p>
        </w:tc>
      </w:tr>
      <w:tr w:rsidR="009F21F5" w:rsidRPr="00293E99" w14:paraId="4A820C45" w14:textId="77777777" w:rsidTr="001617F7">
        <w:tc>
          <w:tcPr>
            <w:tcW w:w="9498" w:type="dxa"/>
          </w:tcPr>
          <w:p w14:paraId="345F63BD" w14:textId="3CE493F6" w:rsidR="009F21F5" w:rsidRPr="00293E99" w:rsidRDefault="009F21F5" w:rsidP="009F21F5">
            <w:pPr>
              <w:pStyle w:val="NormalWeb"/>
              <w:spacing w:before="0" w:beforeAutospacing="0" w:after="120" w:afterAutospacing="0"/>
              <w:jc w:val="both"/>
              <w:rPr>
                <w:rFonts w:ascii="Verdana" w:hAnsi="Verdana"/>
                <w:b w:val="0"/>
                <w:bCs w:val="0"/>
                <w:sz w:val="18"/>
                <w:szCs w:val="18"/>
                <w:lang w:val="en-GB"/>
              </w:rPr>
            </w:pPr>
            <w:r w:rsidRPr="00293E99">
              <w:rPr>
                <w:rFonts w:ascii="Verdana" w:hAnsi="Verdana"/>
                <w:color w:val="002060"/>
                <w:sz w:val="18"/>
                <w:szCs w:val="18"/>
                <w:lang w:val="en-GB"/>
              </w:rPr>
              <w:t>Conclusion</w:t>
            </w:r>
            <w:r w:rsidR="00FF0E0F">
              <w:rPr>
                <w:rFonts w:ascii="Verdana" w:hAnsi="Verdana"/>
                <w:color w:val="002060"/>
                <w:sz w:val="18"/>
                <w:szCs w:val="18"/>
                <w:lang w:val="en-GB"/>
              </w:rPr>
              <w:t>: Formal Bankruptcy, Functional Insolvency Tools and the Case for Further Clarification</w:t>
            </w:r>
          </w:p>
        </w:tc>
      </w:tr>
      <w:tr w:rsidR="009F21F5" w:rsidRPr="00293E99" w14:paraId="4C98F207" w14:textId="77777777" w:rsidTr="001617F7">
        <w:tc>
          <w:tcPr>
            <w:tcW w:w="9498" w:type="dxa"/>
          </w:tcPr>
          <w:p w14:paraId="7449C1B3" w14:textId="2EF750FC" w:rsidR="009F21F5" w:rsidRPr="00293E99" w:rsidRDefault="00D17A17" w:rsidP="009F21F5">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D17A17">
              <w:rPr>
                <w:rFonts w:ascii="Verdana" w:hAnsi="Verdana"/>
                <w:b w:val="0"/>
                <w:bCs w:val="0"/>
                <w:color w:val="000000" w:themeColor="text1"/>
                <w:sz w:val="18"/>
                <w:szCs w:val="18"/>
                <w:lang w:val="en-GB"/>
              </w:rPr>
              <w:t>Ruling 186/25 must be read in its proper doctrinal and legislative context. The reform introduced by the Act of 21 July 2023 undeniably marked a significant evolution in the treatment of insolvency situations affecting regulated investment vehicles and, where applicable, their compartments. By allowing courts, within judicial liquidation proceedings, to make applicable “the rules governing bankruptcy” rather than merely those governing the liquidation of bankruptcy, the legislator sought to address long-identified deficiencies in creditor protection, notably the exclusion of core insolvency mechanisms such as the fixing of the cessation-of-payments date and the suspect period. That reform, however, stopped short of creating an autonomous insolvency-driven gateway permitting the formal declaration of bankruptcy at compartment level.</w:t>
            </w:r>
          </w:p>
        </w:tc>
      </w:tr>
      <w:tr w:rsidR="009F21F5" w:rsidRPr="00293E99" w14:paraId="13946F2D" w14:textId="77777777" w:rsidTr="001617F7">
        <w:tc>
          <w:tcPr>
            <w:tcW w:w="9498" w:type="dxa"/>
          </w:tcPr>
          <w:p w14:paraId="2E692A9C" w14:textId="59093712" w:rsidR="009F21F5" w:rsidRPr="00D17A17" w:rsidRDefault="00D17A17"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D17A17">
              <w:rPr>
                <w:rFonts w:ascii="Verdana" w:hAnsi="Verdana"/>
                <w:b w:val="0"/>
                <w:bCs w:val="0"/>
                <w:color w:val="000000" w:themeColor="text1"/>
                <w:sz w:val="18"/>
                <w:szCs w:val="18"/>
                <w:lang w:val="en-GB"/>
              </w:rPr>
              <w:t>The analysis developed in this paper demonstrates that the real fault line does not lie between bankruptcy and non-bankruptcy, but between form and function. From a substantive standpoint, certain compartments</w:t>
            </w:r>
            <w:r>
              <w:rPr>
                <w:rFonts w:ascii="Verdana" w:hAnsi="Verdana"/>
                <w:b w:val="0"/>
                <w:bCs w:val="0"/>
                <w:color w:val="000000" w:themeColor="text1"/>
                <w:sz w:val="18"/>
                <w:szCs w:val="18"/>
                <w:lang w:val="en-GB"/>
              </w:rPr>
              <w:t xml:space="preserve"> – name</w:t>
            </w:r>
            <w:r w:rsidRPr="00D17A17">
              <w:rPr>
                <w:rFonts w:ascii="Verdana" w:hAnsi="Verdana"/>
                <w:b w:val="0"/>
                <w:bCs w:val="0"/>
                <w:color w:val="000000" w:themeColor="text1"/>
                <w:sz w:val="18"/>
                <w:szCs w:val="18"/>
                <w:lang w:val="en-GB"/>
              </w:rPr>
              <w:t>ly those pursuing private equity or similar strategies</w:t>
            </w:r>
            <w:r>
              <w:rPr>
                <w:rFonts w:ascii="Verdana" w:hAnsi="Verdana"/>
                <w:b w:val="0"/>
                <w:bCs w:val="0"/>
                <w:color w:val="000000" w:themeColor="text1"/>
                <w:sz w:val="18"/>
                <w:szCs w:val="18"/>
                <w:lang w:val="en-GB"/>
              </w:rPr>
              <w:t xml:space="preserve"> – </w:t>
            </w:r>
            <w:r w:rsidRPr="00D17A17">
              <w:rPr>
                <w:rFonts w:ascii="Verdana" w:hAnsi="Verdana"/>
                <w:b w:val="0"/>
                <w:bCs w:val="0"/>
                <w:color w:val="000000" w:themeColor="text1"/>
                <w:sz w:val="18"/>
                <w:szCs w:val="18"/>
                <w:lang w:val="en-GB"/>
              </w:rPr>
              <w:t xml:space="preserve">may display many of the economic and organisational characteristics traditionally associated with merchants: the professional, habitual and economically independent performance of acts of commerce within a structured operational framework. Likewise, Article 47 of the SIF Act 2007, as amended, now provides a legal basis for the application of a broad range of bankruptcy rules at compartment level within judicial liquidation. Yet neither of these elements was capable, in </w:t>
            </w:r>
            <w:r w:rsidRPr="00D17A17">
              <w:rPr>
                <w:rFonts w:ascii="Verdana" w:hAnsi="Verdana"/>
                <w:b w:val="0"/>
                <w:bCs w:val="0"/>
                <w:color w:val="000000" w:themeColor="text1"/>
                <w:sz w:val="18"/>
                <w:szCs w:val="18"/>
                <w:lang w:val="en-GB"/>
              </w:rPr>
              <w:lastRenderedPageBreak/>
              <w:t xml:space="preserve">the procedural posture of </w:t>
            </w:r>
            <w:r>
              <w:rPr>
                <w:rFonts w:ascii="Verdana" w:hAnsi="Verdana"/>
                <w:b w:val="0"/>
                <w:bCs w:val="0"/>
                <w:color w:val="000000" w:themeColor="text1"/>
                <w:sz w:val="18"/>
                <w:szCs w:val="18"/>
                <w:lang w:val="en-GB"/>
              </w:rPr>
              <w:t>R</w:t>
            </w:r>
            <w:r w:rsidRPr="00D17A17">
              <w:rPr>
                <w:rFonts w:ascii="Verdana" w:hAnsi="Verdana"/>
                <w:b w:val="0"/>
                <w:bCs w:val="0"/>
                <w:color w:val="000000" w:themeColor="text1"/>
                <w:sz w:val="18"/>
                <w:szCs w:val="18"/>
                <w:lang w:val="en-GB"/>
              </w:rPr>
              <w:t>uling 186/25, of overcoming the absence of an express statutory provision authorising a declaration of bankruptcy as such.</w:t>
            </w:r>
          </w:p>
        </w:tc>
      </w:tr>
      <w:tr w:rsidR="009F21F5" w:rsidRPr="00293E99" w14:paraId="3D29E710" w14:textId="77777777" w:rsidTr="001617F7">
        <w:tc>
          <w:tcPr>
            <w:tcW w:w="9498" w:type="dxa"/>
          </w:tcPr>
          <w:p w14:paraId="55ABDC29" w14:textId="7DFA17B3" w:rsidR="009F21F5" w:rsidRPr="00D17A17" w:rsidRDefault="00D17A17"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D17A17">
              <w:rPr>
                <w:rFonts w:ascii="Verdana" w:hAnsi="Verdana"/>
                <w:b w:val="0"/>
                <w:bCs w:val="0"/>
                <w:color w:val="000000" w:themeColor="text1"/>
                <w:sz w:val="18"/>
                <w:szCs w:val="18"/>
                <w:lang w:val="en-GB"/>
              </w:rPr>
              <w:lastRenderedPageBreak/>
              <w:t xml:space="preserve">Crucially, this paper has also shown that the Court of Appeal’s restraint cannot be understood as a substantive rejection of alternative doctrinal constructions. Rather, it is best explained by the procedural constraints imposed by the adversarial principle under Luxembourg civil and commercial procedure. Absent adversarial debate on the qualification of a compartment as a merchant or on the scope of Article 47 </w:t>
            </w:r>
            <w:r>
              <w:rPr>
                <w:rFonts w:ascii="Verdana" w:hAnsi="Verdana"/>
                <w:b w:val="0"/>
                <w:bCs w:val="0"/>
                <w:color w:val="000000" w:themeColor="text1"/>
                <w:sz w:val="18"/>
                <w:szCs w:val="18"/>
                <w:lang w:val="en-GB"/>
              </w:rPr>
              <w:t xml:space="preserve">of the SIF Act 2007 </w:t>
            </w:r>
            <w:r w:rsidRPr="00D17A17">
              <w:rPr>
                <w:rFonts w:ascii="Verdana" w:hAnsi="Verdana"/>
                <w:b w:val="0"/>
                <w:bCs w:val="0"/>
                <w:color w:val="000000" w:themeColor="text1"/>
                <w:sz w:val="18"/>
                <w:szCs w:val="18"/>
                <w:lang w:val="en-GB"/>
              </w:rPr>
              <w:t xml:space="preserve">as a potential bankruptcy gateway, the Court was procedurally barred from introducing such reasoning </w:t>
            </w:r>
            <w:r w:rsidRPr="00D17A17">
              <w:rPr>
                <w:rFonts w:ascii="Verdana" w:hAnsi="Verdana"/>
                <w:b w:val="0"/>
                <w:bCs w:val="0"/>
                <w:i/>
                <w:iCs/>
                <w:color w:val="000000" w:themeColor="text1"/>
                <w:sz w:val="18"/>
                <w:szCs w:val="18"/>
                <w:lang w:val="en-GB"/>
              </w:rPr>
              <w:t>ex officio</w:t>
            </w:r>
            <w:r w:rsidRPr="00D17A17">
              <w:rPr>
                <w:rFonts w:ascii="Verdana" w:hAnsi="Verdana"/>
                <w:b w:val="0"/>
                <w:bCs w:val="0"/>
                <w:color w:val="000000" w:themeColor="text1"/>
                <w:sz w:val="18"/>
                <w:szCs w:val="18"/>
                <w:lang w:val="en-GB"/>
              </w:rPr>
              <w:t xml:space="preserve">, notwithstanding the maxim </w:t>
            </w:r>
            <w:r w:rsidRPr="00D17A17">
              <w:rPr>
                <w:rFonts w:ascii="Verdana" w:hAnsi="Verdana"/>
                <w:b w:val="0"/>
                <w:bCs w:val="0"/>
                <w:i/>
                <w:iCs/>
                <w:color w:val="000000" w:themeColor="text1"/>
                <w:sz w:val="18"/>
                <w:szCs w:val="18"/>
                <w:lang w:val="en-GB"/>
              </w:rPr>
              <w:t>iura novit curia</w:t>
            </w:r>
            <w:r w:rsidRPr="00D17A17">
              <w:rPr>
                <w:rFonts w:ascii="Verdana" w:hAnsi="Verdana"/>
                <w:b w:val="0"/>
                <w:bCs w:val="0"/>
                <w:color w:val="000000" w:themeColor="text1"/>
                <w:sz w:val="18"/>
                <w:szCs w:val="18"/>
                <w:lang w:val="en-GB"/>
              </w:rPr>
              <w:t>. In that sense, Ruling 186/25 reflects procedural discipline as much as doctrinal conservatism.</w:t>
            </w:r>
          </w:p>
        </w:tc>
      </w:tr>
      <w:tr w:rsidR="009F21F5" w:rsidRPr="00293E99" w14:paraId="1CE68772" w14:textId="77777777" w:rsidTr="001617F7">
        <w:tc>
          <w:tcPr>
            <w:tcW w:w="9498" w:type="dxa"/>
          </w:tcPr>
          <w:p w14:paraId="2289D614" w14:textId="7FBECD3B" w:rsidR="009F21F5" w:rsidRPr="00D17A17" w:rsidRDefault="00D17A17" w:rsidP="009F21F5">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D17A17">
              <w:rPr>
                <w:rFonts w:ascii="Verdana" w:hAnsi="Verdana"/>
                <w:b w:val="0"/>
                <w:bCs w:val="0"/>
                <w:color w:val="000000" w:themeColor="text1"/>
                <w:sz w:val="18"/>
                <w:szCs w:val="18"/>
                <w:lang w:val="en-GB"/>
              </w:rPr>
              <w:t>Whether Luxembourg law should</w:t>
            </w:r>
            <w:r>
              <w:rPr>
                <w:rFonts w:ascii="Verdana" w:hAnsi="Verdana"/>
                <w:b w:val="0"/>
                <w:bCs w:val="0"/>
                <w:color w:val="000000" w:themeColor="text1"/>
                <w:sz w:val="18"/>
                <w:szCs w:val="18"/>
                <w:lang w:val="en-GB"/>
              </w:rPr>
              <w:t xml:space="preserve"> </w:t>
            </w:r>
            <w:r w:rsidRPr="00D17A17">
              <w:rPr>
                <w:rFonts w:ascii="Verdana" w:hAnsi="Verdana"/>
                <w:b w:val="0"/>
                <w:bCs w:val="0"/>
                <w:color w:val="000000" w:themeColor="text1"/>
                <w:sz w:val="18"/>
                <w:szCs w:val="18"/>
                <w:lang w:val="en-GB"/>
              </w:rPr>
              <w:t>evolve further to address insolvency-driven compartment failures occurring outside the regulatory trigger of authorisation withdrawal remains an open and largely policy-driven question. The 2023 reform has substantially strengthened the insolvency toolbox available within judicial liquidation</w:t>
            </w:r>
            <w:r>
              <w:rPr>
                <w:rFonts w:ascii="Verdana" w:hAnsi="Verdana"/>
                <w:b w:val="0"/>
                <w:bCs w:val="0"/>
                <w:color w:val="000000" w:themeColor="text1"/>
                <w:sz w:val="18"/>
                <w:szCs w:val="18"/>
                <w:lang w:val="en-GB"/>
              </w:rPr>
              <w:t xml:space="preserve"> for regulated product funds (to the exclusion of RAIFs)</w:t>
            </w:r>
            <w:r w:rsidRPr="00D17A17">
              <w:rPr>
                <w:rFonts w:ascii="Verdana" w:hAnsi="Verdana"/>
                <w:b w:val="0"/>
                <w:bCs w:val="0"/>
                <w:color w:val="000000" w:themeColor="text1"/>
                <w:sz w:val="18"/>
                <w:szCs w:val="18"/>
                <w:lang w:val="en-GB"/>
              </w:rPr>
              <w:t>, but it has not resolved the structural tension created by economically autonomous compartments operating within legally unitary fund structures. If creditor protection is to be fully aligned with the economic reality of compartmentalisation, further legislative clarification may be required. Until then, Ruling 186/25 stands as an important marker: it delineates with precision the current limits of compartment-level insolvency under Luxembourg law, while implicitly highlighting the areas in which those limits may yet be tested or revisited</w:t>
            </w:r>
            <w:r w:rsidR="00C55D12">
              <w:rPr>
                <w:rFonts w:ascii="Verdana" w:hAnsi="Verdana"/>
                <w:b w:val="0"/>
                <w:bCs w:val="0"/>
                <w:color w:val="000000" w:themeColor="text1"/>
                <w:sz w:val="18"/>
                <w:szCs w:val="18"/>
                <w:lang w:val="en-GB"/>
              </w:rPr>
              <w:t xml:space="preserve"> in the future</w:t>
            </w:r>
            <w:r w:rsidRPr="00D17A17">
              <w:rPr>
                <w:rFonts w:ascii="Verdana" w:hAnsi="Verdana"/>
                <w:b w:val="0"/>
                <w:bCs w:val="0"/>
                <w:color w:val="000000" w:themeColor="text1"/>
                <w:sz w:val="18"/>
                <w:szCs w:val="18"/>
                <w:lang w:val="en-GB"/>
              </w:rPr>
              <w:t>.</w:t>
            </w:r>
          </w:p>
        </w:tc>
      </w:tr>
    </w:tbl>
    <w:p w14:paraId="2E6189DB" w14:textId="77777777" w:rsidR="0074471F" w:rsidRPr="00293E99" w:rsidRDefault="0074471F" w:rsidP="00437F0B">
      <w:pPr>
        <w:pStyle w:val="NormalWeb"/>
        <w:spacing w:before="0" w:beforeAutospacing="0" w:after="120" w:afterAutospacing="0"/>
        <w:jc w:val="both"/>
        <w:rPr>
          <w:rFonts w:ascii="Verdana" w:hAnsi="Verdana"/>
          <w:color w:val="000000"/>
          <w:kern w:val="36"/>
          <w:sz w:val="18"/>
          <w:szCs w:val="18"/>
          <w:lang w:val="en-GB"/>
        </w:rPr>
      </w:pPr>
    </w:p>
    <w:sectPr w:rsidR="0074471F" w:rsidRPr="00293E99" w:rsidSect="00035CA1">
      <w:type w:val="continuous"/>
      <w:pgSz w:w="11906" w:h="16838"/>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s>
  <wne:toolbars>
    <wne:acdManifest>
      <wne:acdEntry wne:acdName="acd0"/>
      <wne:acdEntry wne:acdName="acd1"/>
      <wne:acdEntry wne:acdName="acd2"/>
      <wne:acdEntry wne:acdName="acd3"/>
      <wne:acdEntry wne:acdName="acd4"/>
      <wne:acdEntry wne:acdName="acd5"/>
    </wne:acdManifest>
  </wne:toolbars>
  <wne:acds>
    <wne:acd wne:argValue="AgBBAE8ASABlAGEAZAAxAA==" wne:acdName="acd0" wne:fciIndexBasedOn="0065"/>
    <wne:acd wne:argValue="AgBBAE8ASABlAGEAZAAyAA==" wne:acdName="acd1" wne:fciIndexBasedOn="0065"/>
    <wne:acd wne:argValue="AgBBAE8ASABlAGEAZAAzAA==" wne:acdName="acd2" wne:fciIndexBasedOn="0065"/>
    <wne:acd wne:argValue="AgBBAE8ASABlAGEAZAA0AA==" wne:acdName="acd3" wne:fciIndexBasedOn="0065"/>
    <wne:acd wne:argValue="AgBBAE8ASABlAGEAZAA1AA==" wne:acdName="acd4" wne:fciIndexBasedOn="0065"/>
    <wne:acd wne:argValue="AgBBAE8ASABlAGEAZAA2A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666C8" w14:textId="77777777" w:rsidR="00FC5547" w:rsidRDefault="00FC5547" w:rsidP="00B14CF1">
      <w:r>
        <w:separator/>
      </w:r>
    </w:p>
  </w:endnote>
  <w:endnote w:type="continuationSeparator" w:id="0">
    <w:p w14:paraId="1B9F93FE" w14:textId="77777777" w:rsidR="00FC5547" w:rsidRDefault="00FC5547" w:rsidP="00B14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6453014"/>
      <w:docPartObj>
        <w:docPartGallery w:val="Page Numbers (Bottom of Page)"/>
        <w:docPartUnique/>
      </w:docPartObj>
    </w:sdtPr>
    <w:sdtContent>
      <w:p w14:paraId="5CFE226B" w14:textId="77777777" w:rsidR="00B14CF1" w:rsidRDefault="00B14CF1" w:rsidP="00E20A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7B446E" w14:textId="77777777" w:rsidR="00B14CF1" w:rsidRDefault="00B14CF1" w:rsidP="00B14C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Verdana" w:hAnsi="Verdana"/>
        <w:sz w:val="16"/>
        <w:szCs w:val="16"/>
      </w:rPr>
      <w:id w:val="-1590237987"/>
      <w:docPartObj>
        <w:docPartGallery w:val="Page Numbers (Bottom of Page)"/>
        <w:docPartUnique/>
      </w:docPartObj>
    </w:sdtPr>
    <w:sdtContent>
      <w:p w14:paraId="66883082" w14:textId="511BAFB7" w:rsidR="00B14CF1" w:rsidRPr="00B14CF1" w:rsidRDefault="00B14CF1" w:rsidP="00E20A64">
        <w:pPr>
          <w:pStyle w:val="Footer"/>
          <w:framePr w:wrap="none" w:vAnchor="text" w:hAnchor="margin" w:xAlign="right" w:y="1"/>
          <w:rPr>
            <w:rStyle w:val="PageNumber"/>
            <w:rFonts w:ascii="Verdana" w:hAnsi="Verdana"/>
            <w:sz w:val="16"/>
            <w:szCs w:val="16"/>
          </w:rPr>
        </w:pPr>
        <w:r w:rsidRPr="00B14CF1">
          <w:rPr>
            <w:rStyle w:val="PageNumber"/>
            <w:rFonts w:ascii="Verdana" w:hAnsi="Verdana"/>
            <w:sz w:val="16"/>
            <w:szCs w:val="16"/>
          </w:rPr>
          <w:fldChar w:fldCharType="begin"/>
        </w:r>
        <w:r w:rsidRPr="00B14CF1">
          <w:rPr>
            <w:rStyle w:val="PageNumber"/>
            <w:rFonts w:ascii="Verdana" w:hAnsi="Verdana"/>
            <w:sz w:val="16"/>
            <w:szCs w:val="16"/>
          </w:rPr>
          <w:instrText xml:space="preserve"> PAGE </w:instrText>
        </w:r>
        <w:r w:rsidRPr="00B14CF1">
          <w:rPr>
            <w:rStyle w:val="PageNumber"/>
            <w:rFonts w:ascii="Verdana" w:hAnsi="Verdana"/>
            <w:sz w:val="16"/>
            <w:szCs w:val="16"/>
          </w:rPr>
          <w:fldChar w:fldCharType="separate"/>
        </w:r>
        <w:r w:rsidRPr="00B14CF1">
          <w:rPr>
            <w:rStyle w:val="PageNumber"/>
            <w:rFonts w:ascii="Verdana" w:hAnsi="Verdana"/>
            <w:noProof/>
            <w:sz w:val="16"/>
            <w:szCs w:val="16"/>
          </w:rPr>
          <w:t>1</w:t>
        </w:r>
        <w:r w:rsidRPr="00B14CF1">
          <w:rPr>
            <w:rStyle w:val="PageNumber"/>
            <w:rFonts w:ascii="Verdana" w:hAnsi="Verdana"/>
            <w:sz w:val="16"/>
            <w:szCs w:val="16"/>
          </w:rPr>
          <w:fldChar w:fldCharType="end"/>
        </w:r>
      </w:p>
    </w:sdtContent>
  </w:sdt>
  <w:p w14:paraId="11B9E00B" w14:textId="5831B12C" w:rsidR="00B14CF1" w:rsidRPr="00722899" w:rsidRDefault="00722899" w:rsidP="00722899">
    <w:pPr>
      <w:pStyle w:val="Footer"/>
      <w:ind w:right="360"/>
      <w:jc w:val="center"/>
      <w:rPr>
        <w:rFonts w:ascii="Verdana" w:hAnsi="Verdana"/>
        <w:b/>
        <w:bCs/>
        <w:i/>
        <w:iCs/>
        <w:color w:val="002060"/>
        <w:sz w:val="18"/>
        <w:szCs w:val="18"/>
        <w:lang w:val="de-DE"/>
      </w:rPr>
    </w:pPr>
    <w:proofErr w:type="spellStart"/>
    <w:r w:rsidRPr="00722899">
      <w:rPr>
        <w:rFonts w:ascii="Verdana" w:hAnsi="Verdana"/>
        <w:b/>
        <w:bCs/>
        <w:i/>
        <w:iCs/>
        <w:color w:val="002060"/>
        <w:sz w:val="18"/>
        <w:szCs w:val="18"/>
        <w:lang w:val="de-DE"/>
      </w:rPr>
      <w:t>NewTIFI</w:t>
    </w:r>
    <w:proofErr w:type="spellEnd"/>
    <w:r w:rsidRPr="00722899">
      <w:rPr>
        <w:rFonts w:ascii="Verdana" w:hAnsi="Verdana"/>
        <w:b/>
        <w:bCs/>
        <w:i/>
        <w:iCs/>
        <w:color w:val="002060"/>
        <w:sz w:val="18"/>
        <w:szCs w:val="18"/>
        <w:lang w:val="de-DE"/>
      </w:rPr>
      <w:t xml:space="preserve"> Publishing</w:t>
    </w:r>
  </w:p>
  <w:p w14:paraId="22D4C04B" w14:textId="77777777" w:rsidR="00B14CF1" w:rsidRPr="00B14CF1" w:rsidRDefault="00B14CF1" w:rsidP="00B14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8BE7D" w14:textId="77777777" w:rsidR="00FC5547" w:rsidRDefault="00FC5547" w:rsidP="00B14CF1">
      <w:r>
        <w:separator/>
      </w:r>
    </w:p>
  </w:footnote>
  <w:footnote w:type="continuationSeparator" w:id="0">
    <w:p w14:paraId="68B86307" w14:textId="77777777" w:rsidR="00FC5547" w:rsidRDefault="00FC5547" w:rsidP="00B14CF1">
      <w:r>
        <w:continuationSeparator/>
      </w:r>
    </w:p>
  </w:footnote>
  <w:footnote w:id="1">
    <w:p w14:paraId="5243F0F8" w14:textId="37B2267B" w:rsidR="00342047" w:rsidRPr="00616655" w:rsidRDefault="00342047" w:rsidP="00DA24B4">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616655">
        <w:rPr>
          <w:rFonts w:ascii="Verdana" w:hAnsi="Verdana"/>
          <w:sz w:val="16"/>
          <w:szCs w:val="16"/>
          <w:lang w:val="en-GB"/>
        </w:rPr>
        <w:t xml:space="preserve"> </w:t>
      </w:r>
      <w:r w:rsidRPr="00616655">
        <w:rPr>
          <w:rFonts w:ascii="Verdana" w:hAnsi="Verdana"/>
          <w:color w:val="000000"/>
          <w:sz w:val="16"/>
          <w:szCs w:val="16"/>
          <w:lang w:val="en-GB"/>
        </w:rPr>
        <w:t>Specialised investment funds (or “</w:t>
      </w:r>
      <w:r w:rsidRPr="00616655">
        <w:rPr>
          <w:rFonts w:ascii="Verdana" w:hAnsi="Verdana"/>
          <w:b/>
          <w:bCs/>
          <w:color w:val="002060"/>
          <w:sz w:val="16"/>
          <w:szCs w:val="16"/>
          <w:lang w:val="en-GB"/>
        </w:rPr>
        <w:t>SIFs</w:t>
      </w:r>
      <w:r w:rsidRPr="00616655">
        <w:rPr>
          <w:rFonts w:ascii="Verdana" w:hAnsi="Verdana"/>
          <w:color w:val="000000"/>
          <w:sz w:val="16"/>
          <w:szCs w:val="16"/>
          <w:lang w:val="en-GB"/>
        </w:rPr>
        <w:t xml:space="preserve">”) are </w:t>
      </w:r>
      <w:r w:rsidRPr="00616655">
        <w:rPr>
          <w:rFonts w:ascii="Verdana" w:hAnsi="Verdana" w:cs="Arial"/>
          <w:color w:val="000000" w:themeColor="text1"/>
          <w:sz w:val="16"/>
          <w:szCs w:val="16"/>
          <w:lang w:val="en-GB"/>
        </w:rPr>
        <w:t>subject to the Luxembourg Act of 13 February 2007 relating to specialised investment funds (the “</w:t>
      </w:r>
      <w:r w:rsidRPr="00616655">
        <w:rPr>
          <w:rFonts w:ascii="Verdana" w:hAnsi="Verdana" w:cs="Arial"/>
          <w:b/>
          <w:bCs/>
          <w:color w:val="002060"/>
          <w:sz w:val="16"/>
          <w:szCs w:val="16"/>
          <w:lang w:val="en-GB"/>
        </w:rPr>
        <w:t>SIF Act 2007</w:t>
      </w:r>
      <w:r w:rsidRPr="00616655">
        <w:rPr>
          <w:rFonts w:ascii="Verdana" w:hAnsi="Verdana" w:cs="Arial"/>
          <w:color w:val="000000" w:themeColor="text1"/>
          <w:sz w:val="16"/>
          <w:szCs w:val="16"/>
          <w:lang w:val="en-GB"/>
        </w:rPr>
        <w:t>”) (</w:t>
      </w:r>
      <w:proofErr w:type="spellStart"/>
      <w:r w:rsidRPr="00616655">
        <w:rPr>
          <w:rFonts w:ascii="Verdana" w:hAnsi="Verdana" w:cs="Arial"/>
          <w:color w:val="000000" w:themeColor="text1"/>
          <w:sz w:val="16"/>
          <w:szCs w:val="16"/>
          <w:lang w:val="en-GB"/>
        </w:rPr>
        <w:t>i</w:t>
      </w:r>
      <w:proofErr w:type="spellEnd"/>
      <w:r w:rsidRPr="00616655">
        <w:rPr>
          <w:rFonts w:ascii="Verdana" w:hAnsi="Verdana" w:cs="Arial"/>
          <w:color w:val="000000" w:themeColor="text1"/>
          <w:sz w:val="16"/>
          <w:szCs w:val="16"/>
          <w:lang w:val="en-GB"/>
        </w:rPr>
        <w:t xml:space="preserve">) amending the Act of 20 December 2002 relating to undertakings for collective investment, as amended; and (ii) amending the Act of 12 February 1979 on value added tax, as amended; </w:t>
      </w:r>
      <w:proofErr w:type="spellStart"/>
      <w:r w:rsidRPr="00616655">
        <w:rPr>
          <w:rFonts w:ascii="Verdana" w:hAnsi="Verdana" w:cs="Arial"/>
          <w:i/>
          <w:iCs/>
          <w:color w:val="000000" w:themeColor="text1"/>
          <w:sz w:val="16"/>
          <w:szCs w:val="16"/>
          <w:lang w:val="en-GB"/>
        </w:rPr>
        <w:t>Mémorial</w:t>
      </w:r>
      <w:proofErr w:type="spellEnd"/>
      <w:r w:rsidRPr="00616655">
        <w:rPr>
          <w:rFonts w:ascii="Verdana" w:hAnsi="Verdana" w:cs="Arial"/>
          <w:i/>
          <w:iCs/>
          <w:color w:val="000000" w:themeColor="text1"/>
          <w:sz w:val="16"/>
          <w:szCs w:val="16"/>
          <w:lang w:val="en-GB"/>
        </w:rPr>
        <w:t xml:space="preserve"> A – N° 13</w:t>
      </w:r>
      <w:r w:rsidRPr="00616655">
        <w:rPr>
          <w:rFonts w:ascii="Verdana" w:hAnsi="Verdana" w:cs="Arial"/>
          <w:color w:val="000000" w:themeColor="text1"/>
          <w:sz w:val="16"/>
          <w:szCs w:val="16"/>
          <w:lang w:val="en-GB"/>
        </w:rPr>
        <w:t xml:space="preserve">, 13 February 2007, Parl. doc. 5616; </w:t>
      </w:r>
      <w:hyperlink r:id="rId1" w:history="1">
        <w:r w:rsidR="00FC1600" w:rsidRPr="00616655">
          <w:rPr>
            <w:rStyle w:val="Hyperlink"/>
            <w:rFonts w:ascii="Verdana" w:hAnsi="Verdana" w:cs="Arial"/>
            <w:sz w:val="16"/>
            <w:szCs w:val="16"/>
            <w:lang w:val="en-GB"/>
          </w:rPr>
          <w:t>https://legilux.public.lu/eli/etat/leg/loi/2007/02/13/n1/jo</w:t>
        </w:r>
      </w:hyperlink>
      <w:r w:rsidR="00FC1600" w:rsidRPr="00616655">
        <w:rPr>
          <w:rFonts w:ascii="Verdana" w:hAnsi="Verdana" w:cs="Arial"/>
          <w:color w:val="000000" w:themeColor="text1"/>
          <w:sz w:val="16"/>
          <w:szCs w:val="16"/>
          <w:lang w:val="en-GB"/>
        </w:rPr>
        <w:t xml:space="preserve"> (last accessed on </w:t>
      </w:r>
      <w:r w:rsidR="00616655" w:rsidRPr="00616655">
        <w:rPr>
          <w:rFonts w:ascii="Verdana" w:hAnsi="Verdana"/>
          <w:color w:val="000000"/>
          <w:sz w:val="16"/>
          <w:szCs w:val="16"/>
          <w:lang w:val="en-GB"/>
        </w:rPr>
        <w:t xml:space="preserve">3 January </w:t>
      </w:r>
      <w:r w:rsidR="00616655" w:rsidRPr="00616655">
        <w:rPr>
          <w:rFonts w:ascii="Verdana" w:hAnsi="Verdana" w:cs="Arial"/>
          <w:color w:val="000000" w:themeColor="text1"/>
          <w:sz w:val="16"/>
          <w:szCs w:val="16"/>
          <w:lang w:val="en-GB"/>
        </w:rPr>
        <w:t>2026</w:t>
      </w:r>
      <w:r w:rsidR="00FC1600" w:rsidRPr="00616655">
        <w:rPr>
          <w:rFonts w:ascii="Verdana" w:hAnsi="Verdana" w:cs="Arial"/>
          <w:color w:val="000000" w:themeColor="text1"/>
          <w:sz w:val="16"/>
          <w:szCs w:val="16"/>
          <w:lang w:val="en-GB"/>
        </w:rPr>
        <w:t xml:space="preserve">); </w:t>
      </w:r>
      <w:r w:rsidRPr="00616655">
        <w:rPr>
          <w:rFonts w:ascii="Verdana" w:hAnsi="Verdana" w:cs="Arial"/>
          <w:color w:val="000000" w:themeColor="text1"/>
          <w:sz w:val="16"/>
          <w:szCs w:val="16"/>
          <w:lang w:val="en-GB"/>
        </w:rPr>
        <w:t xml:space="preserve">for its coordinated version see: </w:t>
      </w:r>
      <w:hyperlink r:id="rId2" w:history="1">
        <w:r w:rsidRPr="00616655">
          <w:rPr>
            <w:rStyle w:val="Hyperlink"/>
            <w:rFonts w:ascii="Verdana" w:hAnsi="Verdana" w:cs="Arial"/>
            <w:sz w:val="16"/>
            <w:szCs w:val="16"/>
            <w:lang w:val="en-GB"/>
          </w:rPr>
          <w:t>https://www.cssf.lu/wp-content/uploads/L_130207_SIF.pdf</w:t>
        </w:r>
      </w:hyperlink>
      <w:r w:rsidRPr="00616655">
        <w:rPr>
          <w:rFonts w:ascii="Verdana" w:hAnsi="Verdana" w:cs="Arial"/>
          <w:color w:val="000000" w:themeColor="text1"/>
          <w:sz w:val="16"/>
          <w:szCs w:val="16"/>
          <w:lang w:val="en-GB"/>
        </w:rPr>
        <w:t xml:space="preserve"> (last accessed on </w:t>
      </w:r>
      <w:r w:rsidR="00616655" w:rsidRPr="00616655">
        <w:rPr>
          <w:rFonts w:ascii="Verdana" w:hAnsi="Verdana"/>
          <w:color w:val="000000"/>
          <w:sz w:val="16"/>
          <w:szCs w:val="16"/>
          <w:lang w:val="en-GB"/>
        </w:rPr>
        <w:t>3</w:t>
      </w:r>
      <w:r w:rsidRPr="00616655">
        <w:rPr>
          <w:rFonts w:ascii="Verdana" w:hAnsi="Verdana"/>
          <w:color w:val="000000"/>
          <w:sz w:val="16"/>
          <w:szCs w:val="16"/>
          <w:lang w:val="en-GB"/>
        </w:rPr>
        <w:t xml:space="preserve"> </w:t>
      </w:r>
      <w:r w:rsidR="00616655" w:rsidRPr="00616655">
        <w:rPr>
          <w:rFonts w:ascii="Verdana" w:hAnsi="Verdana"/>
          <w:color w:val="000000"/>
          <w:sz w:val="16"/>
          <w:szCs w:val="16"/>
          <w:lang w:val="en-GB"/>
        </w:rPr>
        <w:t>January</w:t>
      </w:r>
      <w:r w:rsidRPr="00616655">
        <w:rPr>
          <w:rFonts w:ascii="Verdana" w:hAnsi="Verdana"/>
          <w:color w:val="000000"/>
          <w:sz w:val="16"/>
          <w:szCs w:val="16"/>
          <w:lang w:val="en-GB"/>
        </w:rPr>
        <w:t xml:space="preserve"> </w:t>
      </w:r>
      <w:r w:rsidRPr="00616655">
        <w:rPr>
          <w:rFonts w:ascii="Verdana" w:hAnsi="Verdana" w:cs="Arial"/>
          <w:color w:val="000000" w:themeColor="text1"/>
          <w:sz w:val="16"/>
          <w:szCs w:val="16"/>
          <w:lang w:val="en-GB"/>
        </w:rPr>
        <w:t>202</w:t>
      </w:r>
      <w:r w:rsidR="00616655" w:rsidRPr="00616655">
        <w:rPr>
          <w:rFonts w:ascii="Verdana" w:hAnsi="Verdana" w:cs="Arial"/>
          <w:color w:val="000000" w:themeColor="text1"/>
          <w:sz w:val="16"/>
          <w:szCs w:val="16"/>
          <w:lang w:val="en-GB"/>
        </w:rPr>
        <w:t>6</w:t>
      </w:r>
      <w:r w:rsidRPr="00616655">
        <w:rPr>
          <w:rFonts w:ascii="Verdana" w:hAnsi="Verdana" w:cs="Arial"/>
          <w:color w:val="000000" w:themeColor="text1"/>
          <w:sz w:val="16"/>
          <w:szCs w:val="16"/>
          <w:lang w:val="en-GB"/>
        </w:rPr>
        <w:t>).</w:t>
      </w:r>
    </w:p>
  </w:footnote>
  <w:footnote w:id="2">
    <w:p w14:paraId="4E05C62C" w14:textId="1A08E2E7" w:rsidR="00342047" w:rsidRPr="00616655" w:rsidRDefault="00342047" w:rsidP="00DA24B4">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616655">
        <w:rPr>
          <w:rFonts w:ascii="Verdana" w:hAnsi="Verdana"/>
          <w:sz w:val="16"/>
          <w:szCs w:val="16"/>
          <w:lang w:val="en-GB"/>
        </w:rPr>
        <w:t xml:space="preserve"> </w:t>
      </w:r>
      <w:r w:rsidRPr="00616655">
        <w:rPr>
          <w:rFonts w:ascii="Verdana" w:hAnsi="Verdana" w:cs="Arial"/>
          <w:color w:val="000000" w:themeColor="text1"/>
          <w:sz w:val="16"/>
          <w:szCs w:val="16"/>
          <w:lang w:val="en-GB"/>
        </w:rPr>
        <w:t>investment companies in risk capital (the “</w:t>
      </w:r>
      <w:r w:rsidRPr="00616655">
        <w:rPr>
          <w:rFonts w:ascii="Verdana" w:hAnsi="Verdana"/>
          <w:b/>
          <w:bCs/>
          <w:color w:val="002060"/>
          <w:sz w:val="16"/>
          <w:szCs w:val="16"/>
          <w:lang w:val="en-GB"/>
        </w:rPr>
        <w:t>SICARs</w:t>
      </w:r>
      <w:r w:rsidRPr="00616655">
        <w:rPr>
          <w:rFonts w:ascii="Verdana" w:hAnsi="Verdana"/>
          <w:color w:val="000000"/>
          <w:sz w:val="16"/>
          <w:szCs w:val="16"/>
          <w:lang w:val="en-GB"/>
        </w:rPr>
        <w:t>”) are</w:t>
      </w:r>
      <w:r w:rsidRPr="00616655">
        <w:rPr>
          <w:rFonts w:ascii="Verdana" w:hAnsi="Verdana" w:cs="Arial"/>
          <w:color w:val="000000" w:themeColor="text1"/>
          <w:sz w:val="16"/>
          <w:szCs w:val="16"/>
          <w:lang w:val="en-GB"/>
        </w:rPr>
        <w:t xml:space="preserve"> subject to the Luxembourg Act of 15 June 2004 relating to investment companies in risk capital, (the “</w:t>
      </w:r>
      <w:r w:rsidRPr="00616655">
        <w:rPr>
          <w:rFonts w:ascii="Verdana" w:hAnsi="Verdana" w:cs="Arial"/>
          <w:b/>
          <w:bCs/>
          <w:color w:val="002060"/>
          <w:sz w:val="16"/>
          <w:szCs w:val="16"/>
          <w:lang w:val="en-GB"/>
        </w:rPr>
        <w:t>SICAR Act 2004</w:t>
      </w:r>
      <w:r w:rsidRPr="00616655">
        <w:rPr>
          <w:rFonts w:ascii="Verdana" w:hAnsi="Verdana" w:cs="Arial"/>
          <w:color w:val="000000" w:themeColor="text1"/>
          <w:sz w:val="16"/>
          <w:szCs w:val="16"/>
          <w:lang w:val="en-GB"/>
        </w:rPr>
        <w:t>”) and amending (</w:t>
      </w:r>
      <w:proofErr w:type="spellStart"/>
      <w:r w:rsidRPr="00616655">
        <w:rPr>
          <w:rFonts w:ascii="Verdana" w:hAnsi="Verdana" w:cs="Arial"/>
          <w:color w:val="000000" w:themeColor="text1"/>
          <w:sz w:val="16"/>
          <w:szCs w:val="16"/>
          <w:lang w:val="en-GB"/>
        </w:rPr>
        <w:t>i</w:t>
      </w:r>
      <w:proofErr w:type="spellEnd"/>
      <w:r w:rsidRPr="00616655">
        <w:rPr>
          <w:rFonts w:ascii="Verdana" w:hAnsi="Verdana" w:cs="Arial"/>
          <w:color w:val="000000" w:themeColor="text1"/>
          <w:sz w:val="16"/>
          <w:szCs w:val="16"/>
          <w:lang w:val="en-GB"/>
        </w:rPr>
        <w:t xml:space="preserve">) the Act of 4 December 1967 on income tax, as amended; (ii) the Act of 16 October 1934 on wealth tax, as amended; (iii) the law of 1 December 1936 on business tax, as amended; (iv) the Act of 12 February 1979 on value added tax, as amended; (v) the Act of 20 December 2002 relating to undertakings for collective investment, as amended; </w:t>
      </w:r>
      <w:proofErr w:type="spellStart"/>
      <w:r w:rsidRPr="00616655">
        <w:rPr>
          <w:rFonts w:ascii="Verdana" w:hAnsi="Verdana" w:cs="Arial"/>
          <w:i/>
          <w:iCs/>
          <w:color w:val="000000" w:themeColor="text1"/>
          <w:sz w:val="16"/>
          <w:szCs w:val="16"/>
          <w:lang w:val="en-GB"/>
        </w:rPr>
        <w:t>Mémorial</w:t>
      </w:r>
      <w:proofErr w:type="spellEnd"/>
      <w:r w:rsidRPr="00616655">
        <w:rPr>
          <w:rFonts w:ascii="Verdana" w:hAnsi="Verdana" w:cs="Arial"/>
          <w:i/>
          <w:iCs/>
          <w:color w:val="000000" w:themeColor="text1"/>
          <w:sz w:val="16"/>
          <w:szCs w:val="16"/>
          <w:lang w:val="en-GB"/>
        </w:rPr>
        <w:t xml:space="preserve"> A – N° 95</w:t>
      </w:r>
      <w:r w:rsidRPr="00616655">
        <w:rPr>
          <w:rFonts w:ascii="Verdana" w:hAnsi="Verdana" w:cs="Arial"/>
          <w:color w:val="000000" w:themeColor="text1"/>
          <w:sz w:val="16"/>
          <w:szCs w:val="16"/>
          <w:lang w:val="en-GB"/>
        </w:rPr>
        <w:t xml:space="preserve">, 22 June 2004, Parl. doc. 5201; </w:t>
      </w:r>
      <w:hyperlink r:id="rId3" w:history="1">
        <w:r w:rsidR="00FC1600" w:rsidRPr="00616655">
          <w:rPr>
            <w:rStyle w:val="Hyperlink"/>
            <w:rFonts w:ascii="Verdana" w:hAnsi="Verdana" w:cs="Arial"/>
            <w:sz w:val="16"/>
            <w:szCs w:val="16"/>
            <w:lang w:val="en-GB"/>
          </w:rPr>
          <w:t>https://legilux.public.lu/eli/etat/leg/loi/2004/06/15/n1/jo</w:t>
        </w:r>
      </w:hyperlink>
      <w:r w:rsidR="00FC1600" w:rsidRPr="00616655">
        <w:rPr>
          <w:rFonts w:ascii="Verdana" w:hAnsi="Verdana" w:cs="Arial"/>
          <w:color w:val="000000" w:themeColor="text1"/>
          <w:sz w:val="16"/>
          <w:szCs w:val="16"/>
          <w:lang w:val="en-GB"/>
        </w:rPr>
        <w:t xml:space="preserve"> (last accessed on </w:t>
      </w:r>
      <w:r w:rsidR="00616655" w:rsidRPr="00616655">
        <w:rPr>
          <w:rFonts w:ascii="Verdana" w:hAnsi="Verdana"/>
          <w:color w:val="000000"/>
          <w:sz w:val="16"/>
          <w:szCs w:val="16"/>
          <w:lang w:val="en-GB"/>
        </w:rPr>
        <w:t xml:space="preserve">3 January </w:t>
      </w:r>
      <w:r w:rsidR="00616655" w:rsidRPr="00616655">
        <w:rPr>
          <w:rFonts w:ascii="Verdana" w:hAnsi="Verdana" w:cs="Arial"/>
          <w:color w:val="000000" w:themeColor="text1"/>
          <w:sz w:val="16"/>
          <w:szCs w:val="16"/>
          <w:lang w:val="en-GB"/>
        </w:rPr>
        <w:t>2026</w:t>
      </w:r>
      <w:r w:rsidR="00FC1600" w:rsidRPr="00616655">
        <w:rPr>
          <w:rFonts w:ascii="Verdana" w:hAnsi="Verdana" w:cs="Arial"/>
          <w:color w:val="000000" w:themeColor="text1"/>
          <w:sz w:val="16"/>
          <w:szCs w:val="16"/>
          <w:lang w:val="en-GB"/>
        </w:rPr>
        <w:t xml:space="preserve">); </w:t>
      </w:r>
      <w:r w:rsidRPr="00616655">
        <w:rPr>
          <w:rFonts w:ascii="Verdana" w:hAnsi="Verdana" w:cs="Arial"/>
          <w:color w:val="000000" w:themeColor="text1"/>
          <w:sz w:val="16"/>
          <w:szCs w:val="16"/>
          <w:lang w:val="en-GB"/>
        </w:rPr>
        <w:t xml:space="preserve">for its coordinated version see: </w:t>
      </w:r>
      <w:hyperlink r:id="rId4" w:history="1">
        <w:r w:rsidRPr="00616655">
          <w:rPr>
            <w:rStyle w:val="Hyperlink"/>
            <w:rFonts w:ascii="Verdana" w:hAnsi="Verdana"/>
            <w:sz w:val="16"/>
            <w:szCs w:val="16"/>
            <w:lang w:val="en-GB"/>
          </w:rPr>
          <w:t>https://www.cssf.lu/wp-content/uploads/L_150604_SICAReng.pdf</w:t>
        </w:r>
      </w:hyperlink>
      <w:r w:rsidRPr="00616655">
        <w:rPr>
          <w:rFonts w:ascii="Verdana" w:hAnsi="Verdana"/>
          <w:sz w:val="16"/>
          <w:szCs w:val="16"/>
          <w:lang w:val="en-GB"/>
        </w:rPr>
        <w:t xml:space="preserve"> </w:t>
      </w:r>
      <w:r w:rsidRPr="00616655">
        <w:rPr>
          <w:rFonts w:ascii="Verdana" w:hAnsi="Verdana" w:cs="Arial"/>
          <w:color w:val="000000" w:themeColor="text1"/>
          <w:sz w:val="16"/>
          <w:szCs w:val="16"/>
          <w:lang w:val="en-GB"/>
        </w:rPr>
        <w:t xml:space="preserve">(last accessed on </w:t>
      </w:r>
      <w:r w:rsidR="00616655" w:rsidRPr="00616655">
        <w:rPr>
          <w:rFonts w:ascii="Verdana" w:hAnsi="Verdana"/>
          <w:color w:val="000000"/>
          <w:sz w:val="16"/>
          <w:szCs w:val="16"/>
          <w:lang w:val="en-GB"/>
        </w:rPr>
        <w:t xml:space="preserve">3 January </w:t>
      </w:r>
      <w:r w:rsidR="00616655" w:rsidRPr="00616655">
        <w:rPr>
          <w:rFonts w:ascii="Verdana" w:hAnsi="Verdana" w:cs="Arial"/>
          <w:color w:val="000000" w:themeColor="text1"/>
          <w:sz w:val="16"/>
          <w:szCs w:val="16"/>
          <w:lang w:val="en-GB"/>
        </w:rPr>
        <w:t>2026</w:t>
      </w:r>
      <w:r w:rsidRPr="00616655">
        <w:rPr>
          <w:rFonts w:ascii="Verdana" w:hAnsi="Verdana" w:cs="Arial"/>
          <w:color w:val="000000" w:themeColor="text1"/>
          <w:sz w:val="16"/>
          <w:szCs w:val="16"/>
          <w:lang w:val="en-GB"/>
        </w:rPr>
        <w:t>).</w:t>
      </w:r>
    </w:p>
  </w:footnote>
  <w:footnote w:id="3">
    <w:p w14:paraId="0C8F22A4" w14:textId="623D5F9D" w:rsidR="00FC1600" w:rsidRPr="00616655" w:rsidRDefault="00B20767" w:rsidP="00DA24B4">
      <w:pPr>
        <w:pStyle w:val="p1"/>
        <w:ind w:right="-46"/>
        <w:jc w:val="both"/>
        <w:rPr>
          <w:rFonts w:cs="Arial"/>
          <w:color w:val="000000" w:themeColor="text1"/>
          <w:sz w:val="16"/>
          <w:szCs w:val="16"/>
          <w:lang w:val="en-GB"/>
        </w:rPr>
      </w:pPr>
      <w:r w:rsidRPr="00616655">
        <w:rPr>
          <w:rStyle w:val="FootnoteReference"/>
          <w:sz w:val="16"/>
          <w:szCs w:val="16"/>
          <w:lang w:val="en-GB"/>
        </w:rPr>
        <w:footnoteRef/>
      </w:r>
      <w:r w:rsidRPr="00616655">
        <w:rPr>
          <w:sz w:val="16"/>
          <w:szCs w:val="16"/>
          <w:lang w:val="en-GB"/>
        </w:rPr>
        <w:t xml:space="preserve"> </w:t>
      </w:r>
      <w:r w:rsidRPr="00616655">
        <w:rPr>
          <w:rFonts w:cs="Arial"/>
          <w:color w:val="000000" w:themeColor="text1"/>
          <w:sz w:val="16"/>
          <w:szCs w:val="16"/>
          <w:lang w:val="en-GB"/>
        </w:rPr>
        <w:t>Undertakings for collective investment in transferable securities (the “</w:t>
      </w:r>
      <w:r w:rsidRPr="00616655">
        <w:rPr>
          <w:rFonts w:cs="Arial"/>
          <w:b/>
          <w:bCs/>
          <w:color w:val="002060"/>
          <w:sz w:val="16"/>
          <w:szCs w:val="16"/>
          <w:lang w:val="en-GB"/>
        </w:rPr>
        <w:t>UCITS</w:t>
      </w:r>
      <w:r w:rsidRPr="00616655">
        <w:rPr>
          <w:rFonts w:cs="Arial"/>
          <w:color w:val="000000" w:themeColor="text1"/>
          <w:sz w:val="16"/>
          <w:szCs w:val="16"/>
          <w:lang w:val="en-GB"/>
        </w:rPr>
        <w:t xml:space="preserve">”) and the other undertakings for collective investment </w:t>
      </w:r>
      <w:r w:rsidR="00FC1600" w:rsidRPr="00616655">
        <w:rPr>
          <w:rFonts w:cs="Arial"/>
          <w:color w:val="000000" w:themeColor="text1"/>
          <w:sz w:val="16"/>
          <w:szCs w:val="16"/>
          <w:lang w:val="en-GB"/>
        </w:rPr>
        <w:t>referred to in the same Act (the “</w:t>
      </w:r>
      <w:r w:rsidR="00FC1600" w:rsidRPr="00616655">
        <w:rPr>
          <w:rFonts w:cs="Arial"/>
          <w:b/>
          <w:bCs/>
          <w:color w:val="002060"/>
          <w:sz w:val="16"/>
          <w:szCs w:val="16"/>
          <w:lang w:val="en-GB"/>
        </w:rPr>
        <w:t>Part II UCIs</w:t>
      </w:r>
      <w:r w:rsidR="00FC1600" w:rsidRPr="00616655">
        <w:rPr>
          <w:rFonts w:cs="Arial"/>
          <w:color w:val="000000" w:themeColor="text1"/>
          <w:sz w:val="16"/>
          <w:szCs w:val="16"/>
          <w:lang w:val="en-GB"/>
        </w:rPr>
        <w:t xml:space="preserve">”) </w:t>
      </w:r>
      <w:r w:rsidR="00FC1600" w:rsidRPr="00616655">
        <w:rPr>
          <w:sz w:val="16"/>
          <w:szCs w:val="16"/>
          <w:lang w:val="en-GB"/>
        </w:rPr>
        <w:t xml:space="preserve">are subject </w:t>
      </w:r>
      <w:r w:rsidR="00FC1600" w:rsidRPr="00616655">
        <w:rPr>
          <w:rFonts w:cs="Arial"/>
          <w:color w:val="000000" w:themeColor="text1"/>
          <w:sz w:val="16"/>
          <w:szCs w:val="16"/>
          <w:lang w:val="en-GB"/>
        </w:rPr>
        <w:t xml:space="preserve">to the Luxembourg Act of </w:t>
      </w:r>
      <w:r w:rsidR="00FC1600" w:rsidRPr="00FC1600">
        <w:rPr>
          <w:rFonts w:cs="Arial"/>
          <w:color w:val="000000" w:themeColor="text1"/>
          <w:sz w:val="16"/>
          <w:szCs w:val="16"/>
          <w:lang w:val="en-GB"/>
        </w:rPr>
        <w:t>17 December 2010 relating to undertakings for collective investment</w:t>
      </w:r>
      <w:r w:rsidR="00293E99" w:rsidRPr="00616655">
        <w:rPr>
          <w:rFonts w:cs="Arial"/>
          <w:color w:val="000000" w:themeColor="text1"/>
          <w:sz w:val="16"/>
          <w:szCs w:val="16"/>
          <w:lang w:val="en-GB"/>
        </w:rPr>
        <w:t xml:space="preserve"> (the “</w:t>
      </w:r>
      <w:r w:rsidR="00293E99" w:rsidRPr="00616655">
        <w:rPr>
          <w:rFonts w:cs="Arial"/>
          <w:b/>
          <w:bCs/>
          <w:color w:val="002060"/>
          <w:sz w:val="16"/>
          <w:szCs w:val="16"/>
          <w:lang w:val="en-GB"/>
        </w:rPr>
        <w:t>UCI Act 2010</w:t>
      </w:r>
      <w:r w:rsidR="00293E99" w:rsidRPr="00616655">
        <w:rPr>
          <w:rFonts w:cs="Arial"/>
          <w:color w:val="000000" w:themeColor="text1"/>
          <w:sz w:val="16"/>
          <w:szCs w:val="16"/>
          <w:lang w:val="en-GB"/>
        </w:rPr>
        <w:t>”)</w:t>
      </w:r>
      <w:r w:rsidR="00FC1600" w:rsidRPr="00FC1600">
        <w:rPr>
          <w:rFonts w:cs="Arial"/>
          <w:color w:val="000000" w:themeColor="text1"/>
          <w:sz w:val="16"/>
          <w:szCs w:val="16"/>
          <w:lang w:val="en-GB"/>
        </w:rPr>
        <w:t>:</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transposing Directive 2009/65/EC of the European Parliament and of the</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Council of 13 July 2009 on the coordination of laws, regulations and</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administrative provisions relating to undertakings for collective investment in</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transferable securities (UCITS) (recast);</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amending:</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 xml:space="preserve">the </w:t>
      </w:r>
      <w:r w:rsidR="00FC1600" w:rsidRPr="00616655">
        <w:rPr>
          <w:rFonts w:cs="Arial"/>
          <w:color w:val="000000" w:themeColor="text1"/>
          <w:sz w:val="16"/>
          <w:szCs w:val="16"/>
          <w:lang w:val="en-GB"/>
        </w:rPr>
        <w:t>Act</w:t>
      </w:r>
      <w:r w:rsidR="00FC1600" w:rsidRPr="00FC1600">
        <w:rPr>
          <w:rFonts w:cs="Arial"/>
          <w:color w:val="000000" w:themeColor="text1"/>
          <w:sz w:val="16"/>
          <w:szCs w:val="16"/>
          <w:lang w:val="en-GB"/>
        </w:rPr>
        <w:t xml:space="preserve"> of 20 December 2002 relating to undertakings for collective</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investment, as amended</w:t>
      </w:r>
      <w:r w:rsidR="00FC1600" w:rsidRPr="00616655">
        <w:rPr>
          <w:rFonts w:cs="Arial"/>
          <w:color w:val="000000" w:themeColor="text1"/>
          <w:sz w:val="16"/>
          <w:szCs w:val="16"/>
          <w:lang w:val="en-GB"/>
        </w:rPr>
        <w:t>;</w:t>
      </w:r>
      <w:r w:rsidR="00FC1600" w:rsidRPr="00FC1600">
        <w:rPr>
          <w:rFonts w:cs="Arial"/>
          <w:color w:val="000000" w:themeColor="text1"/>
          <w:sz w:val="16"/>
          <w:szCs w:val="16"/>
          <w:lang w:val="en-GB"/>
        </w:rPr>
        <w:t xml:space="preserve"> the </w:t>
      </w:r>
      <w:r w:rsidR="00FC1600" w:rsidRPr="00616655">
        <w:rPr>
          <w:rFonts w:cs="Arial"/>
          <w:color w:val="000000" w:themeColor="text1"/>
          <w:sz w:val="16"/>
          <w:szCs w:val="16"/>
          <w:lang w:val="en-GB"/>
        </w:rPr>
        <w:t>Act</w:t>
      </w:r>
      <w:r w:rsidR="00FC1600" w:rsidRPr="00FC1600">
        <w:rPr>
          <w:rFonts w:cs="Arial"/>
          <w:color w:val="000000" w:themeColor="text1"/>
          <w:sz w:val="16"/>
          <w:szCs w:val="16"/>
          <w:lang w:val="en-GB"/>
        </w:rPr>
        <w:t xml:space="preserve"> of 13 February 2007 relating to specialised investment funds, as</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amended;</w:t>
      </w:r>
      <w:r w:rsidR="00FC1600" w:rsidRPr="00616655">
        <w:rPr>
          <w:rFonts w:cs="Arial"/>
          <w:color w:val="000000" w:themeColor="text1"/>
          <w:sz w:val="16"/>
          <w:szCs w:val="16"/>
          <w:lang w:val="en-GB"/>
        </w:rPr>
        <w:t xml:space="preserve"> and </w:t>
      </w:r>
      <w:r w:rsidR="00FC1600" w:rsidRPr="00FC1600">
        <w:rPr>
          <w:rFonts w:cs="Arial"/>
          <w:color w:val="000000" w:themeColor="text1"/>
          <w:sz w:val="16"/>
          <w:szCs w:val="16"/>
          <w:lang w:val="en-GB"/>
        </w:rPr>
        <w:t>Article 156 of the Law of 4 December 1967 on income tax</w:t>
      </w:r>
      <w:r w:rsidR="00FC1600" w:rsidRPr="00616655">
        <w:rPr>
          <w:rFonts w:cs="Arial"/>
          <w:color w:val="000000" w:themeColor="text1"/>
          <w:sz w:val="16"/>
          <w:szCs w:val="16"/>
          <w:lang w:val="en-GB"/>
        </w:rPr>
        <w:t xml:space="preserve">; </w:t>
      </w:r>
      <w:proofErr w:type="spellStart"/>
      <w:r w:rsidR="00FC1600" w:rsidRPr="00616655">
        <w:rPr>
          <w:rFonts w:cs="Arial"/>
          <w:i/>
          <w:iCs/>
          <w:color w:val="000000" w:themeColor="text1"/>
          <w:sz w:val="16"/>
          <w:szCs w:val="16"/>
          <w:lang w:val="en-GB"/>
        </w:rPr>
        <w:t>Mémorial</w:t>
      </w:r>
      <w:proofErr w:type="spellEnd"/>
      <w:r w:rsidR="00FC1600" w:rsidRPr="00616655">
        <w:rPr>
          <w:rFonts w:cs="Arial"/>
          <w:i/>
          <w:iCs/>
          <w:color w:val="000000" w:themeColor="text1"/>
          <w:sz w:val="16"/>
          <w:szCs w:val="16"/>
          <w:lang w:val="en-GB"/>
        </w:rPr>
        <w:t xml:space="preserve"> A – N° 239</w:t>
      </w:r>
      <w:r w:rsidR="00FC1600" w:rsidRPr="00616655">
        <w:rPr>
          <w:rFonts w:cs="Arial"/>
          <w:color w:val="000000" w:themeColor="text1"/>
          <w:sz w:val="16"/>
          <w:szCs w:val="16"/>
          <w:lang w:val="en-GB"/>
        </w:rPr>
        <w:t xml:space="preserve">, </w:t>
      </w:r>
      <w:r w:rsidR="00FC1600" w:rsidRPr="00FC1600">
        <w:rPr>
          <w:rFonts w:cs="Arial"/>
          <w:color w:val="000000" w:themeColor="text1"/>
          <w:sz w:val="16"/>
          <w:szCs w:val="16"/>
          <w:lang w:val="en-GB"/>
        </w:rPr>
        <w:t>17 December 2010</w:t>
      </w:r>
      <w:r w:rsidR="00FC1600" w:rsidRPr="00616655">
        <w:rPr>
          <w:rFonts w:cs="Arial"/>
          <w:color w:val="000000" w:themeColor="text1"/>
          <w:sz w:val="16"/>
          <w:szCs w:val="16"/>
          <w:lang w:val="en-GB"/>
        </w:rPr>
        <w:t xml:space="preserve">, Doc. parl. 6170; </w:t>
      </w:r>
      <w:hyperlink r:id="rId5" w:history="1">
        <w:r w:rsidR="00FC1600" w:rsidRPr="00616655">
          <w:rPr>
            <w:rStyle w:val="Hyperlink"/>
            <w:rFonts w:cs="Arial"/>
            <w:sz w:val="16"/>
            <w:szCs w:val="16"/>
            <w:lang w:val="en-GB"/>
          </w:rPr>
          <w:t>https://legilux.public.lu/eli/etat/leg/loi/2010/12/17/n9/jo</w:t>
        </w:r>
      </w:hyperlink>
      <w:r w:rsidR="00FC1600" w:rsidRPr="00616655">
        <w:rPr>
          <w:rFonts w:cs="Arial"/>
          <w:color w:val="000000" w:themeColor="text1"/>
          <w:sz w:val="16"/>
          <w:szCs w:val="16"/>
          <w:lang w:val="en-GB"/>
        </w:rPr>
        <w:t xml:space="preserve"> (last accessed on </w:t>
      </w:r>
      <w:r w:rsidR="00616655" w:rsidRPr="00616655">
        <w:rPr>
          <w:sz w:val="16"/>
          <w:szCs w:val="16"/>
          <w:lang w:val="en-GB"/>
        </w:rPr>
        <w:t xml:space="preserve">3 January </w:t>
      </w:r>
      <w:r w:rsidR="00616655" w:rsidRPr="00616655">
        <w:rPr>
          <w:rFonts w:cs="Arial"/>
          <w:color w:val="000000" w:themeColor="text1"/>
          <w:sz w:val="16"/>
          <w:szCs w:val="16"/>
          <w:lang w:val="en-GB"/>
        </w:rPr>
        <w:t>2026</w:t>
      </w:r>
      <w:r w:rsidR="00FC1600" w:rsidRPr="00616655">
        <w:rPr>
          <w:rFonts w:cs="Arial"/>
          <w:color w:val="000000" w:themeColor="text1"/>
          <w:sz w:val="16"/>
          <w:szCs w:val="16"/>
          <w:lang w:val="en-GB"/>
        </w:rPr>
        <w:t xml:space="preserve">); for its coordinated version see: </w:t>
      </w:r>
      <w:hyperlink r:id="rId6" w:history="1">
        <w:r w:rsidR="00FC1600" w:rsidRPr="00616655">
          <w:rPr>
            <w:rStyle w:val="Hyperlink"/>
            <w:rFonts w:cs="Arial"/>
            <w:sz w:val="16"/>
            <w:szCs w:val="16"/>
            <w:lang w:val="en-GB"/>
          </w:rPr>
          <w:t>https://www.cssf.lu/wp-content/uploads/L_171210_UCI.pdf</w:t>
        </w:r>
      </w:hyperlink>
      <w:r w:rsidR="00FC1600" w:rsidRPr="00616655">
        <w:rPr>
          <w:rFonts w:cs="Arial"/>
          <w:color w:val="000000" w:themeColor="text1"/>
          <w:sz w:val="16"/>
          <w:szCs w:val="16"/>
          <w:lang w:val="en-GB"/>
        </w:rPr>
        <w:t xml:space="preserve"> (last accessed on </w:t>
      </w:r>
      <w:r w:rsidR="00616655" w:rsidRPr="00616655">
        <w:rPr>
          <w:sz w:val="16"/>
          <w:szCs w:val="16"/>
          <w:lang w:val="en-GB"/>
        </w:rPr>
        <w:t xml:space="preserve">3 January </w:t>
      </w:r>
      <w:r w:rsidR="00616655" w:rsidRPr="00616655">
        <w:rPr>
          <w:rFonts w:cs="Arial"/>
          <w:color w:val="000000" w:themeColor="text1"/>
          <w:sz w:val="16"/>
          <w:szCs w:val="16"/>
          <w:lang w:val="en-GB"/>
        </w:rPr>
        <w:t>2026</w:t>
      </w:r>
      <w:r w:rsidR="00FC1600" w:rsidRPr="00616655">
        <w:rPr>
          <w:rFonts w:cs="Arial"/>
          <w:color w:val="000000" w:themeColor="text1"/>
          <w:sz w:val="16"/>
          <w:szCs w:val="16"/>
          <w:lang w:val="en-GB"/>
        </w:rPr>
        <w:t>).</w:t>
      </w:r>
    </w:p>
  </w:footnote>
  <w:footnote w:id="4">
    <w:p w14:paraId="684FD094" w14:textId="3681FB2E" w:rsidR="00342047" w:rsidRPr="00616655" w:rsidRDefault="00342047" w:rsidP="00DA24B4">
      <w:pPr>
        <w:pStyle w:val="p1"/>
        <w:ind w:right="-46"/>
        <w:jc w:val="both"/>
        <w:rPr>
          <w:rFonts w:cs="Arial"/>
          <w:color w:val="000000" w:themeColor="text1"/>
          <w:sz w:val="16"/>
          <w:szCs w:val="16"/>
          <w:lang w:val="en-GB"/>
        </w:rPr>
      </w:pPr>
      <w:r w:rsidRPr="00616655">
        <w:rPr>
          <w:rStyle w:val="FootnoteReference"/>
          <w:sz w:val="16"/>
          <w:szCs w:val="16"/>
          <w:lang w:val="en-GB"/>
        </w:rPr>
        <w:footnoteRef/>
      </w:r>
      <w:r w:rsidRPr="00616655">
        <w:rPr>
          <w:sz w:val="16"/>
          <w:szCs w:val="16"/>
          <w:lang w:val="en-GB"/>
        </w:rPr>
        <w:t xml:space="preserve"> </w:t>
      </w:r>
      <w:r w:rsidRPr="00616655">
        <w:rPr>
          <w:rFonts w:cs="Arial"/>
          <w:color w:val="000000" w:themeColor="text1"/>
          <w:sz w:val="16"/>
          <w:szCs w:val="16"/>
          <w:lang w:val="en-GB"/>
        </w:rPr>
        <w:t>Reserved alternative investment funds (the “</w:t>
      </w:r>
      <w:r w:rsidRPr="00616655">
        <w:rPr>
          <w:b/>
          <w:bCs/>
          <w:color w:val="002060"/>
          <w:sz w:val="16"/>
          <w:szCs w:val="16"/>
          <w:lang w:val="en-GB"/>
        </w:rPr>
        <w:t>RAIFs</w:t>
      </w:r>
      <w:r w:rsidRPr="00616655">
        <w:rPr>
          <w:sz w:val="16"/>
          <w:szCs w:val="16"/>
          <w:lang w:val="en-GB"/>
        </w:rPr>
        <w:t xml:space="preserve">”) are subject </w:t>
      </w:r>
      <w:r w:rsidRPr="00616655">
        <w:rPr>
          <w:rFonts w:cs="Arial"/>
          <w:color w:val="000000" w:themeColor="text1"/>
          <w:sz w:val="16"/>
          <w:szCs w:val="16"/>
          <w:lang w:val="en-GB"/>
        </w:rPr>
        <w:t>to the Luxembourg Act of 23 July 2016 relating to reserved alternative investment funds (the “</w:t>
      </w:r>
      <w:r w:rsidRPr="00616655">
        <w:rPr>
          <w:rFonts w:cs="Arial"/>
          <w:b/>
          <w:bCs/>
          <w:color w:val="002060"/>
          <w:sz w:val="16"/>
          <w:szCs w:val="16"/>
          <w:lang w:val="en-GB"/>
        </w:rPr>
        <w:t>RAIF Act 2016</w:t>
      </w:r>
      <w:r w:rsidRPr="00616655">
        <w:rPr>
          <w:rFonts w:cs="Arial"/>
          <w:color w:val="000000" w:themeColor="text1"/>
          <w:sz w:val="16"/>
          <w:szCs w:val="16"/>
          <w:lang w:val="en-GB"/>
        </w:rPr>
        <w:t>”) and amending (</w:t>
      </w:r>
      <w:proofErr w:type="spellStart"/>
      <w:r w:rsidRPr="00616655">
        <w:rPr>
          <w:rFonts w:cs="Arial"/>
          <w:color w:val="000000" w:themeColor="text1"/>
          <w:sz w:val="16"/>
          <w:szCs w:val="16"/>
          <w:lang w:val="en-GB"/>
        </w:rPr>
        <w:t>i</w:t>
      </w:r>
      <w:proofErr w:type="spellEnd"/>
      <w:r w:rsidRPr="00616655">
        <w:rPr>
          <w:rFonts w:cs="Arial"/>
          <w:color w:val="000000" w:themeColor="text1"/>
          <w:sz w:val="16"/>
          <w:szCs w:val="16"/>
          <w:lang w:val="en-GB"/>
        </w:rPr>
        <w:t>) the Act of 16 October 1934 on wealth tax, as amended; (ii) the Act of 1 December 1936 on commercial tax, as amended; (iii) the Act of 4 December 1967 on income tax, as amended; (iv) the Act of 5 April 1993 on the financial sector, as amended; (v) the Act of 13 February 2007 relating to specialised investment funds, as amended; and (vi) the Act of 17 December 2010 relating to undertakings for collective investment, as amended</w:t>
      </w:r>
      <w:r w:rsidR="00FC1600" w:rsidRPr="00616655">
        <w:rPr>
          <w:rFonts w:cs="Arial"/>
          <w:color w:val="000000" w:themeColor="text1"/>
          <w:sz w:val="16"/>
          <w:szCs w:val="16"/>
          <w:lang w:val="en-GB"/>
        </w:rPr>
        <w:t>;</w:t>
      </w:r>
      <w:r w:rsidRPr="00616655">
        <w:rPr>
          <w:rFonts w:cs="Arial"/>
          <w:color w:val="000000" w:themeColor="text1"/>
          <w:sz w:val="16"/>
          <w:szCs w:val="16"/>
          <w:lang w:val="en-GB"/>
        </w:rPr>
        <w:t xml:space="preserve"> </w:t>
      </w:r>
      <w:proofErr w:type="spellStart"/>
      <w:r w:rsidRPr="00616655">
        <w:rPr>
          <w:rFonts w:cs="Arial"/>
          <w:i/>
          <w:iCs/>
          <w:color w:val="000000" w:themeColor="text1"/>
          <w:sz w:val="16"/>
          <w:szCs w:val="16"/>
          <w:lang w:val="en-GB"/>
        </w:rPr>
        <w:t>Mémorial</w:t>
      </w:r>
      <w:proofErr w:type="spellEnd"/>
      <w:r w:rsidRPr="00616655">
        <w:rPr>
          <w:rFonts w:cs="Arial"/>
          <w:i/>
          <w:iCs/>
          <w:color w:val="000000" w:themeColor="text1"/>
          <w:sz w:val="16"/>
          <w:szCs w:val="16"/>
          <w:lang w:val="en-GB"/>
        </w:rPr>
        <w:t xml:space="preserve"> A – N° 140</w:t>
      </w:r>
      <w:r w:rsidRPr="00616655">
        <w:rPr>
          <w:rFonts w:cs="Arial"/>
          <w:color w:val="000000" w:themeColor="text1"/>
          <w:sz w:val="16"/>
          <w:szCs w:val="16"/>
          <w:lang w:val="en-GB"/>
        </w:rPr>
        <w:t xml:space="preserve">, 28 July 2016, Doc. parl. </w:t>
      </w:r>
      <w:r w:rsidR="00B20767" w:rsidRPr="00616655">
        <w:rPr>
          <w:rFonts w:cs="Arial"/>
          <w:color w:val="000000" w:themeColor="text1"/>
          <w:sz w:val="16"/>
          <w:szCs w:val="16"/>
          <w:lang w:val="en-GB"/>
        </w:rPr>
        <w:t>8183</w:t>
      </w:r>
      <w:r w:rsidRPr="00616655">
        <w:rPr>
          <w:rFonts w:cs="Arial"/>
          <w:color w:val="000000" w:themeColor="text1"/>
          <w:sz w:val="16"/>
          <w:szCs w:val="16"/>
          <w:lang w:val="en-GB"/>
        </w:rPr>
        <w:t xml:space="preserve">; </w:t>
      </w:r>
      <w:hyperlink r:id="rId7" w:history="1">
        <w:r w:rsidR="00B20767" w:rsidRPr="00616655">
          <w:rPr>
            <w:rStyle w:val="Hyperlink"/>
            <w:rFonts w:cs="Arial"/>
            <w:sz w:val="16"/>
            <w:szCs w:val="16"/>
            <w:lang w:val="en-GB"/>
          </w:rPr>
          <w:t>https://legilux.public.lu/eli/etat/leg/loi/2023/07/21/a442/jo</w:t>
        </w:r>
      </w:hyperlink>
      <w:r w:rsidR="00B20767" w:rsidRPr="00616655">
        <w:rPr>
          <w:rFonts w:cs="Arial"/>
          <w:color w:val="000000" w:themeColor="text1"/>
          <w:sz w:val="16"/>
          <w:szCs w:val="16"/>
          <w:lang w:val="en-GB"/>
        </w:rPr>
        <w:t xml:space="preserve"> </w:t>
      </w:r>
      <w:r w:rsidRPr="00616655">
        <w:rPr>
          <w:rFonts w:cs="Arial"/>
          <w:color w:val="000000" w:themeColor="text1"/>
          <w:sz w:val="16"/>
          <w:szCs w:val="16"/>
          <w:lang w:val="en-GB"/>
        </w:rPr>
        <w:t xml:space="preserve">(last accessed on </w:t>
      </w:r>
      <w:r w:rsidR="00616655" w:rsidRPr="00616655">
        <w:rPr>
          <w:sz w:val="16"/>
          <w:szCs w:val="16"/>
          <w:lang w:val="en-GB"/>
        </w:rPr>
        <w:t xml:space="preserve">3 January </w:t>
      </w:r>
      <w:r w:rsidR="00616655" w:rsidRPr="00616655">
        <w:rPr>
          <w:rFonts w:cs="Arial"/>
          <w:color w:val="000000" w:themeColor="text1"/>
          <w:sz w:val="16"/>
          <w:szCs w:val="16"/>
          <w:lang w:val="en-GB"/>
        </w:rPr>
        <w:t>2026</w:t>
      </w:r>
      <w:r w:rsidRPr="00616655">
        <w:rPr>
          <w:rFonts w:cs="Arial"/>
          <w:color w:val="000000" w:themeColor="text1"/>
          <w:sz w:val="16"/>
          <w:szCs w:val="16"/>
          <w:lang w:val="en-GB"/>
        </w:rPr>
        <w:t>)</w:t>
      </w:r>
      <w:r w:rsidR="00293E99" w:rsidRPr="00616655">
        <w:rPr>
          <w:rFonts w:cs="Arial"/>
          <w:color w:val="000000" w:themeColor="text1"/>
          <w:sz w:val="16"/>
          <w:szCs w:val="16"/>
          <w:lang w:val="en-GB"/>
        </w:rPr>
        <w:t xml:space="preserve">; for its coordinated version see: </w:t>
      </w:r>
      <w:hyperlink r:id="rId8" w:history="1">
        <w:r w:rsidR="00293E99" w:rsidRPr="00616655">
          <w:rPr>
            <w:rStyle w:val="Hyperlink"/>
            <w:rFonts w:cs="Arial"/>
            <w:sz w:val="16"/>
            <w:szCs w:val="16"/>
            <w:lang w:val="en-GB"/>
          </w:rPr>
          <w:t>https://www.cssf.lu/wp-content/uploads/L_230716_RAIF_eng.pdf</w:t>
        </w:r>
      </w:hyperlink>
      <w:r w:rsidR="00293E99" w:rsidRPr="00616655">
        <w:rPr>
          <w:rFonts w:cs="Arial"/>
          <w:color w:val="000000" w:themeColor="text1"/>
          <w:sz w:val="16"/>
          <w:szCs w:val="16"/>
          <w:lang w:val="en-GB"/>
        </w:rPr>
        <w:t xml:space="preserve"> (last accessed on </w:t>
      </w:r>
      <w:r w:rsidR="00616655" w:rsidRPr="00616655">
        <w:rPr>
          <w:sz w:val="16"/>
          <w:szCs w:val="16"/>
          <w:lang w:val="en-GB"/>
        </w:rPr>
        <w:t xml:space="preserve">3 January </w:t>
      </w:r>
      <w:r w:rsidR="00616655" w:rsidRPr="00616655">
        <w:rPr>
          <w:rFonts w:cs="Arial"/>
          <w:color w:val="000000" w:themeColor="text1"/>
          <w:sz w:val="16"/>
          <w:szCs w:val="16"/>
          <w:lang w:val="en-GB"/>
        </w:rPr>
        <w:t>2026</w:t>
      </w:r>
      <w:r w:rsidR="00293E99" w:rsidRPr="00616655">
        <w:rPr>
          <w:rFonts w:cs="Arial"/>
          <w:color w:val="000000" w:themeColor="text1"/>
          <w:sz w:val="16"/>
          <w:szCs w:val="16"/>
          <w:lang w:val="en-GB"/>
        </w:rPr>
        <w:t>).</w:t>
      </w:r>
    </w:p>
  </w:footnote>
  <w:footnote w:id="5">
    <w:p w14:paraId="7B0DADF1" w14:textId="7626AF25" w:rsidR="00616655" w:rsidRPr="00616655" w:rsidRDefault="000F5C77" w:rsidP="00DA24B4">
      <w:pPr>
        <w:pStyle w:val="FootnoteText"/>
        <w:ind w:right="-46"/>
        <w:jc w:val="both"/>
        <w:rPr>
          <w:rFonts w:ascii="Verdana" w:hAnsi="Verdana"/>
          <w:color w:val="000000" w:themeColor="text1"/>
          <w:sz w:val="16"/>
          <w:szCs w:val="16"/>
          <w:lang w:val="en-GB"/>
        </w:rPr>
      </w:pPr>
      <w:r w:rsidRPr="00616655">
        <w:rPr>
          <w:rStyle w:val="FootnoteReference"/>
          <w:rFonts w:ascii="Verdana" w:hAnsi="Verdana"/>
          <w:sz w:val="16"/>
          <w:szCs w:val="16"/>
          <w:lang w:val="en-GB"/>
        </w:rPr>
        <w:footnoteRef/>
      </w:r>
      <w:r w:rsidRPr="00616655">
        <w:rPr>
          <w:rFonts w:ascii="Verdana" w:hAnsi="Verdana"/>
          <w:sz w:val="16"/>
          <w:szCs w:val="16"/>
          <w:lang w:val="en-GB"/>
        </w:rPr>
        <w:t xml:space="preserve"> See Philippe </w:t>
      </w:r>
      <w:proofErr w:type="spellStart"/>
      <w:r w:rsidRPr="00616655">
        <w:rPr>
          <w:rFonts w:ascii="Verdana" w:hAnsi="Verdana"/>
          <w:sz w:val="16"/>
          <w:szCs w:val="16"/>
          <w:lang w:val="en-GB"/>
        </w:rPr>
        <w:t>Thiebaud</w:t>
      </w:r>
      <w:proofErr w:type="spellEnd"/>
      <w:r w:rsidRPr="00616655">
        <w:rPr>
          <w:rFonts w:ascii="Verdana" w:hAnsi="Verdana"/>
          <w:sz w:val="16"/>
          <w:szCs w:val="16"/>
          <w:lang w:val="en-GB"/>
        </w:rPr>
        <w:t xml:space="preserve"> and Laurent </w:t>
      </w:r>
      <w:proofErr w:type="spellStart"/>
      <w:r w:rsidRPr="00616655">
        <w:rPr>
          <w:rFonts w:ascii="Verdana" w:hAnsi="Verdana"/>
          <w:sz w:val="16"/>
          <w:szCs w:val="16"/>
          <w:lang w:val="en-GB"/>
        </w:rPr>
        <w:t>Henneresse</w:t>
      </w:r>
      <w:proofErr w:type="spellEnd"/>
      <w:r w:rsidRPr="00616655">
        <w:rPr>
          <w:rFonts w:ascii="Verdana" w:hAnsi="Verdana"/>
          <w:sz w:val="16"/>
          <w:szCs w:val="16"/>
          <w:lang w:val="en-GB"/>
        </w:rPr>
        <w:t xml:space="preserve">, </w:t>
      </w:r>
      <w:r w:rsidR="00616655">
        <w:rPr>
          <w:rFonts w:ascii="Verdana" w:hAnsi="Verdana"/>
          <w:sz w:val="16"/>
          <w:szCs w:val="16"/>
          <w:lang w:val="en-GB"/>
        </w:rPr>
        <w:t>‘</w:t>
      </w:r>
      <w:r w:rsidRPr="00616655">
        <w:rPr>
          <w:rFonts w:ascii="Verdana" w:hAnsi="Verdana"/>
          <w:sz w:val="16"/>
          <w:szCs w:val="16"/>
          <w:lang w:val="en-GB"/>
        </w:rPr>
        <w:t xml:space="preserve">Insolvency of a </w:t>
      </w:r>
      <w:r w:rsidR="00616655">
        <w:rPr>
          <w:rFonts w:ascii="Verdana" w:hAnsi="Verdana"/>
          <w:sz w:val="16"/>
          <w:szCs w:val="16"/>
          <w:lang w:val="en-GB"/>
        </w:rPr>
        <w:t>C</w:t>
      </w:r>
      <w:r w:rsidRPr="00616655">
        <w:rPr>
          <w:rFonts w:ascii="Verdana" w:hAnsi="Verdana"/>
          <w:sz w:val="16"/>
          <w:szCs w:val="16"/>
          <w:lang w:val="en-GB"/>
        </w:rPr>
        <w:t xml:space="preserve">ompartment of a Luxembourg </w:t>
      </w:r>
      <w:r w:rsidR="00616655">
        <w:rPr>
          <w:rFonts w:ascii="Verdana" w:hAnsi="Verdana"/>
          <w:sz w:val="16"/>
          <w:szCs w:val="16"/>
          <w:lang w:val="en-GB"/>
        </w:rPr>
        <w:t>U</w:t>
      </w:r>
      <w:r w:rsidRPr="00616655">
        <w:rPr>
          <w:rFonts w:ascii="Verdana" w:hAnsi="Verdana"/>
          <w:sz w:val="16"/>
          <w:szCs w:val="16"/>
          <w:lang w:val="en-GB"/>
        </w:rPr>
        <w:t xml:space="preserve">mbrella </w:t>
      </w:r>
      <w:r w:rsidR="00616655">
        <w:rPr>
          <w:rFonts w:ascii="Verdana" w:hAnsi="Verdana"/>
          <w:sz w:val="16"/>
          <w:szCs w:val="16"/>
          <w:lang w:val="en-GB"/>
        </w:rPr>
        <w:t>I</w:t>
      </w:r>
      <w:r w:rsidRPr="00616655">
        <w:rPr>
          <w:rFonts w:ascii="Verdana" w:hAnsi="Verdana"/>
          <w:sz w:val="16"/>
          <w:szCs w:val="16"/>
          <w:lang w:val="en-GB"/>
        </w:rPr>
        <w:t xml:space="preserve">nvestment </w:t>
      </w:r>
      <w:r w:rsidR="00616655">
        <w:rPr>
          <w:rFonts w:ascii="Verdana" w:hAnsi="Verdana"/>
          <w:sz w:val="16"/>
          <w:szCs w:val="16"/>
          <w:lang w:val="en-GB"/>
        </w:rPr>
        <w:t>V</w:t>
      </w:r>
      <w:r w:rsidRPr="00616655">
        <w:rPr>
          <w:rFonts w:ascii="Verdana" w:hAnsi="Verdana"/>
          <w:sz w:val="16"/>
          <w:szCs w:val="16"/>
          <w:lang w:val="en-GB"/>
        </w:rPr>
        <w:t>ehicle</w:t>
      </w:r>
      <w:r w:rsidR="00616655">
        <w:rPr>
          <w:rFonts w:ascii="Verdana" w:hAnsi="Verdana"/>
          <w:sz w:val="16"/>
          <w:szCs w:val="16"/>
          <w:lang w:val="en-GB"/>
        </w:rPr>
        <w:t>’</w:t>
      </w:r>
      <w:r w:rsidRPr="00616655">
        <w:rPr>
          <w:rFonts w:ascii="Verdana" w:hAnsi="Verdana"/>
          <w:sz w:val="16"/>
          <w:szCs w:val="16"/>
          <w:lang w:val="en-GB"/>
        </w:rPr>
        <w:t xml:space="preserve"> </w:t>
      </w:r>
      <w:r w:rsidR="00616655">
        <w:rPr>
          <w:rFonts w:ascii="Verdana" w:hAnsi="Verdana"/>
          <w:sz w:val="16"/>
          <w:szCs w:val="16"/>
          <w:lang w:val="en-GB"/>
        </w:rPr>
        <w:t>(</w:t>
      </w:r>
      <w:r w:rsidR="00DF0DA2" w:rsidRPr="00616655">
        <w:rPr>
          <w:rFonts w:ascii="Verdana" w:hAnsi="Verdana"/>
          <w:sz w:val="16"/>
          <w:szCs w:val="16"/>
          <w:lang w:val="en-GB"/>
        </w:rPr>
        <w:t>2020</w:t>
      </w:r>
      <w:r w:rsidR="00616655">
        <w:rPr>
          <w:rFonts w:ascii="Verdana" w:hAnsi="Verdana"/>
          <w:sz w:val="16"/>
          <w:szCs w:val="16"/>
          <w:lang w:val="en-GB"/>
        </w:rPr>
        <w:t>)</w:t>
      </w:r>
      <w:r w:rsidR="00DF0DA2" w:rsidRPr="00616655">
        <w:rPr>
          <w:rFonts w:ascii="Verdana" w:hAnsi="Verdana"/>
          <w:sz w:val="16"/>
          <w:szCs w:val="16"/>
          <w:lang w:val="en-GB"/>
        </w:rPr>
        <w:t>, 14</w:t>
      </w:r>
      <w:r w:rsidR="00616655">
        <w:rPr>
          <w:rFonts w:ascii="Verdana" w:hAnsi="Verdana"/>
          <w:sz w:val="16"/>
          <w:szCs w:val="16"/>
          <w:lang w:val="en-GB"/>
        </w:rPr>
        <w:t>(</w:t>
      </w:r>
      <w:r w:rsidR="00DF0DA2" w:rsidRPr="00616655">
        <w:rPr>
          <w:rFonts w:ascii="Verdana" w:hAnsi="Verdana"/>
          <w:sz w:val="16"/>
          <w:szCs w:val="16"/>
          <w:lang w:val="en-GB"/>
        </w:rPr>
        <w:t>2</w:t>
      </w:r>
      <w:r w:rsidR="00616655">
        <w:rPr>
          <w:rFonts w:ascii="Verdana" w:hAnsi="Verdana"/>
          <w:sz w:val="16"/>
          <w:szCs w:val="16"/>
          <w:lang w:val="en-GB"/>
        </w:rPr>
        <w:t>)</w:t>
      </w:r>
      <w:r w:rsidR="00DF0DA2" w:rsidRPr="00616655">
        <w:rPr>
          <w:rFonts w:ascii="Verdana" w:hAnsi="Verdana"/>
          <w:sz w:val="16"/>
          <w:szCs w:val="16"/>
          <w:lang w:val="en-GB"/>
        </w:rPr>
        <w:t xml:space="preserve">, </w:t>
      </w:r>
      <w:r w:rsidRPr="00616655">
        <w:rPr>
          <w:rFonts w:ascii="Verdana" w:hAnsi="Verdana"/>
          <w:i/>
          <w:iCs/>
          <w:sz w:val="16"/>
          <w:szCs w:val="16"/>
          <w:lang w:val="en-GB"/>
        </w:rPr>
        <w:t>Insolvency and Restructuring International</w:t>
      </w:r>
      <w:r w:rsidRPr="00616655">
        <w:rPr>
          <w:rFonts w:ascii="Verdana" w:hAnsi="Verdana"/>
          <w:sz w:val="16"/>
          <w:szCs w:val="16"/>
          <w:lang w:val="en-GB"/>
        </w:rPr>
        <w:t>, 13-16</w:t>
      </w:r>
      <w:r w:rsidR="00DF0DA2" w:rsidRPr="00616655">
        <w:rPr>
          <w:rFonts w:ascii="Verdana" w:hAnsi="Verdana"/>
          <w:sz w:val="16"/>
          <w:szCs w:val="16"/>
          <w:lang w:val="en-GB"/>
        </w:rPr>
        <w:t xml:space="preserve">; </w:t>
      </w:r>
      <w:hyperlink r:id="rId9" w:history="1">
        <w:r w:rsidR="00DF0DA2" w:rsidRPr="00616655">
          <w:rPr>
            <w:rStyle w:val="Hyperlink"/>
            <w:rFonts w:ascii="Verdana" w:hAnsi="Verdana"/>
            <w:sz w:val="16"/>
            <w:szCs w:val="16"/>
            <w:lang w:val="en-GB"/>
          </w:rPr>
          <w:t>https://www.ibanet.org/MediaHandler?id=919A9399-7C92-45D4-9864-FAF657E0F83E</w:t>
        </w:r>
      </w:hyperlink>
      <w:r w:rsidR="00DF0DA2" w:rsidRPr="00616655">
        <w:rPr>
          <w:rFonts w:ascii="Verdana" w:hAnsi="Verdana"/>
          <w:sz w:val="16"/>
          <w:szCs w:val="16"/>
          <w:lang w:val="en-GB"/>
        </w:rPr>
        <w:t xml:space="preserve"> </w:t>
      </w:r>
      <w:r w:rsidR="00616655" w:rsidRPr="00616655">
        <w:rPr>
          <w:rFonts w:ascii="Verdana" w:hAnsi="Verdana"/>
          <w:sz w:val="16"/>
          <w:szCs w:val="16"/>
          <w:lang w:val="en-GB"/>
        </w:rPr>
        <w:t>(</w:t>
      </w:r>
      <w:r w:rsidR="00DF0DA2" w:rsidRPr="00616655">
        <w:rPr>
          <w:rFonts w:ascii="Verdana" w:hAnsi="Verdana" w:cs="Arial"/>
          <w:color w:val="000000" w:themeColor="text1"/>
          <w:sz w:val="16"/>
          <w:szCs w:val="16"/>
          <w:lang w:val="en-GB"/>
        </w:rPr>
        <w:t xml:space="preserve">last accessed on </w:t>
      </w:r>
      <w:r w:rsidR="00616655" w:rsidRPr="00616655">
        <w:rPr>
          <w:rFonts w:ascii="Verdana" w:hAnsi="Verdana"/>
          <w:color w:val="000000"/>
          <w:sz w:val="16"/>
          <w:szCs w:val="16"/>
          <w:lang w:val="en-GB"/>
        </w:rPr>
        <w:t xml:space="preserve">3 January </w:t>
      </w:r>
      <w:r w:rsidR="00616655" w:rsidRPr="00616655">
        <w:rPr>
          <w:rFonts w:ascii="Verdana" w:hAnsi="Verdana" w:cs="Arial"/>
          <w:color w:val="000000" w:themeColor="text1"/>
          <w:sz w:val="16"/>
          <w:szCs w:val="16"/>
          <w:lang w:val="en-GB"/>
        </w:rPr>
        <w:t>2026</w:t>
      </w:r>
      <w:r w:rsidR="00DF0DA2" w:rsidRPr="00616655">
        <w:rPr>
          <w:rFonts w:ascii="Verdana" w:hAnsi="Verdana" w:cs="Arial"/>
          <w:color w:val="000000" w:themeColor="text1"/>
          <w:sz w:val="16"/>
          <w:szCs w:val="16"/>
          <w:lang w:val="en-GB"/>
        </w:rPr>
        <w:t>)</w:t>
      </w:r>
      <w:r w:rsidR="00DF0DA2" w:rsidRPr="00616655">
        <w:rPr>
          <w:rFonts w:ascii="Verdana" w:hAnsi="Verdana"/>
          <w:color w:val="000000" w:themeColor="text1"/>
          <w:sz w:val="16"/>
          <w:szCs w:val="16"/>
          <w:lang w:val="en-GB"/>
        </w:rPr>
        <w:t>.</w:t>
      </w:r>
    </w:p>
  </w:footnote>
  <w:footnote w:id="6">
    <w:p w14:paraId="7F935C3C" w14:textId="7C03C439" w:rsidR="00C55D12" w:rsidRPr="00616655" w:rsidRDefault="00C55D12" w:rsidP="00DA24B4">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616655">
        <w:rPr>
          <w:rFonts w:ascii="Verdana" w:hAnsi="Verdana"/>
          <w:sz w:val="16"/>
          <w:szCs w:val="16"/>
          <w:lang w:val="en-GB"/>
        </w:rPr>
        <w:t xml:space="preserve"> See the Bill of Law amending: the amended Law of 15 June 2004 on the investment company in risk capital (SICAR); the amended Law of 13 February 2007 on specialised investment funds; the amended Law of 17 December 2010 on undertakings for collective investment; the amended Law of 12 July 2013 on alternative investment fund managers; and the amended Law of 23 July 2016 on reserved alternative investment funds</w:t>
      </w:r>
      <w:r w:rsidRPr="00616655">
        <w:rPr>
          <w:rFonts w:ascii="Verdana" w:hAnsi="Verdana"/>
          <w:color w:val="000000"/>
          <w:sz w:val="16"/>
          <w:szCs w:val="16"/>
          <w:lang w:val="en-GB"/>
        </w:rPr>
        <w:t xml:space="preserve">; Doc. parl. 8183; </w:t>
      </w:r>
      <w:hyperlink r:id="rId10" w:history="1">
        <w:r w:rsidRPr="00616655">
          <w:rPr>
            <w:rStyle w:val="Hyperlink"/>
            <w:rFonts w:ascii="Verdana" w:hAnsi="Verdana"/>
            <w:sz w:val="16"/>
            <w:szCs w:val="16"/>
            <w:lang w:val="en-GB"/>
          </w:rPr>
          <w:t>https://legilux.public.lu/filestore/eli/dl/pl/2023/82/doc/dpl/2/fr/pdf/eli-dl-pl-2023-82-doc-dpl-2-fr-pdf.pdf</w:t>
        </w:r>
      </w:hyperlink>
      <w:r w:rsidRPr="00616655">
        <w:rPr>
          <w:rFonts w:ascii="Verdana" w:hAnsi="Verdana"/>
          <w:color w:val="000000"/>
          <w:sz w:val="16"/>
          <w:szCs w:val="16"/>
          <w:lang w:val="en-GB"/>
        </w:rPr>
        <w:t xml:space="preserve"> </w:t>
      </w:r>
      <w:r w:rsidRPr="00616655">
        <w:rPr>
          <w:rFonts w:ascii="Verdana" w:hAnsi="Verdana" w:cs="Arial"/>
          <w:color w:val="000000" w:themeColor="text1"/>
          <w:sz w:val="16"/>
          <w:szCs w:val="16"/>
          <w:lang w:val="en-GB"/>
        </w:rPr>
        <w:t xml:space="preserve">(last accessed on </w:t>
      </w:r>
      <w:r w:rsidR="00616655" w:rsidRPr="00616655">
        <w:rPr>
          <w:rFonts w:ascii="Verdana" w:hAnsi="Verdana"/>
          <w:color w:val="000000"/>
          <w:sz w:val="16"/>
          <w:szCs w:val="16"/>
          <w:lang w:val="en-GB"/>
        </w:rPr>
        <w:t xml:space="preserve">3 January </w:t>
      </w:r>
      <w:r w:rsidR="00616655" w:rsidRPr="00616655">
        <w:rPr>
          <w:rFonts w:ascii="Verdana" w:hAnsi="Verdana" w:cs="Arial"/>
          <w:color w:val="000000" w:themeColor="text1"/>
          <w:sz w:val="16"/>
          <w:szCs w:val="16"/>
          <w:lang w:val="en-GB"/>
        </w:rPr>
        <w:t>2026</w:t>
      </w:r>
      <w:r w:rsidRPr="00616655">
        <w:rPr>
          <w:rFonts w:ascii="Verdana" w:hAnsi="Verdana" w:cs="Arial"/>
          <w:color w:val="000000" w:themeColor="text1"/>
          <w:sz w:val="16"/>
          <w:szCs w:val="16"/>
          <w:lang w:val="en-GB"/>
        </w:rPr>
        <w:t>).</w:t>
      </w:r>
    </w:p>
  </w:footnote>
  <w:footnote w:id="7">
    <w:p w14:paraId="2AAFE57E" w14:textId="33D1F97B" w:rsidR="00D441B2" w:rsidRPr="00616655" w:rsidRDefault="00D441B2" w:rsidP="00DA24B4">
      <w:pPr>
        <w:pStyle w:val="p1"/>
        <w:ind w:right="-46"/>
        <w:jc w:val="both"/>
        <w:rPr>
          <w:rFonts w:cs="Arial"/>
          <w:color w:val="000000" w:themeColor="text1"/>
          <w:sz w:val="16"/>
          <w:szCs w:val="16"/>
          <w:lang w:val="en-GB"/>
        </w:rPr>
      </w:pPr>
      <w:r w:rsidRPr="00616655">
        <w:rPr>
          <w:rStyle w:val="FootnoteReference"/>
          <w:sz w:val="16"/>
          <w:szCs w:val="16"/>
          <w:lang w:val="en-GB"/>
        </w:rPr>
        <w:footnoteRef/>
      </w:r>
      <w:r w:rsidRPr="00616655">
        <w:rPr>
          <w:sz w:val="16"/>
          <w:szCs w:val="16"/>
          <w:lang w:val="en-GB"/>
        </w:rPr>
        <w:t xml:space="preserve"> </w:t>
      </w:r>
      <w:r w:rsidRPr="00616655">
        <w:rPr>
          <w:rFonts w:cs="Arial"/>
          <w:color w:val="000000" w:themeColor="text1"/>
          <w:sz w:val="16"/>
          <w:szCs w:val="16"/>
          <w:lang w:val="en-GB"/>
        </w:rPr>
        <w:t>For the SICAR Act 2004 please refer to Article 19(1); and for the UCI Act 2010 please refer to Article 143(1).</w:t>
      </w:r>
    </w:p>
  </w:footnote>
  <w:footnote w:id="8">
    <w:p w14:paraId="40568206" w14:textId="06392D0E" w:rsidR="00FF0E0F" w:rsidRPr="00616655" w:rsidRDefault="00FF0E0F" w:rsidP="00DA24B4">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616655">
        <w:rPr>
          <w:rFonts w:ascii="Verdana" w:hAnsi="Verdana"/>
          <w:sz w:val="16"/>
          <w:szCs w:val="16"/>
          <w:lang w:val="en-GB"/>
        </w:rPr>
        <w:t xml:space="preserve"> See the Luxembourg Act of 21 July 2023 amending: the amended Law of 15 June 2004 on the investment company in risk capital (SICAR); the amended Law of 13 February 2007 on specialised investment funds; the amended Law of 17 December 2010 on undertakings for collective investment; the amended Law of 12 July 2013 on alternative investment fund managers; and the amended Law of 23 July 2016 on reserved alternative investment funds</w:t>
      </w:r>
      <w:r w:rsidRPr="00616655">
        <w:rPr>
          <w:rFonts w:ascii="Verdana" w:hAnsi="Verdana"/>
          <w:color w:val="000000"/>
          <w:sz w:val="16"/>
          <w:szCs w:val="16"/>
          <w:lang w:val="en-GB"/>
        </w:rPr>
        <w:t xml:space="preserve">; Doc. parl. 8183; </w:t>
      </w:r>
      <w:hyperlink r:id="rId11" w:history="1">
        <w:r w:rsidRPr="00616655">
          <w:rPr>
            <w:rStyle w:val="Hyperlink"/>
            <w:rFonts w:ascii="Verdana" w:hAnsi="Verdana"/>
            <w:sz w:val="16"/>
            <w:szCs w:val="16"/>
            <w:lang w:val="en-GB"/>
          </w:rPr>
          <w:t>https://legilux.public.lu/filestore/eli/dl/pl/2023/82/doc/dpl/2/fr/pdf/eli-dl-pl-2023-82-doc-dpl-2-fr-pdf.pdf</w:t>
        </w:r>
      </w:hyperlink>
      <w:r w:rsidRPr="00616655">
        <w:rPr>
          <w:rFonts w:ascii="Verdana" w:hAnsi="Verdana"/>
          <w:color w:val="000000"/>
          <w:sz w:val="16"/>
          <w:szCs w:val="16"/>
          <w:lang w:val="en-GB"/>
        </w:rPr>
        <w:t xml:space="preserve"> </w:t>
      </w:r>
      <w:r w:rsidRPr="00616655">
        <w:rPr>
          <w:rFonts w:ascii="Verdana" w:hAnsi="Verdana" w:cs="Arial"/>
          <w:color w:val="000000" w:themeColor="text1"/>
          <w:sz w:val="16"/>
          <w:szCs w:val="16"/>
          <w:lang w:val="en-GB"/>
        </w:rPr>
        <w:t xml:space="preserve">(last accessed on </w:t>
      </w:r>
      <w:r w:rsidR="00616655" w:rsidRPr="00616655">
        <w:rPr>
          <w:rFonts w:ascii="Verdana" w:hAnsi="Verdana"/>
          <w:color w:val="000000"/>
          <w:sz w:val="16"/>
          <w:szCs w:val="16"/>
          <w:lang w:val="en-GB"/>
        </w:rPr>
        <w:t xml:space="preserve">3 January </w:t>
      </w:r>
      <w:r w:rsidR="00616655" w:rsidRPr="00616655">
        <w:rPr>
          <w:rFonts w:ascii="Verdana" w:hAnsi="Verdana" w:cs="Arial"/>
          <w:color w:val="000000" w:themeColor="text1"/>
          <w:sz w:val="16"/>
          <w:szCs w:val="16"/>
          <w:lang w:val="en-GB"/>
        </w:rPr>
        <w:t>2026</w:t>
      </w:r>
      <w:r w:rsidRPr="00616655">
        <w:rPr>
          <w:rFonts w:ascii="Verdana" w:hAnsi="Verdana" w:cs="Arial"/>
          <w:color w:val="000000" w:themeColor="text1"/>
          <w:sz w:val="16"/>
          <w:szCs w:val="16"/>
          <w:lang w:val="en-GB"/>
        </w:rPr>
        <w:t>).</w:t>
      </w:r>
    </w:p>
  </w:footnote>
  <w:footnote w:id="9">
    <w:p w14:paraId="70600139" w14:textId="7B54DDBA" w:rsidR="00777303" w:rsidRPr="000D0796" w:rsidRDefault="00777303" w:rsidP="00DA24B4">
      <w:pPr>
        <w:pStyle w:val="p1"/>
        <w:ind w:right="-46"/>
        <w:jc w:val="both"/>
        <w:rPr>
          <w:rFonts w:cs="Arial"/>
          <w:color w:val="000000" w:themeColor="text1"/>
          <w:sz w:val="16"/>
          <w:szCs w:val="16"/>
          <w:lang w:val="fr-LU"/>
        </w:rPr>
      </w:pPr>
      <w:r w:rsidRPr="00616655">
        <w:rPr>
          <w:rStyle w:val="FootnoteReference"/>
          <w:sz w:val="16"/>
          <w:szCs w:val="16"/>
          <w:lang w:val="en-GB"/>
        </w:rPr>
        <w:footnoteRef/>
      </w:r>
      <w:r w:rsidRPr="000D0796">
        <w:rPr>
          <w:sz w:val="16"/>
          <w:szCs w:val="16"/>
          <w:lang w:val="fr-LU"/>
        </w:rPr>
        <w:t xml:space="preserve"> </w:t>
      </w:r>
      <w:r w:rsidRPr="000D0796">
        <w:rPr>
          <w:rFonts w:cs="Arial"/>
          <w:color w:val="000000" w:themeColor="text1"/>
          <w:sz w:val="16"/>
          <w:szCs w:val="16"/>
          <w:lang w:val="fr-LU"/>
        </w:rPr>
        <w:t xml:space="preserve">See point </w:t>
      </w:r>
      <w:r w:rsidRPr="000D0796">
        <w:rPr>
          <w:rFonts w:cs="Arial"/>
          <w:b/>
          <w:bCs/>
          <w:color w:val="002060"/>
          <w:sz w:val="16"/>
          <w:szCs w:val="16"/>
          <w:lang w:val="fr-LU"/>
        </w:rPr>
        <w:t>(36)</w:t>
      </w:r>
      <w:r w:rsidRPr="000D0796">
        <w:rPr>
          <w:rFonts w:cs="Arial"/>
          <w:color w:val="000000" w:themeColor="text1"/>
          <w:sz w:val="16"/>
          <w:szCs w:val="16"/>
          <w:lang w:val="fr-LU"/>
        </w:rPr>
        <w:t xml:space="preserve"> above.</w:t>
      </w:r>
    </w:p>
  </w:footnote>
  <w:footnote w:id="10">
    <w:p w14:paraId="7783B085" w14:textId="1B74B218" w:rsidR="00616655" w:rsidRPr="00616655" w:rsidRDefault="000F5C77" w:rsidP="00DA24B4">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616655">
        <w:rPr>
          <w:rFonts w:ascii="Verdana" w:hAnsi="Verdana"/>
          <w:sz w:val="16"/>
          <w:szCs w:val="16"/>
          <w:lang w:val="fr-LU"/>
        </w:rPr>
        <w:t xml:space="preserve"> </w:t>
      </w:r>
      <w:proofErr w:type="spellStart"/>
      <w:r w:rsidRPr="00616655">
        <w:rPr>
          <w:rFonts w:ascii="Verdana" w:hAnsi="Verdana"/>
          <w:sz w:val="16"/>
          <w:szCs w:val="16"/>
          <w:lang w:val="fr-LU"/>
        </w:rPr>
        <w:t>See</w:t>
      </w:r>
      <w:proofErr w:type="spellEnd"/>
      <w:r w:rsidRPr="00616655">
        <w:rPr>
          <w:rFonts w:ascii="Verdana" w:hAnsi="Verdana"/>
          <w:sz w:val="16"/>
          <w:szCs w:val="16"/>
          <w:lang w:val="fr-LU"/>
        </w:rPr>
        <w:t xml:space="preserve"> Isabelle </w:t>
      </w:r>
      <w:proofErr w:type="spellStart"/>
      <w:r w:rsidRPr="00616655">
        <w:rPr>
          <w:rFonts w:ascii="Verdana" w:hAnsi="Verdana"/>
          <w:sz w:val="16"/>
          <w:szCs w:val="16"/>
          <w:lang w:val="fr-LU"/>
        </w:rPr>
        <w:t>Riassetto</w:t>
      </w:r>
      <w:proofErr w:type="spellEnd"/>
      <w:r w:rsidRPr="00616655">
        <w:rPr>
          <w:rFonts w:ascii="Verdana" w:hAnsi="Verdana"/>
          <w:sz w:val="16"/>
          <w:szCs w:val="16"/>
          <w:lang w:val="fr-LU"/>
        </w:rPr>
        <w:t xml:space="preserve">, </w:t>
      </w:r>
      <w:r w:rsidR="00616655">
        <w:rPr>
          <w:rFonts w:ascii="Verdana" w:hAnsi="Verdana"/>
          <w:sz w:val="16"/>
          <w:szCs w:val="16"/>
          <w:lang w:val="fr-LU"/>
        </w:rPr>
        <w:t>‘</w:t>
      </w:r>
      <w:r w:rsidRPr="00616655">
        <w:rPr>
          <w:rFonts w:ascii="Verdana" w:hAnsi="Verdana"/>
          <w:sz w:val="16"/>
          <w:szCs w:val="16"/>
          <w:lang w:val="fr-LU"/>
        </w:rPr>
        <w:t>Droit Commercial Général du Luxembourg, Leçon n° 5 – Le commerçant – Notion</w:t>
      </w:r>
      <w:r w:rsidR="00616655">
        <w:rPr>
          <w:rFonts w:ascii="Verdana" w:hAnsi="Verdana"/>
          <w:sz w:val="16"/>
          <w:szCs w:val="16"/>
          <w:lang w:val="fr-LU"/>
        </w:rPr>
        <w:t>’</w:t>
      </w:r>
      <w:r w:rsidRPr="00616655">
        <w:rPr>
          <w:rFonts w:ascii="Verdana" w:hAnsi="Verdana"/>
          <w:sz w:val="16"/>
          <w:szCs w:val="16"/>
          <w:lang w:val="fr-LU"/>
        </w:rPr>
        <w:t xml:space="preserve">, </w:t>
      </w:r>
      <w:r w:rsidR="00616655">
        <w:rPr>
          <w:rFonts w:ascii="Verdana" w:hAnsi="Verdana"/>
          <w:sz w:val="16"/>
          <w:szCs w:val="16"/>
          <w:lang w:val="fr-LU"/>
        </w:rPr>
        <w:t>A</w:t>
      </w:r>
      <w:r w:rsidRPr="00616655">
        <w:rPr>
          <w:rFonts w:ascii="Verdana" w:hAnsi="Verdana"/>
          <w:sz w:val="16"/>
          <w:szCs w:val="16"/>
          <w:lang w:val="fr-LU"/>
        </w:rPr>
        <w:t>nnée universitaire 2024-2025</w:t>
      </w:r>
      <w:r w:rsidR="00293E99" w:rsidRPr="00616655">
        <w:rPr>
          <w:rFonts w:ascii="Verdana" w:hAnsi="Verdana"/>
          <w:sz w:val="16"/>
          <w:szCs w:val="16"/>
          <w:lang w:val="fr-LU"/>
        </w:rPr>
        <w:t xml:space="preserve">; </w:t>
      </w:r>
      <w:hyperlink r:id="rId12" w:history="1">
        <w:r w:rsidR="00616655" w:rsidRPr="006F5826">
          <w:rPr>
            <w:rStyle w:val="Hyperlink"/>
            <w:rFonts w:ascii="Verdana" w:hAnsi="Verdana"/>
            <w:sz w:val="16"/>
            <w:szCs w:val="16"/>
            <w:lang w:val="fr-LU"/>
          </w:rPr>
          <w:t>https://www.studocu.com/row/document/universite-du-luxembourg/droit-commercial/lecon-5-notion-de-commercant-en-droit-commercial-bachelor-droit/135456456</w:t>
        </w:r>
      </w:hyperlink>
      <w:r w:rsidR="00616655">
        <w:rPr>
          <w:rFonts w:ascii="Verdana" w:hAnsi="Verdana"/>
          <w:sz w:val="16"/>
          <w:szCs w:val="16"/>
          <w:lang w:val="fr-LU"/>
        </w:rPr>
        <w:t xml:space="preserve"> </w:t>
      </w:r>
      <w:r w:rsidR="00293E99" w:rsidRPr="00616655">
        <w:rPr>
          <w:rFonts w:ascii="Verdana" w:hAnsi="Verdana" w:cs="Arial"/>
          <w:color w:val="000000" w:themeColor="text1"/>
          <w:sz w:val="16"/>
          <w:szCs w:val="16"/>
          <w:lang w:val="fr-LU"/>
        </w:rPr>
        <w:t xml:space="preserve">(last </w:t>
      </w:r>
      <w:proofErr w:type="spellStart"/>
      <w:r w:rsidR="00293E99" w:rsidRPr="00616655">
        <w:rPr>
          <w:rFonts w:ascii="Verdana" w:hAnsi="Verdana" w:cs="Arial"/>
          <w:color w:val="000000" w:themeColor="text1"/>
          <w:sz w:val="16"/>
          <w:szCs w:val="16"/>
          <w:lang w:val="fr-LU"/>
        </w:rPr>
        <w:t>accessed</w:t>
      </w:r>
      <w:proofErr w:type="spellEnd"/>
      <w:r w:rsidR="00293E99" w:rsidRPr="00616655">
        <w:rPr>
          <w:rFonts w:ascii="Verdana" w:hAnsi="Verdana" w:cs="Arial"/>
          <w:color w:val="000000" w:themeColor="text1"/>
          <w:sz w:val="16"/>
          <w:szCs w:val="16"/>
          <w:lang w:val="fr-LU"/>
        </w:rPr>
        <w:t xml:space="preserve"> on </w:t>
      </w:r>
      <w:r w:rsidR="00616655" w:rsidRPr="00616655">
        <w:rPr>
          <w:rFonts w:ascii="Verdana" w:hAnsi="Verdana"/>
          <w:color w:val="000000"/>
          <w:sz w:val="16"/>
          <w:szCs w:val="16"/>
          <w:lang w:val="fr-LU"/>
        </w:rPr>
        <w:t xml:space="preserve">3 </w:t>
      </w:r>
      <w:proofErr w:type="spellStart"/>
      <w:r w:rsidR="00616655" w:rsidRPr="00616655">
        <w:rPr>
          <w:rFonts w:ascii="Verdana" w:hAnsi="Verdana"/>
          <w:color w:val="000000"/>
          <w:sz w:val="16"/>
          <w:szCs w:val="16"/>
          <w:lang w:val="fr-LU"/>
        </w:rPr>
        <w:t>January</w:t>
      </w:r>
      <w:proofErr w:type="spellEnd"/>
      <w:r w:rsidR="00616655" w:rsidRPr="00616655">
        <w:rPr>
          <w:rFonts w:ascii="Verdana" w:hAnsi="Verdana"/>
          <w:color w:val="000000"/>
          <w:sz w:val="16"/>
          <w:szCs w:val="16"/>
          <w:lang w:val="fr-LU"/>
        </w:rPr>
        <w:t xml:space="preserve"> </w:t>
      </w:r>
      <w:r w:rsidR="00616655" w:rsidRPr="00616655">
        <w:rPr>
          <w:rFonts w:ascii="Verdana" w:hAnsi="Verdana" w:cs="Arial"/>
          <w:color w:val="000000" w:themeColor="text1"/>
          <w:sz w:val="16"/>
          <w:szCs w:val="16"/>
          <w:lang w:val="fr-LU"/>
        </w:rPr>
        <w:t>2026</w:t>
      </w:r>
      <w:r w:rsidR="00293E99" w:rsidRPr="00616655">
        <w:rPr>
          <w:rFonts w:ascii="Verdana" w:hAnsi="Verdana" w:cs="Arial"/>
          <w:color w:val="000000" w:themeColor="text1"/>
          <w:sz w:val="16"/>
          <w:szCs w:val="16"/>
          <w:lang w:val="fr-LU"/>
        </w:rPr>
        <w:t>)</w:t>
      </w:r>
      <w:r w:rsidRPr="00616655">
        <w:rPr>
          <w:rFonts w:ascii="Verdana" w:hAnsi="Verdana"/>
          <w:sz w:val="16"/>
          <w:szCs w:val="16"/>
          <w:lang w:val="fr-LU"/>
        </w:rPr>
        <w:t xml:space="preserve">; and in French </w:t>
      </w:r>
      <w:proofErr w:type="spellStart"/>
      <w:r w:rsidRPr="00616655">
        <w:rPr>
          <w:rFonts w:ascii="Verdana" w:hAnsi="Verdana"/>
          <w:sz w:val="16"/>
          <w:szCs w:val="16"/>
          <w:lang w:val="fr-LU"/>
        </w:rPr>
        <w:t>law</w:t>
      </w:r>
      <w:proofErr w:type="spellEnd"/>
      <w:r w:rsidRPr="00616655">
        <w:rPr>
          <w:rFonts w:ascii="Verdana" w:hAnsi="Verdana"/>
          <w:sz w:val="16"/>
          <w:szCs w:val="16"/>
          <w:lang w:val="fr-LU"/>
        </w:rPr>
        <w:t xml:space="preserve"> Xavier </w:t>
      </w:r>
      <w:proofErr w:type="spellStart"/>
      <w:r w:rsidRPr="00616655">
        <w:rPr>
          <w:rFonts w:ascii="Verdana" w:hAnsi="Verdana"/>
          <w:sz w:val="16"/>
          <w:szCs w:val="16"/>
          <w:lang w:val="fr-LU"/>
        </w:rPr>
        <w:t>Prétot</w:t>
      </w:r>
      <w:proofErr w:type="spellEnd"/>
      <w:r w:rsidRPr="00616655">
        <w:rPr>
          <w:rFonts w:ascii="Verdana" w:hAnsi="Verdana"/>
          <w:sz w:val="16"/>
          <w:szCs w:val="16"/>
          <w:lang w:val="fr-LU"/>
        </w:rPr>
        <w:t xml:space="preserve">, </w:t>
      </w:r>
      <w:r w:rsidR="00616655">
        <w:rPr>
          <w:rFonts w:ascii="Verdana" w:hAnsi="Verdana"/>
          <w:sz w:val="16"/>
          <w:szCs w:val="16"/>
          <w:lang w:val="fr-LU"/>
        </w:rPr>
        <w:t>‘</w:t>
      </w:r>
      <w:r w:rsidRPr="00616655">
        <w:rPr>
          <w:rFonts w:ascii="Verdana" w:hAnsi="Verdana"/>
          <w:sz w:val="16"/>
          <w:szCs w:val="16"/>
          <w:lang w:val="fr-LU"/>
        </w:rPr>
        <w:t xml:space="preserve">Le Code de commerce et le Code de la sécurité sociale, Comment peut-on être </w:t>
      </w:r>
      <w:r w:rsidRPr="00E21498">
        <w:rPr>
          <w:rFonts w:ascii="Verdana" w:hAnsi="Verdana"/>
          <w:color w:val="000000"/>
          <w:sz w:val="16"/>
          <w:szCs w:val="16"/>
          <w:lang w:val="fr-LU"/>
        </w:rPr>
        <w:t>commerçant?</w:t>
      </w:r>
      <w:r w:rsidR="00616655">
        <w:rPr>
          <w:rFonts w:ascii="Verdana" w:hAnsi="Verdana"/>
          <w:color w:val="000000"/>
          <w:sz w:val="16"/>
          <w:szCs w:val="16"/>
          <w:lang w:val="fr-LU"/>
        </w:rPr>
        <w:t xml:space="preserve">’ </w:t>
      </w:r>
      <w:r w:rsidR="00616655" w:rsidRPr="000D0796">
        <w:rPr>
          <w:rFonts w:ascii="Verdana" w:hAnsi="Verdana"/>
          <w:color w:val="000000"/>
          <w:sz w:val="16"/>
          <w:szCs w:val="16"/>
          <w:lang w:val="en-US"/>
        </w:rPr>
        <w:t>(2007)</w:t>
      </w:r>
      <w:r w:rsidRPr="000D0796">
        <w:rPr>
          <w:rFonts w:ascii="Verdana" w:hAnsi="Verdana"/>
          <w:color w:val="000000"/>
          <w:sz w:val="16"/>
          <w:szCs w:val="16"/>
          <w:lang w:val="en-US"/>
        </w:rPr>
        <w:t xml:space="preserve"> </w:t>
      </w:r>
      <w:r w:rsidRPr="00E21498">
        <w:rPr>
          <w:rFonts w:ascii="Verdana" w:hAnsi="Verdana"/>
          <w:i/>
          <w:iCs/>
          <w:color w:val="000000"/>
          <w:sz w:val="16"/>
          <w:szCs w:val="16"/>
          <w:lang w:val="en-GB"/>
        </w:rPr>
        <w:t xml:space="preserve">Livre du </w:t>
      </w:r>
      <w:proofErr w:type="spellStart"/>
      <w:r w:rsidRPr="00E21498">
        <w:rPr>
          <w:rFonts w:ascii="Verdana" w:hAnsi="Verdana"/>
          <w:i/>
          <w:iCs/>
          <w:color w:val="000000"/>
          <w:sz w:val="16"/>
          <w:szCs w:val="16"/>
          <w:lang w:val="en-GB"/>
        </w:rPr>
        <w:t>bicentenaire</w:t>
      </w:r>
      <w:proofErr w:type="spellEnd"/>
      <w:r w:rsidRPr="00E21498">
        <w:rPr>
          <w:rFonts w:ascii="Verdana" w:hAnsi="Verdana"/>
          <w:i/>
          <w:iCs/>
          <w:color w:val="000000"/>
          <w:sz w:val="16"/>
          <w:szCs w:val="16"/>
          <w:lang w:val="en-GB"/>
        </w:rPr>
        <w:t xml:space="preserve"> du Code de commerce, 1807-2007</w:t>
      </w:r>
      <w:r w:rsidRPr="00E21498">
        <w:rPr>
          <w:rFonts w:ascii="Verdana" w:hAnsi="Verdana"/>
          <w:color w:val="000000"/>
          <w:sz w:val="16"/>
          <w:szCs w:val="16"/>
          <w:lang w:val="en-GB"/>
        </w:rPr>
        <w:t xml:space="preserve">, </w:t>
      </w:r>
      <w:proofErr w:type="spellStart"/>
      <w:r w:rsidRPr="00E21498">
        <w:rPr>
          <w:rFonts w:ascii="Verdana" w:hAnsi="Verdana"/>
          <w:color w:val="000000"/>
          <w:sz w:val="16"/>
          <w:szCs w:val="16"/>
          <w:lang w:val="en-GB"/>
        </w:rPr>
        <w:t>Dalloz</w:t>
      </w:r>
      <w:proofErr w:type="spellEnd"/>
      <w:r w:rsidRPr="00E21498">
        <w:rPr>
          <w:rFonts w:ascii="Verdana" w:hAnsi="Verdana"/>
          <w:color w:val="000000"/>
          <w:sz w:val="16"/>
          <w:szCs w:val="16"/>
          <w:lang w:val="en-GB"/>
        </w:rPr>
        <w:t>, p. 109</w:t>
      </w:r>
      <w:r w:rsidRPr="00616655">
        <w:rPr>
          <w:rFonts w:ascii="Verdana" w:hAnsi="Verdana"/>
          <w:sz w:val="16"/>
          <w:szCs w:val="16"/>
          <w:lang w:val="en-GB"/>
        </w:rPr>
        <w:t>.</w:t>
      </w:r>
    </w:p>
  </w:footnote>
  <w:footnote w:id="11">
    <w:p w14:paraId="542DF15F" w14:textId="7EDDE7F7" w:rsidR="000F5C77" w:rsidRPr="00616655" w:rsidRDefault="000F5C77" w:rsidP="00DA24B4">
      <w:pPr>
        <w:pStyle w:val="p1"/>
        <w:ind w:right="-46"/>
        <w:jc w:val="both"/>
        <w:rPr>
          <w:sz w:val="16"/>
          <w:szCs w:val="16"/>
          <w:lang w:val="en-GB"/>
        </w:rPr>
      </w:pPr>
      <w:r w:rsidRPr="00616655">
        <w:rPr>
          <w:rStyle w:val="FootnoteReference"/>
          <w:sz w:val="16"/>
          <w:szCs w:val="16"/>
          <w:lang w:val="en-GB"/>
        </w:rPr>
        <w:footnoteRef/>
      </w:r>
      <w:r w:rsidRPr="00616655">
        <w:rPr>
          <w:sz w:val="16"/>
          <w:szCs w:val="16"/>
          <w:lang w:val="en-GB"/>
        </w:rPr>
        <w:t xml:space="preserve"> </w:t>
      </w:r>
      <w:r w:rsidRPr="00380C61">
        <w:rPr>
          <w:rFonts w:cs="Arial"/>
          <w:sz w:val="16"/>
          <w:szCs w:val="16"/>
          <w:lang w:val="en-GB"/>
        </w:rPr>
        <w:t>See Recital (3) of the Commission Recommendation of 6 May 2003 concerning the definition of micro, small and medium-sized</w:t>
      </w:r>
      <w:r w:rsidRPr="00616655">
        <w:rPr>
          <w:rFonts w:cs="Arial"/>
          <w:sz w:val="16"/>
          <w:szCs w:val="16"/>
          <w:lang w:val="en-GB"/>
        </w:rPr>
        <w:t xml:space="preserve"> </w:t>
      </w:r>
      <w:r w:rsidRPr="00380C61">
        <w:rPr>
          <w:rFonts w:cs="Arial"/>
          <w:sz w:val="16"/>
          <w:szCs w:val="16"/>
          <w:lang w:val="en-GB"/>
        </w:rPr>
        <w:t>enterprises (notified under document number C(2003) 1422) (2003/361/EC)</w:t>
      </w:r>
      <w:r w:rsidRPr="00616655">
        <w:rPr>
          <w:rFonts w:cs="Arial"/>
          <w:sz w:val="16"/>
          <w:szCs w:val="16"/>
          <w:lang w:val="en-GB"/>
        </w:rPr>
        <w:t xml:space="preserve"> </w:t>
      </w:r>
      <w:r w:rsidRPr="00380C61">
        <w:rPr>
          <w:rFonts w:cs="Arial"/>
          <w:sz w:val="16"/>
          <w:szCs w:val="16"/>
          <w:lang w:val="en-GB"/>
        </w:rPr>
        <w:t xml:space="preserve">(Text with EEA relevance); </w:t>
      </w:r>
      <w:hyperlink r:id="rId13" w:history="1">
        <w:r w:rsidRPr="00380C61">
          <w:rPr>
            <w:rStyle w:val="Hyperlink"/>
            <w:rFonts w:cs="Arial"/>
            <w:sz w:val="16"/>
            <w:szCs w:val="16"/>
            <w:lang w:val="en-GB"/>
          </w:rPr>
          <w:t>https://eur-lex.europa.eu/LexUriServ/LexUriServ.do?uri=OJ:L:2003:124:0036:0041:en:PDF</w:t>
        </w:r>
      </w:hyperlink>
      <w:r w:rsidRPr="00616655">
        <w:rPr>
          <w:rFonts w:cs="Arial"/>
          <w:sz w:val="16"/>
          <w:szCs w:val="16"/>
          <w:lang w:val="en-GB"/>
        </w:rPr>
        <w:t xml:space="preserve"> </w:t>
      </w:r>
      <w:r w:rsidRPr="00380C61">
        <w:rPr>
          <w:rFonts w:cs="Arial"/>
          <w:sz w:val="16"/>
          <w:szCs w:val="16"/>
          <w:lang w:val="en-GB"/>
        </w:rPr>
        <w:t>(</w:t>
      </w:r>
      <w:r w:rsidR="00616655" w:rsidRPr="00616655">
        <w:rPr>
          <w:rFonts w:cs="Arial"/>
          <w:sz w:val="16"/>
          <w:szCs w:val="16"/>
          <w:lang w:val="en-GB"/>
        </w:rPr>
        <w:t xml:space="preserve">last </w:t>
      </w:r>
      <w:r w:rsidRPr="00380C61">
        <w:rPr>
          <w:rFonts w:cs="Arial"/>
          <w:sz w:val="16"/>
          <w:szCs w:val="16"/>
          <w:lang w:val="en-GB"/>
        </w:rPr>
        <w:t xml:space="preserve">accessed </w:t>
      </w:r>
      <w:r w:rsidR="00616655" w:rsidRPr="00616655">
        <w:rPr>
          <w:sz w:val="16"/>
          <w:szCs w:val="16"/>
          <w:lang w:val="en-GB"/>
        </w:rPr>
        <w:t xml:space="preserve">3 January </w:t>
      </w:r>
      <w:r w:rsidR="00616655" w:rsidRPr="00616655">
        <w:rPr>
          <w:rFonts w:cs="Arial"/>
          <w:color w:val="000000" w:themeColor="text1"/>
          <w:sz w:val="16"/>
          <w:szCs w:val="16"/>
          <w:lang w:val="en-GB"/>
        </w:rPr>
        <w:t>2026</w:t>
      </w:r>
      <w:r w:rsidRPr="00380C61">
        <w:rPr>
          <w:rFonts w:cs="Arial"/>
          <w:sz w:val="16"/>
          <w:szCs w:val="16"/>
          <w:lang w:val="en-GB"/>
        </w:rPr>
        <w:t>)</w:t>
      </w:r>
      <w:r w:rsidRPr="00616655">
        <w:rPr>
          <w:sz w:val="16"/>
          <w:szCs w:val="16"/>
          <w:lang w:val="en-GB"/>
        </w:rPr>
        <w:t xml:space="preserve">. The European Court of Justice and the European Commission therefore also retained as decisive criterion the economic activity performed by the entity over any requirement to be incorporated or even have a legal personality (as many partnerships do not have the legal personality such as the English partnerships or the Luxembourg special limited partnerships. The author further notes as well that the title of the section containing Article 71 of the SIF Act 2007 refers – like the European text to “special provisions relating to the </w:t>
      </w:r>
      <w:r w:rsidRPr="00616655">
        <w:rPr>
          <w:i/>
          <w:iCs/>
          <w:sz w:val="16"/>
          <w:szCs w:val="16"/>
          <w:lang w:val="en-GB"/>
        </w:rPr>
        <w:t>legal form</w:t>
      </w:r>
      <w:r w:rsidRPr="00616655">
        <w:rPr>
          <w:sz w:val="16"/>
          <w:szCs w:val="16"/>
          <w:lang w:val="en-GB"/>
        </w:rPr>
        <w:t>” and Article 71(5) uses the term “entity” when referring to a compartment.</w:t>
      </w:r>
    </w:p>
  </w:footnote>
  <w:footnote w:id="12">
    <w:p w14:paraId="3A15752E" w14:textId="7CAA8018" w:rsidR="00196A8C" w:rsidRPr="00196A8C" w:rsidRDefault="00196A8C" w:rsidP="00DA24B4">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196A8C">
        <w:rPr>
          <w:rFonts w:ascii="Verdana" w:hAnsi="Verdana"/>
          <w:sz w:val="16"/>
          <w:szCs w:val="16"/>
          <w:lang w:val="en-GB"/>
        </w:rPr>
        <w:t xml:space="preserve"> For more information on the subject of </w:t>
      </w:r>
      <w:r>
        <w:rPr>
          <w:rFonts w:ascii="Verdana" w:hAnsi="Verdana"/>
          <w:sz w:val="16"/>
          <w:szCs w:val="16"/>
          <w:lang w:val="en-GB"/>
        </w:rPr>
        <w:t>autonomy of compartments</w:t>
      </w:r>
      <w:r w:rsidRPr="00196A8C">
        <w:rPr>
          <w:rFonts w:ascii="Verdana" w:hAnsi="Verdana"/>
          <w:sz w:val="16"/>
          <w:szCs w:val="16"/>
          <w:lang w:val="en-GB"/>
        </w:rPr>
        <w:t xml:space="preserve">, please see Isabelle </w:t>
      </w:r>
      <w:proofErr w:type="spellStart"/>
      <w:r w:rsidRPr="00196A8C">
        <w:rPr>
          <w:rFonts w:ascii="Verdana" w:hAnsi="Verdana"/>
          <w:sz w:val="16"/>
          <w:szCs w:val="16"/>
          <w:lang w:val="en-GB"/>
        </w:rPr>
        <w:t>Riassetto</w:t>
      </w:r>
      <w:proofErr w:type="spellEnd"/>
      <w:r w:rsidRPr="00196A8C">
        <w:rPr>
          <w:rFonts w:ascii="Verdana" w:hAnsi="Verdana"/>
          <w:sz w:val="16"/>
          <w:szCs w:val="16"/>
          <w:lang w:val="en-GB"/>
        </w:rPr>
        <w:t>, ‘</w:t>
      </w:r>
      <w:proofErr w:type="spellStart"/>
      <w:r w:rsidRPr="00196A8C">
        <w:rPr>
          <w:rFonts w:ascii="Verdana" w:hAnsi="Verdana"/>
          <w:sz w:val="16"/>
          <w:szCs w:val="16"/>
          <w:lang w:val="en-GB"/>
        </w:rPr>
        <w:t>L’Autonomie</w:t>
      </w:r>
      <w:proofErr w:type="spellEnd"/>
      <w:r w:rsidRPr="00196A8C">
        <w:rPr>
          <w:rFonts w:ascii="Verdana" w:hAnsi="Verdana"/>
          <w:sz w:val="16"/>
          <w:szCs w:val="16"/>
          <w:lang w:val="en-GB"/>
        </w:rPr>
        <w:t xml:space="preserve"> Relative des </w:t>
      </w:r>
      <w:proofErr w:type="spellStart"/>
      <w:r w:rsidRPr="00196A8C">
        <w:rPr>
          <w:rFonts w:ascii="Verdana" w:hAnsi="Verdana"/>
          <w:sz w:val="16"/>
          <w:szCs w:val="16"/>
          <w:lang w:val="en-GB"/>
        </w:rPr>
        <w:t>Compartimen</w:t>
      </w:r>
      <w:r>
        <w:rPr>
          <w:rFonts w:ascii="Verdana" w:hAnsi="Verdana"/>
          <w:sz w:val="16"/>
          <w:szCs w:val="16"/>
          <w:lang w:val="en-GB"/>
        </w:rPr>
        <w:t>t</w:t>
      </w:r>
      <w:r w:rsidRPr="00196A8C">
        <w:rPr>
          <w:rFonts w:ascii="Verdana" w:hAnsi="Verdana"/>
          <w:sz w:val="16"/>
          <w:szCs w:val="16"/>
          <w:lang w:val="en-GB"/>
        </w:rPr>
        <w:t>s</w:t>
      </w:r>
      <w:proofErr w:type="spellEnd"/>
      <w:r w:rsidRPr="00196A8C">
        <w:rPr>
          <w:rFonts w:ascii="Verdana" w:hAnsi="Verdana"/>
          <w:sz w:val="16"/>
          <w:szCs w:val="16"/>
          <w:lang w:val="en-GB"/>
        </w:rPr>
        <w:t xml:space="preserve"> de Fonds </w:t>
      </w:r>
      <w:proofErr w:type="spellStart"/>
      <w:r w:rsidRPr="00196A8C">
        <w:rPr>
          <w:rFonts w:ascii="Verdana" w:hAnsi="Verdana"/>
          <w:sz w:val="16"/>
          <w:szCs w:val="16"/>
          <w:lang w:val="en-GB"/>
        </w:rPr>
        <w:t>d’Investissement</w:t>
      </w:r>
      <w:proofErr w:type="spellEnd"/>
      <w:r w:rsidRPr="00196A8C">
        <w:rPr>
          <w:rFonts w:ascii="Verdana" w:hAnsi="Verdana"/>
          <w:sz w:val="16"/>
          <w:szCs w:val="16"/>
          <w:lang w:val="en-GB"/>
        </w:rPr>
        <w:t xml:space="preserve">’ (2022) 2 </w:t>
      </w:r>
      <w:proofErr w:type="spellStart"/>
      <w:r w:rsidRPr="00196A8C">
        <w:rPr>
          <w:rFonts w:ascii="Verdana" w:hAnsi="Verdana"/>
          <w:i/>
          <w:iCs/>
          <w:sz w:val="16"/>
          <w:szCs w:val="16"/>
          <w:lang w:val="en-GB"/>
        </w:rPr>
        <w:t>Pasicrisie</w:t>
      </w:r>
      <w:proofErr w:type="spellEnd"/>
      <w:r w:rsidRPr="00196A8C">
        <w:rPr>
          <w:rFonts w:ascii="Verdana" w:hAnsi="Verdana"/>
          <w:i/>
          <w:iCs/>
          <w:sz w:val="16"/>
          <w:szCs w:val="16"/>
          <w:lang w:val="en-GB"/>
        </w:rPr>
        <w:t xml:space="preserve"> </w:t>
      </w:r>
      <w:proofErr w:type="spellStart"/>
      <w:r w:rsidRPr="00196A8C">
        <w:rPr>
          <w:rFonts w:ascii="Verdana" w:hAnsi="Verdana"/>
          <w:i/>
          <w:iCs/>
          <w:sz w:val="16"/>
          <w:szCs w:val="16"/>
          <w:lang w:val="en-GB"/>
        </w:rPr>
        <w:t>Luxembourgeoise</w:t>
      </w:r>
      <w:proofErr w:type="spellEnd"/>
      <w:r w:rsidRPr="00196A8C">
        <w:rPr>
          <w:rFonts w:ascii="Verdana" w:hAnsi="Verdana"/>
          <w:sz w:val="16"/>
          <w:szCs w:val="16"/>
          <w:lang w:val="en-GB"/>
        </w:rPr>
        <w:t>, 650-656.</w:t>
      </w:r>
    </w:p>
  </w:footnote>
  <w:footnote w:id="13">
    <w:p w14:paraId="7D565517" w14:textId="4C300B2F" w:rsidR="009F21F5" w:rsidRPr="00616655" w:rsidRDefault="009F21F5" w:rsidP="00DA24B4">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616655">
        <w:rPr>
          <w:rFonts w:ascii="Verdana" w:hAnsi="Verdana"/>
          <w:sz w:val="16"/>
          <w:szCs w:val="16"/>
          <w:lang w:val="en-GB"/>
        </w:rPr>
        <w:t xml:space="preserve"> </w:t>
      </w:r>
      <w:r w:rsidR="00BB0D82" w:rsidRPr="00616655">
        <w:rPr>
          <w:rFonts w:ascii="Verdana" w:hAnsi="Verdana"/>
          <w:sz w:val="16"/>
          <w:szCs w:val="16"/>
          <w:lang w:val="en-GB"/>
        </w:rPr>
        <w:t>Article 65 of the New Code of Civil Procedure indeed states that t</w:t>
      </w:r>
      <w:r w:rsidRPr="00616655">
        <w:rPr>
          <w:rFonts w:ascii="Verdana" w:hAnsi="Verdana"/>
          <w:sz w:val="16"/>
          <w:szCs w:val="16"/>
          <w:lang w:val="en-GB"/>
        </w:rPr>
        <w:t>he judge “</w:t>
      </w:r>
      <w:r w:rsidRPr="00616655">
        <w:rPr>
          <w:rFonts w:ascii="Verdana" w:hAnsi="Verdana"/>
          <w:i/>
          <w:iCs/>
          <w:sz w:val="16"/>
          <w:szCs w:val="16"/>
          <w:lang w:val="en-GB"/>
        </w:rPr>
        <w:t>may not base his decision on legal grounds raised ex officio without first inviting the parties to submit their observations</w:t>
      </w:r>
      <w:r w:rsidRPr="00616655">
        <w:rPr>
          <w:rFonts w:ascii="Verdana" w:hAnsi="Verdana"/>
          <w:sz w:val="16"/>
          <w:szCs w:val="16"/>
          <w:lang w:val="en-GB"/>
        </w:rPr>
        <w:t>”.</w:t>
      </w:r>
    </w:p>
  </w:footnote>
  <w:footnote w:id="14">
    <w:p w14:paraId="51F60098" w14:textId="15F4AF2D" w:rsidR="009F21F5" w:rsidRPr="00616655" w:rsidRDefault="009F21F5" w:rsidP="00DA24B4">
      <w:pPr>
        <w:pStyle w:val="FootnoteText"/>
        <w:ind w:right="-46"/>
        <w:jc w:val="both"/>
        <w:rPr>
          <w:rFonts w:ascii="Verdana" w:hAnsi="Verdana"/>
          <w:sz w:val="16"/>
          <w:szCs w:val="16"/>
          <w:lang w:val="en-GB"/>
        </w:rPr>
      </w:pPr>
      <w:r w:rsidRPr="00616655">
        <w:rPr>
          <w:rStyle w:val="FootnoteReference"/>
          <w:rFonts w:ascii="Verdana" w:hAnsi="Verdana"/>
          <w:sz w:val="16"/>
          <w:szCs w:val="16"/>
          <w:lang w:val="en-GB"/>
        </w:rPr>
        <w:footnoteRef/>
      </w:r>
      <w:r w:rsidRPr="00616655">
        <w:rPr>
          <w:rFonts w:ascii="Verdana" w:hAnsi="Verdana"/>
          <w:sz w:val="16"/>
          <w:szCs w:val="16"/>
          <w:lang w:val="en-GB"/>
        </w:rPr>
        <w:t xml:space="preserve"> Indeed, the Court of Appeal previously stated that: “</w:t>
      </w:r>
      <w:r w:rsidRPr="00616655">
        <w:rPr>
          <w:rFonts w:ascii="Verdana" w:hAnsi="Verdana"/>
          <w:i/>
          <w:iCs/>
          <w:sz w:val="16"/>
          <w:szCs w:val="16"/>
          <w:lang w:val="en-GB"/>
        </w:rPr>
        <w:t>The adversarial principle is inherent in judicial proceedings. It is firmly anchored both in national law (Articles 63 to 66 of the New Code of Civil Procedure), in European Union law (Article 47 of the Charter of Fundamental Rights of the European Union), and in European law (Article 6 of the Convention for the Protection of Human Rights and Fundamental Freedoms). It is recognised as one of the guiding principles of judicial procedure. Any derogation from the adversarial principle must be subject to a restrictive interpretation and application for two reasons: first, as a matter of general application, because it constitutes an exception which, as such, must be applied and interpreted restrictively; and second, as a matter specific to judicial procedure, because it undermines a guiding principle that structures judicial proceedings</w:t>
      </w:r>
      <w:r w:rsidRPr="00616655">
        <w:rPr>
          <w:rFonts w:ascii="Verdana" w:hAnsi="Verdana"/>
          <w:sz w:val="16"/>
          <w:szCs w:val="16"/>
          <w:lang w:val="en-GB"/>
        </w:rPr>
        <w:t xml:space="preserve">”; </w:t>
      </w:r>
      <w:r w:rsidR="00616655">
        <w:rPr>
          <w:rFonts w:ascii="Verdana" w:hAnsi="Verdana"/>
          <w:sz w:val="16"/>
          <w:szCs w:val="16"/>
          <w:lang w:val="en-GB"/>
        </w:rPr>
        <w:t>Luxembourg Court of Appeal</w:t>
      </w:r>
      <w:r w:rsidRPr="00616655">
        <w:rPr>
          <w:rFonts w:ascii="Verdana" w:hAnsi="Verdana"/>
          <w:sz w:val="16"/>
          <w:szCs w:val="16"/>
          <w:lang w:val="en-GB"/>
        </w:rPr>
        <w:t xml:space="preserve">, 1 </w:t>
      </w:r>
      <w:r w:rsidR="00616655">
        <w:rPr>
          <w:rFonts w:ascii="Verdana" w:hAnsi="Verdana"/>
          <w:sz w:val="16"/>
          <w:szCs w:val="16"/>
          <w:lang w:val="en-GB"/>
        </w:rPr>
        <w:t>December</w:t>
      </w:r>
      <w:r w:rsidRPr="00616655">
        <w:rPr>
          <w:rFonts w:ascii="Verdana" w:hAnsi="Verdana"/>
          <w:sz w:val="16"/>
          <w:szCs w:val="16"/>
          <w:lang w:val="en-GB"/>
        </w:rPr>
        <w:t xml:space="preserve"> 2021, n° CAL-2021-01108</w:t>
      </w:r>
      <w:r w:rsidR="00616655">
        <w:rPr>
          <w:rFonts w:ascii="Verdana" w:hAnsi="Verdana"/>
          <w:sz w:val="16"/>
          <w:szCs w:val="16"/>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EB23A" w14:textId="4BB6C0B6" w:rsidR="00C157EC" w:rsidRDefault="00C92445" w:rsidP="00C157EC">
    <w:pPr>
      <w:pStyle w:val="Header"/>
    </w:pPr>
    <w:r>
      <w:rPr>
        <w:noProof/>
      </w:rPr>
      <mc:AlternateContent>
        <mc:Choice Requires="wps">
          <w:drawing>
            <wp:anchor distT="0" distB="0" distL="114300" distR="114300" simplePos="0" relativeHeight="251663360" behindDoc="0" locked="0" layoutInCell="1" allowOverlap="1" wp14:anchorId="3D0BD83D" wp14:editId="0A737900">
              <wp:simplePos x="0" y="0"/>
              <wp:positionH relativeFrom="column">
                <wp:posOffset>3722370</wp:posOffset>
              </wp:positionH>
              <wp:positionV relativeFrom="paragraph">
                <wp:posOffset>287020</wp:posOffset>
              </wp:positionV>
              <wp:extent cx="2908248" cy="523344"/>
              <wp:effectExtent l="0" t="0" r="0" b="0"/>
              <wp:wrapNone/>
              <wp:docPr id="12" name="Textbox 12"/>
              <wp:cNvGraphicFramePr/>
              <a:graphic xmlns:a="http://schemas.openxmlformats.org/drawingml/2006/main">
                <a:graphicData uri="http://schemas.microsoft.com/office/word/2010/wordprocessingShape">
                  <wps:wsp>
                    <wps:cNvSpPr txBox="1"/>
                    <wps:spPr>
                      <a:xfrm>
                        <a:off x="0" y="0"/>
                        <a:ext cx="2908248" cy="523344"/>
                      </a:xfrm>
                      <a:prstGeom prst="rect">
                        <a:avLst/>
                      </a:prstGeom>
                    </wps:spPr>
                    <wps:txbx>
                      <w:txbxContent>
                        <w:p w14:paraId="0E1D4D95" w14:textId="788AF6A0" w:rsidR="00C92445" w:rsidRPr="002F59D7" w:rsidRDefault="00F61180" w:rsidP="004E269A">
                          <w:pPr>
                            <w:pStyle w:val="Footer"/>
                            <w:ind w:right="360"/>
                            <w:jc w:val="center"/>
                            <w:rPr>
                              <w:rFonts w:ascii="Verdana" w:hAnsi="Verdana"/>
                              <w:i/>
                              <w:iCs/>
                              <w:color w:val="FFFFFF" w:themeColor="background1"/>
                              <w:sz w:val="16"/>
                              <w:szCs w:val="16"/>
                              <w:lang w:val="en-US"/>
                            </w:rPr>
                          </w:pPr>
                          <w:proofErr w:type="spellStart"/>
                          <w:r>
                            <w:rPr>
                              <w:rFonts w:ascii="Verdana" w:hAnsi="Verdana"/>
                              <w:i/>
                              <w:iCs/>
                              <w:color w:val="FFFFFF" w:themeColor="background1"/>
                              <w:sz w:val="16"/>
                              <w:szCs w:val="16"/>
                              <w:lang w:val="en-US"/>
                            </w:rPr>
                            <w:t>NewTIFI</w:t>
                          </w:r>
                          <w:proofErr w:type="spellEnd"/>
                          <w:r w:rsidR="00C92445" w:rsidRPr="002F59D7">
                            <w:rPr>
                              <w:rFonts w:ascii="Verdana" w:hAnsi="Verdana"/>
                              <w:i/>
                              <w:iCs/>
                              <w:color w:val="FFFFFF" w:themeColor="background1"/>
                              <w:sz w:val="16"/>
                              <w:szCs w:val="16"/>
                              <w:lang w:val="en-US"/>
                            </w:rPr>
                            <w:t xml:space="preserve"> </w:t>
                          </w:r>
                          <w:r w:rsidR="004E269A">
                            <w:rPr>
                              <w:rFonts w:ascii="Verdana" w:hAnsi="Verdana"/>
                              <w:i/>
                              <w:iCs/>
                              <w:color w:val="FFFFFF" w:themeColor="background1"/>
                              <w:sz w:val="16"/>
                              <w:szCs w:val="16"/>
                              <w:lang w:val="en-US"/>
                            </w:rPr>
                            <w:t>Restructuring</w:t>
                          </w:r>
                          <w:r>
                            <w:rPr>
                              <w:rFonts w:ascii="Verdana" w:hAnsi="Verdana"/>
                              <w:i/>
                              <w:iCs/>
                              <w:color w:val="FFFFFF" w:themeColor="background1"/>
                              <w:sz w:val="16"/>
                              <w:szCs w:val="16"/>
                              <w:lang w:val="en-US"/>
                            </w:rPr>
                            <w:t xml:space="preserve"> &amp; Insolvency</w:t>
                          </w:r>
                          <w:r w:rsidR="004E269A">
                            <w:rPr>
                              <w:rFonts w:ascii="Verdana" w:hAnsi="Verdana"/>
                              <w:i/>
                              <w:iCs/>
                              <w:color w:val="FFFFFF" w:themeColor="background1"/>
                              <w:sz w:val="16"/>
                              <w:szCs w:val="16"/>
                              <w:lang w:val="en-US"/>
                            </w:rPr>
                            <w:t xml:space="preserve"> </w:t>
                          </w:r>
                          <w:r w:rsidR="00C92445" w:rsidRPr="002F59D7">
                            <w:rPr>
                              <w:rFonts w:ascii="Verdana" w:hAnsi="Verdana"/>
                              <w:i/>
                              <w:iCs/>
                              <w:color w:val="FFFFFF" w:themeColor="background1"/>
                              <w:sz w:val="16"/>
                              <w:szCs w:val="16"/>
                              <w:lang w:val="en-US"/>
                            </w:rPr>
                            <w:t>Journal</w:t>
                          </w:r>
                        </w:p>
                        <w:p w14:paraId="1535F299" w14:textId="172B2F28" w:rsidR="00C92445" w:rsidRPr="002F59D7" w:rsidRDefault="00C92445" w:rsidP="00C92445">
                          <w:pPr>
                            <w:pStyle w:val="Footer"/>
                            <w:ind w:right="360"/>
                            <w:jc w:val="center"/>
                            <w:rPr>
                              <w:rFonts w:ascii="Verdana" w:hAnsi="Verdana"/>
                              <w:color w:val="FFFFFF" w:themeColor="background1"/>
                              <w:spacing w:val="5"/>
                              <w:sz w:val="16"/>
                              <w:szCs w:val="16"/>
                              <w:lang w:val="en-US"/>
                            </w:rPr>
                          </w:pPr>
                          <w:r w:rsidRPr="002F59D7">
                            <w:rPr>
                              <w:rFonts w:ascii="Verdana" w:hAnsi="Verdana"/>
                              <w:color w:val="FFFFFF" w:themeColor="background1"/>
                              <w:sz w:val="16"/>
                              <w:szCs w:val="16"/>
                              <w:lang w:val="en-US"/>
                            </w:rPr>
                            <w:t>Vol.</w:t>
                          </w:r>
                          <w:r w:rsidRPr="002F59D7">
                            <w:rPr>
                              <w:rFonts w:ascii="Verdana" w:hAnsi="Verdana"/>
                              <w:color w:val="FFFFFF" w:themeColor="background1"/>
                              <w:spacing w:val="5"/>
                              <w:sz w:val="16"/>
                              <w:szCs w:val="16"/>
                              <w:lang w:val="en-US"/>
                            </w:rPr>
                            <w:t xml:space="preserve"> </w:t>
                          </w:r>
                          <w:r>
                            <w:rPr>
                              <w:rFonts w:ascii="Verdana" w:hAnsi="Verdana"/>
                              <w:color w:val="FFFFFF" w:themeColor="background1"/>
                              <w:sz w:val="16"/>
                              <w:szCs w:val="16"/>
                              <w:lang w:val="en-US"/>
                            </w:rPr>
                            <w:t>1</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z w:val="16"/>
                              <w:szCs w:val="16"/>
                              <w:lang w:val="en-US"/>
                            </w:rPr>
                            <w:t>– N°</w:t>
                          </w:r>
                          <w:r w:rsidRPr="002F59D7">
                            <w:rPr>
                              <w:rFonts w:ascii="Verdana" w:hAnsi="Verdana"/>
                              <w:color w:val="FFFFFF" w:themeColor="background1"/>
                              <w:spacing w:val="5"/>
                              <w:sz w:val="16"/>
                              <w:szCs w:val="16"/>
                              <w:lang w:val="en-US"/>
                            </w:rPr>
                            <w:t xml:space="preserve"> </w:t>
                          </w:r>
                          <w:r>
                            <w:rPr>
                              <w:rFonts w:ascii="Verdana" w:hAnsi="Verdana"/>
                              <w:color w:val="FFFFFF" w:themeColor="background1"/>
                              <w:sz w:val="16"/>
                              <w:szCs w:val="16"/>
                              <w:lang w:val="en-US"/>
                            </w:rPr>
                            <w:t>1 – pp</w:t>
                          </w:r>
                          <w:r w:rsidR="004E269A">
                            <w:rPr>
                              <w:rFonts w:ascii="Verdana" w:hAnsi="Verdana"/>
                              <w:color w:val="FFFFFF" w:themeColor="background1"/>
                              <w:sz w:val="16"/>
                              <w:szCs w:val="16"/>
                              <w:lang w:val="en-US"/>
                            </w:rPr>
                            <w:t xml:space="preserve">. </w:t>
                          </w:r>
                          <w:r w:rsidR="00F61180">
                            <w:rPr>
                              <w:rFonts w:ascii="Verdana" w:hAnsi="Verdana"/>
                              <w:color w:val="FFFFFF" w:themeColor="background1"/>
                              <w:sz w:val="16"/>
                              <w:szCs w:val="16"/>
                              <w:lang w:val="en-US"/>
                            </w:rPr>
                            <w:t>1-12</w:t>
                          </w:r>
                        </w:p>
                        <w:p w14:paraId="51A8842A" w14:textId="1B5E59BD" w:rsidR="00C92445" w:rsidRPr="002F59D7" w:rsidRDefault="00C92445" w:rsidP="00C92445">
                          <w:pPr>
                            <w:pStyle w:val="Footer"/>
                            <w:ind w:right="360"/>
                            <w:jc w:val="center"/>
                            <w:rPr>
                              <w:rFonts w:ascii="Verdana" w:hAnsi="Verdana"/>
                              <w:b/>
                              <w:color w:val="FFFFFF" w:themeColor="background1"/>
                              <w:sz w:val="16"/>
                              <w:szCs w:val="16"/>
                            </w:rPr>
                          </w:pPr>
                          <w:proofErr w:type="spellStart"/>
                          <w:r w:rsidRPr="002F59D7">
                            <w:rPr>
                              <w:rFonts w:ascii="Verdana" w:hAnsi="Verdana"/>
                              <w:color w:val="FFFFFF" w:themeColor="background1"/>
                              <w:sz w:val="16"/>
                              <w:szCs w:val="16"/>
                              <w:lang w:val="en-US"/>
                            </w:rPr>
                            <w:t>eISSN</w:t>
                          </w:r>
                          <w:proofErr w:type="spellEnd"/>
                          <w:r w:rsidRPr="002F59D7">
                            <w:rPr>
                              <w:rFonts w:ascii="Verdana" w:hAnsi="Verdana"/>
                              <w:color w:val="FFFFFF" w:themeColor="background1"/>
                              <w:sz w:val="16"/>
                              <w:szCs w:val="16"/>
                              <w:lang w:val="en-US"/>
                            </w:rPr>
                            <w:t>:</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pacing w:val="-2"/>
                              <w:sz w:val="16"/>
                              <w:szCs w:val="16"/>
                              <w:lang w:val="en-US"/>
                            </w:rPr>
                            <w:t>XXXX-</w:t>
                          </w:r>
                          <w:r w:rsidRPr="002F59D7">
                            <w:rPr>
                              <w:rFonts w:ascii="Verdana" w:hAnsi="Verdana"/>
                              <w:color w:val="FFFFFF" w:themeColor="background1"/>
                              <w:sz w:val="16"/>
                              <w:szCs w:val="16"/>
                            </w:rPr>
                            <w:t>XXXX</w:t>
                          </w:r>
                        </w:p>
                        <w:p w14:paraId="48E31C05" w14:textId="77777777" w:rsidR="00C92445" w:rsidRPr="002F59D7" w:rsidRDefault="00C92445" w:rsidP="00C92445">
                          <w:pPr>
                            <w:pStyle w:val="Footer"/>
                            <w:ind w:right="360"/>
                            <w:jc w:val="center"/>
                            <w:rPr>
                              <w:rFonts w:ascii="Verdana" w:hAnsi="Verdana"/>
                              <w:i/>
                              <w:iCs/>
                              <w:color w:val="FFFFFF" w:themeColor="background1"/>
                              <w:sz w:val="16"/>
                              <w:szCs w:val="16"/>
                              <w:lang w:val="en-US"/>
                            </w:rPr>
                          </w:pPr>
                          <w:r w:rsidRPr="002F59D7">
                            <w:rPr>
                              <w:rFonts w:ascii="Verdana" w:hAnsi="Verdana"/>
                              <w:color w:val="FFFFFF" w:themeColor="background1"/>
                              <w:sz w:val="16"/>
                              <w:szCs w:val="16"/>
                              <w:lang w:val="en-US"/>
                            </w:rPr>
                            <w:t>Quarterly publication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0BD83D" id="_x0000_t202" coordsize="21600,21600" o:spt="202" path="m,l,21600r21600,l21600,xe">
              <v:stroke joinstyle="miter"/>
              <v:path gradientshapeok="t" o:connecttype="rect"/>
            </v:shapetype>
            <v:shape id="Textbox 12" o:spid="_x0000_s1026" type="#_x0000_t202" style="position:absolute;margin-left:293.1pt;margin-top:22.6pt;width:229pt;height:4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twqiAEAAAIDAAAOAAAAZHJzL2Uyb0RvYy54bWysUttu2zAMfS+wfxD0vth1s6Ez4hTbihYF&#13;&#10;irVA1w9QZCk2YIkaqcTO35dSbkP3NvSFokjp8PCQi5vJDWJrkHrwjbyclVIYr6Ht/bqRr7/vPl9L&#13;&#10;QVH5Vg3gTSN3huTN8tPFYgy1qaCDoTUoGMRTPYZGdjGGuihId8YpmkEwnpMW0KnIV1wXLaqR0d1Q&#13;&#10;VGX5tRgB24CgDRFHb/dJucz41hodn6wlE8XQSOYWs8VsV8kWy4Wq16hC1+sDDfUfLJzqPRc9Qd2q&#13;&#10;qMQG+3+gXK8RCGycaXAFWNtrk3vgbi7Ld928dCqY3AuLQ+EkE30crP61fQnPKOL0AyYeYBJkDFQT&#13;&#10;B1M/k0WXTmYqOM8S7k6ymSkKzcHqW3ldzXnQmnNfqqur+TzBFOffASneG3AiOY1EHktWS20fKe6f&#13;&#10;Hp/wv3P95MVpNR1IraDdMdeRx9VI+rNRaKQYHjzrkWZ7dPDorI4OxuEn5A1IvXj4volg+1w5ldjj&#13;&#10;Hiqz0Jn7YSnSJP++51fn1V2+AQAA//8DAFBLAwQUAAYACAAAACEAnTzxg+MAAAAQAQAADwAAAGRy&#13;&#10;cy9kb3ducmV2LnhtbExPTU/DMAy9I/EfIiNxYwlVV0bXdJr4OCEhunLgmDZZG61xSpNt5d/jneBi&#13;&#10;P8vPz+8Vm9kN7GSmYD1KuF8IYAZbry12Ej7r17sVsBAVajV4NBJ+TIBNeX1VqFz7M1bmtIsdIxEM&#13;&#10;uZLQxzjmnIe2N06FhR8N0m7vJ6cijVPH9aTOJO4GngiRcacs0odejeapN+1hd3QStl9Yvdjv9+aj&#13;&#10;2le2rh8FvmUHKW9v5uc1le0aWDRz/LuASwbyDyUZa/wRdWCDhOUqS4gqIV1SvxBEmhJqCCUPGfCy&#13;&#10;4P+DlL8AAAD//wMAUEsBAi0AFAAGAAgAAAAhALaDOJL+AAAA4QEAABMAAAAAAAAAAAAAAAAAAAAA&#13;&#10;AFtDb250ZW50X1R5cGVzXS54bWxQSwECLQAUAAYACAAAACEAOP0h/9YAAACUAQAACwAAAAAAAAAA&#13;&#10;AAAAAAAvAQAAX3JlbHMvLnJlbHNQSwECLQAUAAYACAAAACEAJOLcKogBAAACAwAADgAAAAAAAAAA&#13;&#10;AAAAAAAuAgAAZHJzL2Uyb0RvYy54bWxQSwECLQAUAAYACAAAACEAnTzxg+MAAAAQAQAADwAAAAAA&#13;&#10;AAAAAAAAAADiAwAAZHJzL2Rvd25yZXYueG1sUEsFBgAAAAAEAAQA8wAAAPIEAAAAAA==&#13;&#10;" filled="f" stroked="f">
              <v:textbox inset="0,0,0,0">
                <w:txbxContent>
                  <w:p w14:paraId="0E1D4D95" w14:textId="788AF6A0" w:rsidR="00C92445" w:rsidRPr="002F59D7" w:rsidRDefault="00F61180" w:rsidP="004E269A">
                    <w:pPr>
                      <w:pStyle w:val="Footer"/>
                      <w:ind w:right="360"/>
                      <w:jc w:val="center"/>
                      <w:rPr>
                        <w:rFonts w:ascii="Verdana" w:hAnsi="Verdana"/>
                        <w:i/>
                        <w:iCs/>
                        <w:color w:val="FFFFFF" w:themeColor="background1"/>
                        <w:sz w:val="16"/>
                        <w:szCs w:val="16"/>
                        <w:lang w:val="en-US"/>
                      </w:rPr>
                    </w:pPr>
                    <w:proofErr w:type="spellStart"/>
                    <w:r>
                      <w:rPr>
                        <w:rFonts w:ascii="Verdana" w:hAnsi="Verdana"/>
                        <w:i/>
                        <w:iCs/>
                        <w:color w:val="FFFFFF" w:themeColor="background1"/>
                        <w:sz w:val="16"/>
                        <w:szCs w:val="16"/>
                        <w:lang w:val="en-US"/>
                      </w:rPr>
                      <w:t>NewTIFI</w:t>
                    </w:r>
                    <w:proofErr w:type="spellEnd"/>
                    <w:r w:rsidR="00C92445" w:rsidRPr="002F59D7">
                      <w:rPr>
                        <w:rFonts w:ascii="Verdana" w:hAnsi="Verdana"/>
                        <w:i/>
                        <w:iCs/>
                        <w:color w:val="FFFFFF" w:themeColor="background1"/>
                        <w:sz w:val="16"/>
                        <w:szCs w:val="16"/>
                        <w:lang w:val="en-US"/>
                      </w:rPr>
                      <w:t xml:space="preserve"> </w:t>
                    </w:r>
                    <w:r w:rsidR="004E269A">
                      <w:rPr>
                        <w:rFonts w:ascii="Verdana" w:hAnsi="Verdana"/>
                        <w:i/>
                        <w:iCs/>
                        <w:color w:val="FFFFFF" w:themeColor="background1"/>
                        <w:sz w:val="16"/>
                        <w:szCs w:val="16"/>
                        <w:lang w:val="en-US"/>
                      </w:rPr>
                      <w:t>Restructuring</w:t>
                    </w:r>
                    <w:r>
                      <w:rPr>
                        <w:rFonts w:ascii="Verdana" w:hAnsi="Verdana"/>
                        <w:i/>
                        <w:iCs/>
                        <w:color w:val="FFFFFF" w:themeColor="background1"/>
                        <w:sz w:val="16"/>
                        <w:szCs w:val="16"/>
                        <w:lang w:val="en-US"/>
                      </w:rPr>
                      <w:t xml:space="preserve"> &amp; Insolvency</w:t>
                    </w:r>
                    <w:r w:rsidR="004E269A">
                      <w:rPr>
                        <w:rFonts w:ascii="Verdana" w:hAnsi="Verdana"/>
                        <w:i/>
                        <w:iCs/>
                        <w:color w:val="FFFFFF" w:themeColor="background1"/>
                        <w:sz w:val="16"/>
                        <w:szCs w:val="16"/>
                        <w:lang w:val="en-US"/>
                      </w:rPr>
                      <w:t xml:space="preserve"> </w:t>
                    </w:r>
                    <w:r w:rsidR="00C92445" w:rsidRPr="002F59D7">
                      <w:rPr>
                        <w:rFonts w:ascii="Verdana" w:hAnsi="Verdana"/>
                        <w:i/>
                        <w:iCs/>
                        <w:color w:val="FFFFFF" w:themeColor="background1"/>
                        <w:sz w:val="16"/>
                        <w:szCs w:val="16"/>
                        <w:lang w:val="en-US"/>
                      </w:rPr>
                      <w:t>Journal</w:t>
                    </w:r>
                  </w:p>
                  <w:p w14:paraId="1535F299" w14:textId="172B2F28" w:rsidR="00C92445" w:rsidRPr="002F59D7" w:rsidRDefault="00C92445" w:rsidP="00C92445">
                    <w:pPr>
                      <w:pStyle w:val="Footer"/>
                      <w:ind w:right="360"/>
                      <w:jc w:val="center"/>
                      <w:rPr>
                        <w:rFonts w:ascii="Verdana" w:hAnsi="Verdana"/>
                        <w:color w:val="FFFFFF" w:themeColor="background1"/>
                        <w:spacing w:val="5"/>
                        <w:sz w:val="16"/>
                        <w:szCs w:val="16"/>
                        <w:lang w:val="en-US"/>
                      </w:rPr>
                    </w:pPr>
                    <w:r w:rsidRPr="002F59D7">
                      <w:rPr>
                        <w:rFonts w:ascii="Verdana" w:hAnsi="Verdana"/>
                        <w:color w:val="FFFFFF" w:themeColor="background1"/>
                        <w:sz w:val="16"/>
                        <w:szCs w:val="16"/>
                        <w:lang w:val="en-US"/>
                      </w:rPr>
                      <w:t>Vol.</w:t>
                    </w:r>
                    <w:r w:rsidRPr="002F59D7">
                      <w:rPr>
                        <w:rFonts w:ascii="Verdana" w:hAnsi="Verdana"/>
                        <w:color w:val="FFFFFF" w:themeColor="background1"/>
                        <w:spacing w:val="5"/>
                        <w:sz w:val="16"/>
                        <w:szCs w:val="16"/>
                        <w:lang w:val="en-US"/>
                      </w:rPr>
                      <w:t xml:space="preserve"> </w:t>
                    </w:r>
                    <w:r>
                      <w:rPr>
                        <w:rFonts w:ascii="Verdana" w:hAnsi="Verdana"/>
                        <w:color w:val="FFFFFF" w:themeColor="background1"/>
                        <w:sz w:val="16"/>
                        <w:szCs w:val="16"/>
                        <w:lang w:val="en-US"/>
                      </w:rPr>
                      <w:t>1</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z w:val="16"/>
                        <w:szCs w:val="16"/>
                        <w:lang w:val="en-US"/>
                      </w:rPr>
                      <w:t>– N°</w:t>
                    </w:r>
                    <w:r w:rsidRPr="002F59D7">
                      <w:rPr>
                        <w:rFonts w:ascii="Verdana" w:hAnsi="Verdana"/>
                        <w:color w:val="FFFFFF" w:themeColor="background1"/>
                        <w:spacing w:val="5"/>
                        <w:sz w:val="16"/>
                        <w:szCs w:val="16"/>
                        <w:lang w:val="en-US"/>
                      </w:rPr>
                      <w:t xml:space="preserve"> </w:t>
                    </w:r>
                    <w:r>
                      <w:rPr>
                        <w:rFonts w:ascii="Verdana" w:hAnsi="Verdana"/>
                        <w:color w:val="FFFFFF" w:themeColor="background1"/>
                        <w:sz w:val="16"/>
                        <w:szCs w:val="16"/>
                        <w:lang w:val="en-US"/>
                      </w:rPr>
                      <w:t>1 – pp</w:t>
                    </w:r>
                    <w:r w:rsidR="004E269A">
                      <w:rPr>
                        <w:rFonts w:ascii="Verdana" w:hAnsi="Verdana"/>
                        <w:color w:val="FFFFFF" w:themeColor="background1"/>
                        <w:sz w:val="16"/>
                        <w:szCs w:val="16"/>
                        <w:lang w:val="en-US"/>
                      </w:rPr>
                      <w:t xml:space="preserve">. </w:t>
                    </w:r>
                    <w:r w:rsidR="00F61180">
                      <w:rPr>
                        <w:rFonts w:ascii="Verdana" w:hAnsi="Verdana"/>
                        <w:color w:val="FFFFFF" w:themeColor="background1"/>
                        <w:sz w:val="16"/>
                        <w:szCs w:val="16"/>
                        <w:lang w:val="en-US"/>
                      </w:rPr>
                      <w:t>1-12</w:t>
                    </w:r>
                  </w:p>
                  <w:p w14:paraId="51A8842A" w14:textId="1B5E59BD" w:rsidR="00C92445" w:rsidRPr="002F59D7" w:rsidRDefault="00C92445" w:rsidP="00C92445">
                    <w:pPr>
                      <w:pStyle w:val="Footer"/>
                      <w:ind w:right="360"/>
                      <w:jc w:val="center"/>
                      <w:rPr>
                        <w:rFonts w:ascii="Verdana" w:hAnsi="Verdana"/>
                        <w:b/>
                        <w:color w:val="FFFFFF" w:themeColor="background1"/>
                        <w:sz w:val="16"/>
                        <w:szCs w:val="16"/>
                      </w:rPr>
                    </w:pPr>
                    <w:proofErr w:type="spellStart"/>
                    <w:r w:rsidRPr="002F59D7">
                      <w:rPr>
                        <w:rFonts w:ascii="Verdana" w:hAnsi="Verdana"/>
                        <w:color w:val="FFFFFF" w:themeColor="background1"/>
                        <w:sz w:val="16"/>
                        <w:szCs w:val="16"/>
                        <w:lang w:val="en-US"/>
                      </w:rPr>
                      <w:t>eISSN</w:t>
                    </w:r>
                    <w:proofErr w:type="spellEnd"/>
                    <w:r w:rsidRPr="002F59D7">
                      <w:rPr>
                        <w:rFonts w:ascii="Verdana" w:hAnsi="Verdana"/>
                        <w:color w:val="FFFFFF" w:themeColor="background1"/>
                        <w:sz w:val="16"/>
                        <w:szCs w:val="16"/>
                        <w:lang w:val="en-US"/>
                      </w:rPr>
                      <w:t>:</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pacing w:val="-2"/>
                        <w:sz w:val="16"/>
                        <w:szCs w:val="16"/>
                        <w:lang w:val="en-US"/>
                      </w:rPr>
                      <w:t>XXXX-</w:t>
                    </w:r>
                    <w:r w:rsidRPr="002F59D7">
                      <w:rPr>
                        <w:rFonts w:ascii="Verdana" w:hAnsi="Verdana"/>
                        <w:color w:val="FFFFFF" w:themeColor="background1"/>
                        <w:sz w:val="16"/>
                        <w:szCs w:val="16"/>
                      </w:rPr>
                      <w:t>XXXX</w:t>
                    </w:r>
                  </w:p>
                  <w:p w14:paraId="48E31C05" w14:textId="77777777" w:rsidR="00C92445" w:rsidRPr="002F59D7" w:rsidRDefault="00C92445" w:rsidP="00C92445">
                    <w:pPr>
                      <w:pStyle w:val="Footer"/>
                      <w:ind w:right="360"/>
                      <w:jc w:val="center"/>
                      <w:rPr>
                        <w:rFonts w:ascii="Verdana" w:hAnsi="Verdana"/>
                        <w:i/>
                        <w:iCs/>
                        <w:color w:val="FFFFFF" w:themeColor="background1"/>
                        <w:sz w:val="16"/>
                        <w:szCs w:val="16"/>
                        <w:lang w:val="en-US"/>
                      </w:rPr>
                    </w:pPr>
                    <w:r w:rsidRPr="002F59D7">
                      <w:rPr>
                        <w:rFonts w:ascii="Verdana" w:hAnsi="Verdana"/>
                        <w:color w:val="FFFFFF" w:themeColor="background1"/>
                        <w:sz w:val="16"/>
                        <w:szCs w:val="16"/>
                        <w:lang w:val="en-US"/>
                      </w:rPr>
                      <w:t>Quarterly publication</w:t>
                    </w:r>
                  </w:p>
                </w:txbxContent>
              </v:textbox>
            </v:shape>
          </w:pict>
        </mc:Fallback>
      </mc:AlternateContent>
    </w:r>
    <w:r w:rsidR="00C157EC">
      <w:rPr>
        <w:noProof/>
      </w:rPr>
      <mc:AlternateContent>
        <mc:Choice Requires="wps">
          <w:drawing>
            <wp:anchor distT="0" distB="0" distL="114300" distR="114300" simplePos="0" relativeHeight="251661312" behindDoc="0" locked="0" layoutInCell="1" allowOverlap="1" wp14:anchorId="094EA7C0" wp14:editId="38E2D8E5">
              <wp:simplePos x="0" y="0"/>
              <wp:positionH relativeFrom="column">
                <wp:posOffset>2519680</wp:posOffset>
              </wp:positionH>
              <wp:positionV relativeFrom="paragraph">
                <wp:posOffset>287948</wp:posOffset>
              </wp:positionV>
              <wp:extent cx="1202690" cy="524510"/>
              <wp:effectExtent l="0" t="0" r="3810" b="0"/>
              <wp:wrapNone/>
              <wp:docPr id="1026356458" name="Graphic 11"/>
              <wp:cNvGraphicFramePr/>
              <a:graphic xmlns:a="http://schemas.openxmlformats.org/drawingml/2006/main">
                <a:graphicData uri="http://schemas.microsoft.com/office/word/2010/wordprocessingShape">
                  <wps:wsp>
                    <wps:cNvSpPr/>
                    <wps:spPr>
                      <a:xfrm>
                        <a:off x="0" y="0"/>
                        <a:ext cx="1202690" cy="524510"/>
                      </a:xfrm>
                      <a:custGeom>
                        <a:avLst/>
                        <a:gdLst/>
                        <a:ahLst/>
                        <a:cxnLst/>
                        <a:rect l="l" t="t" r="r" b="b"/>
                        <a:pathLst>
                          <a:path w="1203325" h="525145">
                            <a:moveTo>
                              <a:pt x="601583" y="524588"/>
                            </a:moveTo>
                            <a:lnTo>
                              <a:pt x="0" y="524588"/>
                            </a:lnTo>
                            <a:lnTo>
                              <a:pt x="601583" y="0"/>
                            </a:lnTo>
                            <a:lnTo>
                              <a:pt x="1202864" y="0"/>
                            </a:lnTo>
                            <a:lnTo>
                              <a:pt x="1202864" y="263"/>
                            </a:lnTo>
                            <a:lnTo>
                              <a:pt x="601583" y="524588"/>
                            </a:lnTo>
                            <a:close/>
                          </a:path>
                        </a:pathLst>
                      </a:custGeom>
                      <a:solidFill>
                        <a:srgbClr val="46B3B9"/>
                      </a:solidFill>
                    </wps:spPr>
                    <wps:bodyPr wrap="square" lIns="0" tIns="0" rIns="0" bIns="0" rtlCol="0">
                      <a:prstTxWarp prst="textNoShape">
                        <a:avLst/>
                      </a:prstTxWarp>
                      <a:noAutofit/>
                    </wps:bodyPr>
                  </wps:wsp>
                </a:graphicData>
              </a:graphic>
            </wp:anchor>
          </w:drawing>
        </mc:Choice>
        <mc:Fallback>
          <w:pict>
            <v:shape w14:anchorId="533445A1" id="Graphic 11" o:spid="_x0000_s1026" style="position:absolute;margin-left:198.4pt;margin-top:22.65pt;width:94.7pt;height:41.3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203325,525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bUkMQIAAOAEAAAOAAAAZHJzL2Uyb0RvYy54bWysVF1v2yAUfZ+0/4B4X/yR2EqtONXaqtOk&#13;&#10;qavUVHvGGMeWMDAgsfPvd8EmidKXadoLXMzhcs65XG/ux56jI9Omk6LEySLGiAkq607sS/y+e/6y&#13;&#10;xshYImrCpWAlPjGD77efP20GVbBUtpLXTCNIIkwxqBK31qoiigxtWU/MQiomYLORuicWlnof1ZoM&#13;&#10;kL3nURrHeTRIXSstKTMGvj5Nm3jr8zcNo/Zn0xhmES8xcLN+1H6s3BhtN6TYa6Lajs40yD+w6Ekn&#13;&#10;4NJzqidiCTro7kOqvqNaGtnYBZV9JJumo8xrADVJfKPmrSWKeS1gjlFnm8z/S0tfjm/qVYMNgzKF&#13;&#10;gdCpGBvduxn4odGbdTqbxUaLKHxM0jjN78BTCntZusoS72Z0OU0Pxn5j0mcixx/GTmbXISJtiOgo&#13;&#10;QqihZK5Y3BfLYgTF0hhBsaqpWIpYd87RcyEaPJXlMs0wah2TLFllvha9PLKd9EDrZORxkq2XGM18&#13;&#10;12uXEPhecFxc40HbLTQAwqxuEwcPAiDME9B5ts5XPu/fI9N8OTMN2cL84XpXh7OugKJcGjZJdY55&#13;&#10;zWcXQf91nYzkXf3cce5sM3pfPXKNjgQKssoflg93M5ErWHR5OC6qZH161WiAliqx+X0gmmHEvwt4&#13;&#10;s67/QqBDUIVAW/4ofZf6imljd+MvohVSEJbYwrt7kaEjSBEeFPB3gAnrTgr59WBl07nX5rlNjOYF&#13;&#10;tJHXP7e869PrtUddfkzbPwAAAP//AwBQSwMEFAAGAAgAAAAhAON31ynmAAAADwEAAA8AAABkcnMv&#13;&#10;ZG93bnJldi54bWxMj8FOwzAQRO9I/IO1SNyo05SkTRqnKhQE4kIb+AA3Nk5EvI5itwl8PcsJLiut&#13;&#10;dmb2TbGZbMfOevCtQwHzWQRMY+1Ui0bA+9vjzQqYDxKV7BxqAV/aw6a8vChkrtyIB32ugmEUgj6X&#13;&#10;ApoQ+pxzXzfaSj9zvUa6fbjBykDrYLga5EjhtuNxFKXcyhbpQyN7fd/o+rM6WQHVnRyf5s/tQ4LZ&#13;&#10;8nu/fTGv/c4IcX017dY0tmtgQU/hzwG/HYgfSgI7uhMqzzoBiywl/iDgNlkAI0GySmNgR1LGywx4&#13;&#10;WfD/PcofAAAA//8DAFBLAQItABQABgAIAAAAIQC2gziS/gAAAOEBAAATAAAAAAAAAAAAAAAAAAAA&#13;&#10;AABbQ29udGVudF9UeXBlc10ueG1sUEsBAi0AFAAGAAgAAAAhADj9If/WAAAAlAEAAAsAAAAAAAAA&#13;&#10;AAAAAAAALwEAAF9yZWxzLy5yZWxzUEsBAi0AFAAGAAgAAAAhAKeZtSQxAgAA4AQAAA4AAAAAAAAA&#13;&#10;AAAAAAAALgIAAGRycy9lMm9Eb2MueG1sUEsBAi0AFAAGAAgAAAAhAON31ynmAAAADwEAAA8AAAAA&#13;&#10;AAAAAAAAAAAAiwQAAGRycy9kb3ducmV2LnhtbFBLBQYAAAAABAAEAPMAAACeBQAAAAA=&#13;&#10;" path="m601583,524588l,524588,601583,r601281,l1202864,263,601583,524588xe" fillcolor="#46b3b9" stroked="f">
              <v:path arrowok="t"/>
            </v:shape>
          </w:pict>
        </mc:Fallback>
      </mc:AlternateContent>
    </w:r>
    <w:r w:rsidR="00C157EC">
      <w:rPr>
        <w:noProof/>
      </w:rPr>
      <mc:AlternateContent>
        <mc:Choice Requires="wps">
          <w:drawing>
            <wp:anchor distT="0" distB="0" distL="114300" distR="114300" simplePos="0" relativeHeight="251659264" behindDoc="0" locked="0" layoutInCell="1" allowOverlap="1" wp14:anchorId="19903D99" wp14:editId="4D97E435">
              <wp:simplePos x="0" y="0"/>
              <wp:positionH relativeFrom="column">
                <wp:posOffset>3235569</wp:posOffset>
              </wp:positionH>
              <wp:positionV relativeFrom="paragraph">
                <wp:posOffset>288974</wp:posOffset>
              </wp:positionV>
              <wp:extent cx="3393440" cy="524401"/>
              <wp:effectExtent l="0" t="0" r="0" b="0"/>
              <wp:wrapNone/>
              <wp:docPr id="10" name="Graphic 10"/>
              <wp:cNvGraphicFramePr/>
              <a:graphic xmlns:a="http://schemas.openxmlformats.org/drawingml/2006/main">
                <a:graphicData uri="http://schemas.microsoft.com/office/word/2010/wordprocessingShape">
                  <wps:wsp>
                    <wps:cNvSpPr/>
                    <wps:spPr>
                      <a:xfrm>
                        <a:off x="0" y="0"/>
                        <a:ext cx="3393440" cy="524401"/>
                      </a:xfrm>
                      <a:custGeom>
                        <a:avLst/>
                        <a:gdLst/>
                        <a:ahLst/>
                        <a:cxnLst/>
                        <a:rect l="l" t="t" r="r" b="b"/>
                        <a:pathLst>
                          <a:path w="3394075" h="525145">
                            <a:moveTo>
                              <a:pt x="3393491" y="524588"/>
                            </a:moveTo>
                            <a:lnTo>
                              <a:pt x="0" y="524588"/>
                            </a:lnTo>
                            <a:lnTo>
                              <a:pt x="601583" y="0"/>
                            </a:lnTo>
                            <a:lnTo>
                              <a:pt x="3393491" y="0"/>
                            </a:lnTo>
                            <a:lnTo>
                              <a:pt x="3393491" y="524588"/>
                            </a:lnTo>
                            <a:close/>
                          </a:path>
                        </a:pathLst>
                      </a:custGeom>
                      <a:solidFill>
                        <a:srgbClr val="002E61"/>
                      </a:solidFill>
                    </wps:spPr>
                    <wps:bodyPr wrap="square" lIns="0" tIns="0" rIns="0" bIns="0" rtlCol="0">
                      <a:prstTxWarp prst="textNoShape">
                        <a:avLst/>
                      </a:prstTxWarp>
                      <a:noAutofit/>
                    </wps:bodyPr>
                  </wps:wsp>
                </a:graphicData>
              </a:graphic>
            </wp:anchor>
          </w:drawing>
        </mc:Choice>
        <mc:Fallback>
          <w:pict>
            <v:shape w14:anchorId="03961135" id="Graphic 10" o:spid="_x0000_s1026" style="position:absolute;margin-left:254.75pt;margin-top:22.75pt;width:267.2pt;height:41.3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3394075,525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Bu2JwIAALYEAAAOAAAAZHJzL2Uyb0RvYy54bWysVMGO2yAQvVfqPyDuje0kTrNWnFW1260q&#13;&#10;VduVNlXPBOPYEgY6kNj5+w44xNH2UlW9wMM8Jm/ezGRzP3SSnATYVquSZrOUEqG4rlp1KOmP3dOH&#13;&#10;NSXWMVUxqZUo6VlYer99/27Tm0LMdaNlJYBgEGWL3pS0cc4USWJ5IzpmZ9oIhZe1ho45PMIhqYD1&#13;&#10;GL2TyTxNV0mvoTKgubAWvz6Ol3Qb4te14O57XVvhiCwpanNhhbDu/ZpsN6w4ADNNyy8y2D+o6Fir&#13;&#10;8EevoR6ZY+QI7R+hupaDtrp2M667RNd1y0XIAbPJ0jfZvDbMiJALmmPN1Sb7/8Ly59OreQG0oTe2&#13;&#10;sAh9FkMNnd9RHxmCWeerWWJwhOPHxeJusVyipxzv8jnCzLuZTK/50bovQodI7PTNutHsKiLWRMQH&#13;&#10;FSFgyXyxZCiWowSLBZRgsfZjsQxz/p2X5yHpg5Rl+jGnpPFK8myZh1p0+iR2OhCdTyMovssoGQXn&#13;&#10;6/VF8ESU6vYBJveWGglxNyHyKs3y9SKwQ0uhCZEQ95F4K+HvmejuJDYG5FJbMRrufQjOX71BAbfu&#13;&#10;Wy3b6qmV0pth4bB/kEBOzM9EOv+8ioW7oSVTO3i019X5BUiPg1JS++vIQFAivyrsRD9VEUAE+wjA&#13;&#10;yQcdZi/UAazbDT8ZGGIQltRhNz3r2OesiG2C+j1h5PqXSn86Ol23voeCtlHR5YDDEfK/DLKfvttz&#13;&#10;YE1/N9vfAAAA//8DAFBLAwQUAAYACAAAACEAXy40gOEAAAAQAQAADwAAAGRycy9kb3ducmV2Lnht&#13;&#10;bExPO0/DMBDekfgP1iGxUbuhQWkap0JAu9PCwObGRxw1toPtpoFfz3WC5R66775HtZ5sz0YMsfNO&#13;&#10;wnwmgKFrvO5cK+Ftv7krgMWknFa9dyjhGyOs6+urSpXan90rjrvUMiJxsVQSTEpDyXlsDFoVZ35A&#13;&#10;R7dPH6xKtIaW66DORG57ngnxwK3qHCkYNeCTwea4O1kJ/Ksrxp/N9mPEvdFDlh+34f1Fytub6XlF&#13;&#10;5XEFLOGU/j7gkoH8Q03GDv7kdGS9hFwsc4JKWOTULwCxuF8CO9CUFXPgdcX/B6l/AQAA//8DAFBL&#13;&#10;AQItABQABgAIAAAAIQC2gziS/gAAAOEBAAATAAAAAAAAAAAAAAAAAAAAAABbQ29udGVudF9UeXBl&#13;&#10;c10ueG1sUEsBAi0AFAAGAAgAAAAhADj9If/WAAAAlAEAAAsAAAAAAAAAAAAAAAAALwEAAF9yZWxz&#13;&#10;Ly5yZWxzUEsBAi0AFAAGAAgAAAAhAEY4G7YnAgAAtgQAAA4AAAAAAAAAAAAAAAAALgIAAGRycy9l&#13;&#10;Mm9Eb2MueG1sUEsBAi0AFAAGAAgAAAAhAF8uNIDhAAAAEAEAAA8AAAAAAAAAAAAAAAAAgQQAAGRy&#13;&#10;cy9kb3ducmV2LnhtbFBLBQYAAAAABAAEAPMAAACPBQAAAAA=&#13;&#10;" path="m3393491,524588l,524588,601583,,3393491,r,524588xe" fillcolor="#002e61" stroked="f">
              <v:path arrowok="t"/>
            </v:shape>
          </w:pict>
        </mc:Fallback>
      </mc:AlternateContent>
    </w:r>
    <w:r w:rsidR="00C157EC">
      <w:rPr>
        <w:noProof/>
        <w:sz w:val="20"/>
      </w:rPr>
      <w:drawing>
        <wp:inline distT="0" distB="0" distL="0" distR="0" wp14:anchorId="571AA5FC" wp14:editId="345EA17E">
          <wp:extent cx="1737505" cy="820864"/>
          <wp:effectExtent l="0" t="0" r="0" b="0"/>
          <wp:docPr id="48156309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737505" cy="820864"/>
                  </a:xfrm>
                  <a:prstGeom prst="rect">
                    <a:avLst/>
                  </a:prstGeom>
                </pic:spPr>
              </pic:pic>
            </a:graphicData>
          </a:graphic>
        </wp:inline>
      </w:drawing>
    </w:r>
  </w:p>
  <w:p w14:paraId="0C34E77A" w14:textId="77777777" w:rsidR="004D5C77" w:rsidRPr="00C157EC" w:rsidRDefault="004D5C77" w:rsidP="00C157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A5E"/>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1C50E5D"/>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8724A"/>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0A70B9"/>
    <w:multiLevelType w:val="multilevel"/>
    <w:tmpl w:val="5E54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F7A2A"/>
    <w:multiLevelType w:val="hybridMultilevel"/>
    <w:tmpl w:val="A05C5188"/>
    <w:lvl w:ilvl="0" w:tplc="592ECEB6">
      <w:start w:val="1"/>
      <w:numFmt w:val="lowerLetter"/>
      <w:lvlText w:val="%1)"/>
      <w:lvlJc w:val="left"/>
      <w:pPr>
        <w:ind w:left="720" w:hanging="360"/>
      </w:pPr>
      <w:rPr>
        <w:rFonts w:hint="default"/>
        <w:b w:val="0"/>
        <w:bCs w:val="0"/>
        <w:i w:val="0"/>
        <w:iCs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796D9D"/>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505517F"/>
    <w:multiLevelType w:val="hybridMultilevel"/>
    <w:tmpl w:val="81CCF4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3C787E"/>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697775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7B3181D"/>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7BA2103"/>
    <w:multiLevelType w:val="multilevel"/>
    <w:tmpl w:val="640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A17D0"/>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85394B"/>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AAA50AA"/>
    <w:multiLevelType w:val="hybridMultilevel"/>
    <w:tmpl w:val="66100734"/>
    <w:lvl w:ilvl="0" w:tplc="20AA9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D826DA7"/>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D855E9E"/>
    <w:multiLevelType w:val="hybridMultilevel"/>
    <w:tmpl w:val="A05C5188"/>
    <w:lvl w:ilvl="0" w:tplc="FFFFFFFF">
      <w:start w:val="1"/>
      <w:numFmt w:val="lowerLetter"/>
      <w:lvlText w:val="%1)"/>
      <w:lvlJc w:val="left"/>
      <w:pPr>
        <w:ind w:left="720" w:hanging="360"/>
      </w:pPr>
      <w:rPr>
        <w:rFonts w:hint="default"/>
        <w:b w:val="0"/>
        <w:bCs w:val="0"/>
        <w:i w:val="0"/>
        <w:iCs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B162B7"/>
    <w:multiLevelType w:val="multilevel"/>
    <w:tmpl w:val="8DD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A573B"/>
    <w:multiLevelType w:val="hybridMultilevel"/>
    <w:tmpl w:val="5E429242"/>
    <w:lvl w:ilvl="0" w:tplc="84228BE4">
      <w:start w:val="1"/>
      <w:numFmt w:val="upp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E922DDF"/>
    <w:multiLevelType w:val="multilevel"/>
    <w:tmpl w:val="22F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F4E13"/>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0356476"/>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0471C5E"/>
    <w:multiLevelType w:val="multilevel"/>
    <w:tmpl w:val="10D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82170"/>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1FC3064"/>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12225E16"/>
    <w:multiLevelType w:val="hybridMultilevel"/>
    <w:tmpl w:val="D05E32F4"/>
    <w:lvl w:ilvl="0" w:tplc="2738F0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29C29A8"/>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2D77A00"/>
    <w:multiLevelType w:val="multilevel"/>
    <w:tmpl w:val="61C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14144A"/>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3851B92"/>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13A72F76"/>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43B4CE3"/>
    <w:multiLevelType w:val="hybridMultilevel"/>
    <w:tmpl w:val="5D9243BC"/>
    <w:lvl w:ilvl="0" w:tplc="FFFFFFFF">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476152A"/>
    <w:multiLevelType w:val="hybridMultilevel"/>
    <w:tmpl w:val="2E8C1104"/>
    <w:lvl w:ilvl="0" w:tplc="08090001">
      <w:start w:val="1"/>
      <w:numFmt w:val="bullet"/>
      <w:lvlText w:val=""/>
      <w:lvlJc w:val="left"/>
      <w:pPr>
        <w:ind w:left="1381" w:hanging="360"/>
      </w:pPr>
      <w:rPr>
        <w:rFonts w:ascii="Symbol" w:hAnsi="Symbol"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32" w15:restartNumberingAfterBreak="0">
    <w:nsid w:val="156A3EBB"/>
    <w:multiLevelType w:val="hybridMultilevel"/>
    <w:tmpl w:val="871E2BFA"/>
    <w:lvl w:ilvl="0" w:tplc="5F42D282">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158000BC"/>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5F57F19"/>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6C5390B"/>
    <w:multiLevelType w:val="multilevel"/>
    <w:tmpl w:val="42F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E75022"/>
    <w:multiLevelType w:val="hybridMultilevel"/>
    <w:tmpl w:val="4AB21604"/>
    <w:lvl w:ilvl="0" w:tplc="FB7EAEAC">
      <w:start w:val="1"/>
      <w:numFmt w:val="upp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7CB7231"/>
    <w:multiLevelType w:val="multilevel"/>
    <w:tmpl w:val="230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03344"/>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9812682"/>
    <w:multiLevelType w:val="multilevel"/>
    <w:tmpl w:val="299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A15772"/>
    <w:multiLevelType w:val="multilevel"/>
    <w:tmpl w:val="CD7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B37E7B"/>
    <w:multiLevelType w:val="multilevel"/>
    <w:tmpl w:val="F6B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E31FB7"/>
    <w:multiLevelType w:val="hybridMultilevel"/>
    <w:tmpl w:val="3BE63156"/>
    <w:lvl w:ilvl="0" w:tplc="FFFFFFFF">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1CE06BD5"/>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1E63038A"/>
    <w:multiLevelType w:val="hybridMultilevel"/>
    <w:tmpl w:val="4AB21604"/>
    <w:lvl w:ilvl="0" w:tplc="FFFFFFFF">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F343294"/>
    <w:multiLevelType w:val="multilevel"/>
    <w:tmpl w:val="46F8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54227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0C72C32"/>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1957A08"/>
    <w:multiLevelType w:val="multilevel"/>
    <w:tmpl w:val="B49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B4D3A"/>
    <w:multiLevelType w:val="hybridMultilevel"/>
    <w:tmpl w:val="C28649A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247245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2339041B"/>
    <w:multiLevelType w:val="multilevel"/>
    <w:tmpl w:val="518C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2431C"/>
    <w:multiLevelType w:val="hybridMultilevel"/>
    <w:tmpl w:val="9D401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40E636F"/>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418577D"/>
    <w:multiLevelType w:val="multilevel"/>
    <w:tmpl w:val="569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464A44"/>
    <w:multiLevelType w:val="multilevel"/>
    <w:tmpl w:val="B83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820BF"/>
    <w:multiLevelType w:val="hybridMultilevel"/>
    <w:tmpl w:val="A05C5188"/>
    <w:lvl w:ilvl="0" w:tplc="FFFFFFFF">
      <w:start w:val="1"/>
      <w:numFmt w:val="lowerLetter"/>
      <w:lvlText w:val="%1)"/>
      <w:lvlJc w:val="left"/>
      <w:pPr>
        <w:ind w:left="720" w:hanging="360"/>
      </w:pPr>
      <w:rPr>
        <w:rFonts w:hint="default"/>
        <w:b w:val="0"/>
        <w:bCs w:val="0"/>
        <w:i w:val="0"/>
        <w:iCs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52F33E3"/>
    <w:multiLevelType w:val="hybridMultilevel"/>
    <w:tmpl w:val="AA1C6FC8"/>
    <w:lvl w:ilvl="0" w:tplc="028AE50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6512FCA"/>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27C03B3F"/>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27FB00D4"/>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85927E5"/>
    <w:multiLevelType w:val="hybridMultilevel"/>
    <w:tmpl w:val="76701B8A"/>
    <w:lvl w:ilvl="0" w:tplc="FFFFFFFF">
      <w:start w:val="1"/>
      <w:numFmt w:val="bullet"/>
      <w:lvlText w:val=""/>
      <w:lvlJc w:val="left"/>
      <w:pPr>
        <w:ind w:left="1211" w:hanging="360"/>
      </w:pPr>
      <w:rPr>
        <w:rFonts w:ascii="Symbol" w:hAnsi="Symbol" w:hint="default"/>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62" w15:restartNumberingAfterBreak="0">
    <w:nsid w:val="293D353A"/>
    <w:multiLevelType w:val="hybridMultilevel"/>
    <w:tmpl w:val="6C0EAC16"/>
    <w:lvl w:ilvl="0" w:tplc="FFFFFFFF">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2BB876DE"/>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C6B4BC7"/>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2CA042E1"/>
    <w:multiLevelType w:val="hybridMultilevel"/>
    <w:tmpl w:val="5D9243BC"/>
    <w:lvl w:ilvl="0" w:tplc="CE669A5C">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2CA6117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EA0601F"/>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2EC74FE8"/>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03E7AF4"/>
    <w:multiLevelType w:val="hybridMultilevel"/>
    <w:tmpl w:val="66567690"/>
    <w:lvl w:ilvl="0" w:tplc="08090001">
      <w:start w:val="1"/>
      <w:numFmt w:val="bullet"/>
      <w:lvlText w:val=""/>
      <w:lvlJc w:val="left"/>
      <w:pPr>
        <w:ind w:left="1381" w:hanging="360"/>
      </w:pPr>
      <w:rPr>
        <w:rFonts w:ascii="Symbol" w:hAnsi="Symbol" w:hint="default"/>
      </w:rPr>
    </w:lvl>
    <w:lvl w:ilvl="1" w:tplc="08090003">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70" w15:restartNumberingAfterBreak="0">
    <w:nsid w:val="306D792B"/>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1096EB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318D1F36"/>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324C5293"/>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32AD6120"/>
    <w:multiLevelType w:val="multilevel"/>
    <w:tmpl w:val="A87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6028E8"/>
    <w:multiLevelType w:val="multilevel"/>
    <w:tmpl w:val="0A2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E1076C"/>
    <w:multiLevelType w:val="hybridMultilevel"/>
    <w:tmpl w:val="C5562D58"/>
    <w:lvl w:ilvl="0" w:tplc="DBEA63FE">
      <w:start w:val="1"/>
      <w:numFmt w:val="decimal"/>
      <w:lvlText w:val="(%1)"/>
      <w:lvlJc w:val="left"/>
      <w:pPr>
        <w:ind w:left="720" w:hanging="360"/>
      </w:pPr>
      <w:rPr>
        <w:rFonts w:ascii="Arial" w:hAnsi="Arial" w:cs="Arial" w:hint="default"/>
        <w:i w:val="0"/>
        <w:iCs w:val="0"/>
        <w:color w:val="000000" w:themeColor="text1"/>
        <w:sz w:val="20"/>
        <w:szCs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350B1A41"/>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5CB6999"/>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3606304D"/>
    <w:multiLevelType w:val="hybridMultilevel"/>
    <w:tmpl w:val="0772EE34"/>
    <w:lvl w:ilvl="0" w:tplc="05107C30">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37EB6DBC"/>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8460B33"/>
    <w:multiLevelType w:val="hybridMultilevel"/>
    <w:tmpl w:val="EDB4AFD0"/>
    <w:lvl w:ilvl="0" w:tplc="886E89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38595FC2"/>
    <w:multiLevelType w:val="multilevel"/>
    <w:tmpl w:val="D730E880"/>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3" w15:restartNumberingAfterBreak="0">
    <w:nsid w:val="385C677A"/>
    <w:multiLevelType w:val="multilevel"/>
    <w:tmpl w:val="FF82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BF259D"/>
    <w:multiLevelType w:val="hybridMultilevel"/>
    <w:tmpl w:val="C1CE9F8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AFD432F"/>
    <w:multiLevelType w:val="multilevel"/>
    <w:tmpl w:val="56D6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9867AA"/>
    <w:multiLevelType w:val="hybridMultilevel"/>
    <w:tmpl w:val="720CBBAA"/>
    <w:lvl w:ilvl="0" w:tplc="F7F2AD7C">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CC348C3"/>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3CDD1DD1"/>
    <w:multiLevelType w:val="hybridMultilevel"/>
    <w:tmpl w:val="3BA212E8"/>
    <w:lvl w:ilvl="0" w:tplc="08090001">
      <w:start w:val="1"/>
      <w:numFmt w:val="bullet"/>
      <w:lvlText w:val=""/>
      <w:lvlJc w:val="left"/>
      <w:pPr>
        <w:ind w:left="1381" w:hanging="360"/>
      </w:pPr>
      <w:rPr>
        <w:rFonts w:ascii="Symbol" w:hAnsi="Symbol"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89" w15:restartNumberingAfterBreak="0">
    <w:nsid w:val="3F724782"/>
    <w:multiLevelType w:val="multilevel"/>
    <w:tmpl w:val="31EC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F822B6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5B2480"/>
    <w:multiLevelType w:val="multilevel"/>
    <w:tmpl w:val="149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8E351E"/>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1A77046"/>
    <w:multiLevelType w:val="multilevel"/>
    <w:tmpl w:val="DCD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0A1157"/>
    <w:multiLevelType w:val="hybridMultilevel"/>
    <w:tmpl w:val="FBC8C65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5" w15:restartNumberingAfterBreak="0">
    <w:nsid w:val="45E822FE"/>
    <w:multiLevelType w:val="hybridMultilevel"/>
    <w:tmpl w:val="C1CE9F8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76F2AA5"/>
    <w:multiLevelType w:val="multilevel"/>
    <w:tmpl w:val="51C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9949F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8" w15:restartNumberingAfterBreak="0">
    <w:nsid w:val="48F23255"/>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491E43A0"/>
    <w:multiLevelType w:val="hybridMultilevel"/>
    <w:tmpl w:val="4B4871B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4B0C5EE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B8148F8"/>
    <w:multiLevelType w:val="hybridMultilevel"/>
    <w:tmpl w:val="14C2B2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4BC80B36"/>
    <w:multiLevelType w:val="multilevel"/>
    <w:tmpl w:val="868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3F5BB7"/>
    <w:multiLevelType w:val="hybridMultilevel"/>
    <w:tmpl w:val="D988EB4C"/>
    <w:lvl w:ilvl="0" w:tplc="6DF24D7C">
      <w:start w:val="1"/>
      <w:numFmt w:val="decimal"/>
      <w:lvlText w:val="(%1)"/>
      <w:lvlJc w:val="left"/>
      <w:pPr>
        <w:ind w:left="360" w:hanging="360"/>
      </w:pPr>
      <w:rPr>
        <w:rFonts w:ascii="Verdana" w:hAnsi="Verdana" w:hint="default"/>
        <w:b w:val="0"/>
        <w:bCs w:val="0"/>
        <w:color w:val="000000" w:themeColor="text1"/>
        <w:sz w:val="18"/>
        <w:szCs w:val="18"/>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4" w15:restartNumberingAfterBreak="0">
    <w:nsid w:val="4C615784"/>
    <w:multiLevelType w:val="hybridMultilevel"/>
    <w:tmpl w:val="76A8B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4E5A20DA"/>
    <w:multiLevelType w:val="multilevel"/>
    <w:tmpl w:val="F52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DC1F1F"/>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4FCF03E1"/>
    <w:multiLevelType w:val="multilevel"/>
    <w:tmpl w:val="E48C4D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A50780"/>
    <w:multiLevelType w:val="hybridMultilevel"/>
    <w:tmpl w:val="707A593E"/>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15207E3"/>
    <w:multiLevelType w:val="multilevel"/>
    <w:tmpl w:val="75F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72459D"/>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5457263"/>
    <w:multiLevelType w:val="multilevel"/>
    <w:tmpl w:val="339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9E04FA"/>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58C00688"/>
    <w:multiLevelType w:val="multilevel"/>
    <w:tmpl w:val="82D6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4A45DE"/>
    <w:multiLevelType w:val="multilevel"/>
    <w:tmpl w:val="403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833667"/>
    <w:multiLevelType w:val="hybridMultilevel"/>
    <w:tmpl w:val="99B641D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6" w15:restartNumberingAfterBreak="0">
    <w:nsid w:val="59A83BC9"/>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5AFB17E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B19290F"/>
    <w:multiLevelType w:val="hybridMultilevel"/>
    <w:tmpl w:val="8C423106"/>
    <w:lvl w:ilvl="0" w:tplc="054EDBB4">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5BF0524E"/>
    <w:multiLevelType w:val="multilevel"/>
    <w:tmpl w:val="5CE63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2C551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1" w15:restartNumberingAfterBreak="0">
    <w:nsid w:val="5CDF1BFE"/>
    <w:multiLevelType w:val="multilevel"/>
    <w:tmpl w:val="3DC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071E0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5D2D5472"/>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5E2D22AF"/>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E3C7255"/>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5F627C7D"/>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5F701D12"/>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05603CB"/>
    <w:multiLevelType w:val="multilevel"/>
    <w:tmpl w:val="6F8A684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9" w15:restartNumberingAfterBreak="0">
    <w:nsid w:val="608F290A"/>
    <w:multiLevelType w:val="hybridMultilevel"/>
    <w:tmpl w:val="707A593E"/>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0E15715"/>
    <w:multiLevelType w:val="hybridMultilevel"/>
    <w:tmpl w:val="EEBE945C"/>
    <w:lvl w:ilvl="0" w:tplc="FAF4291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1" w15:restartNumberingAfterBreak="0">
    <w:nsid w:val="6108414C"/>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6228577C"/>
    <w:multiLevelType w:val="multilevel"/>
    <w:tmpl w:val="16946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366B1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4" w15:restartNumberingAfterBreak="0">
    <w:nsid w:val="64500AB0"/>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54A0D9A"/>
    <w:multiLevelType w:val="hybridMultilevel"/>
    <w:tmpl w:val="18AE48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657C1C6A"/>
    <w:multiLevelType w:val="hybridMultilevel"/>
    <w:tmpl w:val="71E8586A"/>
    <w:lvl w:ilvl="0" w:tplc="FFFFFFFF">
      <w:start w:val="1"/>
      <w:numFmt w:val="lowerRoman"/>
      <w:lvlText w:val="(%1)"/>
      <w:lvlJc w:val="left"/>
      <w:pPr>
        <w:ind w:left="720" w:hanging="360"/>
      </w:pPr>
      <w:rPr>
        <w:rFonts w:hint="default"/>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659F4753"/>
    <w:multiLevelType w:val="hybridMultilevel"/>
    <w:tmpl w:val="FE92CAD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8" w15:restartNumberingAfterBreak="0">
    <w:nsid w:val="65A956B0"/>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681823B3"/>
    <w:multiLevelType w:val="hybridMultilevel"/>
    <w:tmpl w:val="6AA22A14"/>
    <w:lvl w:ilvl="0" w:tplc="FFFFFFFF">
      <w:start w:val="1"/>
      <w:numFmt w:val="decimal"/>
      <w:lvlText w:val="%1)"/>
      <w:lvlJc w:val="left"/>
      <w:pPr>
        <w:ind w:left="1381" w:hanging="360"/>
      </w:pPr>
    </w:lvl>
    <w:lvl w:ilvl="1" w:tplc="FFFFFFFF" w:tentative="1">
      <w:start w:val="1"/>
      <w:numFmt w:val="lowerLetter"/>
      <w:lvlText w:val="%2."/>
      <w:lvlJc w:val="left"/>
      <w:pPr>
        <w:ind w:left="2101" w:hanging="360"/>
      </w:pPr>
    </w:lvl>
    <w:lvl w:ilvl="2" w:tplc="FFFFFFFF" w:tentative="1">
      <w:start w:val="1"/>
      <w:numFmt w:val="lowerRoman"/>
      <w:lvlText w:val="%3."/>
      <w:lvlJc w:val="right"/>
      <w:pPr>
        <w:ind w:left="2821" w:hanging="180"/>
      </w:pPr>
    </w:lvl>
    <w:lvl w:ilvl="3" w:tplc="FFFFFFFF" w:tentative="1">
      <w:start w:val="1"/>
      <w:numFmt w:val="decimal"/>
      <w:lvlText w:val="%4."/>
      <w:lvlJc w:val="left"/>
      <w:pPr>
        <w:ind w:left="3541" w:hanging="360"/>
      </w:pPr>
    </w:lvl>
    <w:lvl w:ilvl="4" w:tplc="FFFFFFFF" w:tentative="1">
      <w:start w:val="1"/>
      <w:numFmt w:val="lowerLetter"/>
      <w:lvlText w:val="%5."/>
      <w:lvlJc w:val="left"/>
      <w:pPr>
        <w:ind w:left="4261" w:hanging="360"/>
      </w:pPr>
    </w:lvl>
    <w:lvl w:ilvl="5" w:tplc="FFFFFFFF" w:tentative="1">
      <w:start w:val="1"/>
      <w:numFmt w:val="lowerRoman"/>
      <w:lvlText w:val="%6."/>
      <w:lvlJc w:val="right"/>
      <w:pPr>
        <w:ind w:left="4981" w:hanging="180"/>
      </w:pPr>
    </w:lvl>
    <w:lvl w:ilvl="6" w:tplc="FFFFFFFF" w:tentative="1">
      <w:start w:val="1"/>
      <w:numFmt w:val="decimal"/>
      <w:lvlText w:val="%7."/>
      <w:lvlJc w:val="left"/>
      <w:pPr>
        <w:ind w:left="5701" w:hanging="360"/>
      </w:pPr>
    </w:lvl>
    <w:lvl w:ilvl="7" w:tplc="FFFFFFFF" w:tentative="1">
      <w:start w:val="1"/>
      <w:numFmt w:val="lowerLetter"/>
      <w:lvlText w:val="%8."/>
      <w:lvlJc w:val="left"/>
      <w:pPr>
        <w:ind w:left="6421" w:hanging="360"/>
      </w:pPr>
    </w:lvl>
    <w:lvl w:ilvl="8" w:tplc="FFFFFFFF" w:tentative="1">
      <w:start w:val="1"/>
      <w:numFmt w:val="lowerRoman"/>
      <w:lvlText w:val="%9."/>
      <w:lvlJc w:val="right"/>
      <w:pPr>
        <w:ind w:left="7141" w:hanging="180"/>
      </w:pPr>
    </w:lvl>
  </w:abstractNum>
  <w:abstractNum w:abstractNumId="140" w15:restartNumberingAfterBreak="0">
    <w:nsid w:val="6B91606C"/>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6BD05B94"/>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6E7F508B"/>
    <w:multiLevelType w:val="hybridMultilevel"/>
    <w:tmpl w:val="6AA22A14"/>
    <w:lvl w:ilvl="0" w:tplc="FFFFFFFF">
      <w:start w:val="1"/>
      <w:numFmt w:val="decimal"/>
      <w:lvlText w:val="%1)"/>
      <w:lvlJc w:val="left"/>
      <w:pPr>
        <w:ind w:left="1381" w:hanging="360"/>
      </w:pPr>
    </w:lvl>
    <w:lvl w:ilvl="1" w:tplc="FFFFFFFF" w:tentative="1">
      <w:start w:val="1"/>
      <w:numFmt w:val="lowerLetter"/>
      <w:lvlText w:val="%2."/>
      <w:lvlJc w:val="left"/>
      <w:pPr>
        <w:ind w:left="2101" w:hanging="360"/>
      </w:pPr>
    </w:lvl>
    <w:lvl w:ilvl="2" w:tplc="FFFFFFFF" w:tentative="1">
      <w:start w:val="1"/>
      <w:numFmt w:val="lowerRoman"/>
      <w:lvlText w:val="%3."/>
      <w:lvlJc w:val="right"/>
      <w:pPr>
        <w:ind w:left="2821" w:hanging="180"/>
      </w:pPr>
    </w:lvl>
    <w:lvl w:ilvl="3" w:tplc="FFFFFFFF" w:tentative="1">
      <w:start w:val="1"/>
      <w:numFmt w:val="decimal"/>
      <w:lvlText w:val="%4."/>
      <w:lvlJc w:val="left"/>
      <w:pPr>
        <w:ind w:left="3541" w:hanging="360"/>
      </w:pPr>
    </w:lvl>
    <w:lvl w:ilvl="4" w:tplc="FFFFFFFF" w:tentative="1">
      <w:start w:val="1"/>
      <w:numFmt w:val="lowerLetter"/>
      <w:lvlText w:val="%5."/>
      <w:lvlJc w:val="left"/>
      <w:pPr>
        <w:ind w:left="4261" w:hanging="360"/>
      </w:pPr>
    </w:lvl>
    <w:lvl w:ilvl="5" w:tplc="FFFFFFFF" w:tentative="1">
      <w:start w:val="1"/>
      <w:numFmt w:val="lowerRoman"/>
      <w:lvlText w:val="%6."/>
      <w:lvlJc w:val="right"/>
      <w:pPr>
        <w:ind w:left="4981" w:hanging="180"/>
      </w:pPr>
    </w:lvl>
    <w:lvl w:ilvl="6" w:tplc="FFFFFFFF" w:tentative="1">
      <w:start w:val="1"/>
      <w:numFmt w:val="decimal"/>
      <w:lvlText w:val="%7."/>
      <w:lvlJc w:val="left"/>
      <w:pPr>
        <w:ind w:left="5701" w:hanging="360"/>
      </w:pPr>
    </w:lvl>
    <w:lvl w:ilvl="7" w:tplc="FFFFFFFF" w:tentative="1">
      <w:start w:val="1"/>
      <w:numFmt w:val="lowerLetter"/>
      <w:lvlText w:val="%8."/>
      <w:lvlJc w:val="left"/>
      <w:pPr>
        <w:ind w:left="6421" w:hanging="360"/>
      </w:pPr>
    </w:lvl>
    <w:lvl w:ilvl="8" w:tplc="FFFFFFFF" w:tentative="1">
      <w:start w:val="1"/>
      <w:numFmt w:val="lowerRoman"/>
      <w:lvlText w:val="%9."/>
      <w:lvlJc w:val="right"/>
      <w:pPr>
        <w:ind w:left="7141" w:hanging="180"/>
      </w:pPr>
    </w:lvl>
  </w:abstractNum>
  <w:abstractNum w:abstractNumId="143" w15:restartNumberingAfterBreak="0">
    <w:nsid w:val="6E841F66"/>
    <w:multiLevelType w:val="hybridMultilevel"/>
    <w:tmpl w:val="6AA22A14"/>
    <w:lvl w:ilvl="0" w:tplc="08090011">
      <w:start w:val="1"/>
      <w:numFmt w:val="decimal"/>
      <w:lvlText w:val="%1)"/>
      <w:lvlJc w:val="left"/>
      <w:pPr>
        <w:ind w:left="1381" w:hanging="360"/>
      </w:pPr>
    </w:lvl>
    <w:lvl w:ilvl="1" w:tplc="08090019" w:tentative="1">
      <w:start w:val="1"/>
      <w:numFmt w:val="lowerLetter"/>
      <w:lvlText w:val="%2."/>
      <w:lvlJc w:val="left"/>
      <w:pPr>
        <w:ind w:left="2101" w:hanging="360"/>
      </w:pPr>
    </w:lvl>
    <w:lvl w:ilvl="2" w:tplc="0809001B" w:tentative="1">
      <w:start w:val="1"/>
      <w:numFmt w:val="lowerRoman"/>
      <w:lvlText w:val="%3."/>
      <w:lvlJc w:val="right"/>
      <w:pPr>
        <w:ind w:left="2821" w:hanging="180"/>
      </w:pPr>
    </w:lvl>
    <w:lvl w:ilvl="3" w:tplc="0809000F" w:tentative="1">
      <w:start w:val="1"/>
      <w:numFmt w:val="decimal"/>
      <w:lvlText w:val="%4."/>
      <w:lvlJc w:val="left"/>
      <w:pPr>
        <w:ind w:left="3541" w:hanging="360"/>
      </w:pPr>
    </w:lvl>
    <w:lvl w:ilvl="4" w:tplc="08090019" w:tentative="1">
      <w:start w:val="1"/>
      <w:numFmt w:val="lowerLetter"/>
      <w:lvlText w:val="%5."/>
      <w:lvlJc w:val="left"/>
      <w:pPr>
        <w:ind w:left="4261" w:hanging="360"/>
      </w:pPr>
    </w:lvl>
    <w:lvl w:ilvl="5" w:tplc="0809001B" w:tentative="1">
      <w:start w:val="1"/>
      <w:numFmt w:val="lowerRoman"/>
      <w:lvlText w:val="%6."/>
      <w:lvlJc w:val="right"/>
      <w:pPr>
        <w:ind w:left="4981" w:hanging="180"/>
      </w:pPr>
    </w:lvl>
    <w:lvl w:ilvl="6" w:tplc="0809000F" w:tentative="1">
      <w:start w:val="1"/>
      <w:numFmt w:val="decimal"/>
      <w:lvlText w:val="%7."/>
      <w:lvlJc w:val="left"/>
      <w:pPr>
        <w:ind w:left="5701" w:hanging="360"/>
      </w:pPr>
    </w:lvl>
    <w:lvl w:ilvl="7" w:tplc="08090019" w:tentative="1">
      <w:start w:val="1"/>
      <w:numFmt w:val="lowerLetter"/>
      <w:lvlText w:val="%8."/>
      <w:lvlJc w:val="left"/>
      <w:pPr>
        <w:ind w:left="6421" w:hanging="360"/>
      </w:pPr>
    </w:lvl>
    <w:lvl w:ilvl="8" w:tplc="0809001B" w:tentative="1">
      <w:start w:val="1"/>
      <w:numFmt w:val="lowerRoman"/>
      <w:lvlText w:val="%9."/>
      <w:lvlJc w:val="right"/>
      <w:pPr>
        <w:ind w:left="7141" w:hanging="180"/>
      </w:pPr>
    </w:lvl>
  </w:abstractNum>
  <w:abstractNum w:abstractNumId="144" w15:restartNumberingAfterBreak="0">
    <w:nsid w:val="6EE8143F"/>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6FD33580"/>
    <w:multiLevelType w:val="hybridMultilevel"/>
    <w:tmpl w:val="6AACAFEA"/>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6" w15:restartNumberingAfterBreak="0">
    <w:nsid w:val="7000039D"/>
    <w:multiLevelType w:val="hybridMultilevel"/>
    <w:tmpl w:val="D4EAA29A"/>
    <w:lvl w:ilvl="0" w:tplc="989E93DC">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70082C08"/>
    <w:multiLevelType w:val="hybridMultilevel"/>
    <w:tmpl w:val="6C0EAC16"/>
    <w:lvl w:ilvl="0" w:tplc="36F6F7D4">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8" w15:restartNumberingAfterBreak="0">
    <w:nsid w:val="707044B3"/>
    <w:multiLevelType w:val="hybridMultilevel"/>
    <w:tmpl w:val="3BE63156"/>
    <w:lvl w:ilvl="0" w:tplc="2A1AA0FA">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9" w15:restartNumberingAfterBreak="0">
    <w:nsid w:val="741D4748"/>
    <w:multiLevelType w:val="multilevel"/>
    <w:tmpl w:val="9AFC61EA"/>
    <w:name w:val="AOHead1"/>
    <w:lvl w:ilvl="0">
      <w:start w:val="1"/>
      <w:numFmt w:val="decimal"/>
      <w:pStyle w:val="AOHead1"/>
      <w:lvlText w:val="%1."/>
      <w:lvlJc w:val="left"/>
      <w:pPr>
        <w:tabs>
          <w:tab w:val="num" w:pos="720"/>
        </w:tabs>
        <w:ind w:left="720" w:hanging="720"/>
      </w:pPr>
      <w:rPr>
        <w:rFonts w:hint="default"/>
      </w:rPr>
    </w:lvl>
    <w:lvl w:ilvl="1">
      <w:start w:val="1"/>
      <w:numFmt w:val="decimal"/>
      <w:pStyle w:val="AOHead2"/>
      <w:lvlText w:val="%1.%2"/>
      <w:lvlJc w:val="left"/>
      <w:pPr>
        <w:tabs>
          <w:tab w:val="num" w:pos="720"/>
        </w:tabs>
        <w:ind w:left="720" w:hanging="720"/>
      </w:pPr>
      <w:rPr>
        <w:rFonts w:hint="default"/>
        <w:b w:val="0"/>
      </w:rPr>
    </w:lvl>
    <w:lvl w:ilvl="2">
      <w:start w:val="1"/>
      <w:numFmt w:val="lowerLetter"/>
      <w:pStyle w:val="AOHead3"/>
      <w:lvlText w:val="(%3)"/>
      <w:lvlJc w:val="left"/>
      <w:pPr>
        <w:tabs>
          <w:tab w:val="num" w:pos="1440"/>
        </w:tabs>
        <w:ind w:left="1440" w:hanging="720"/>
      </w:pPr>
      <w:rPr>
        <w:rFonts w:hint="default"/>
        <w:b w:val="0"/>
      </w:rPr>
    </w:lvl>
    <w:lvl w:ilvl="3">
      <w:start w:val="1"/>
      <w:numFmt w:val="lowerRoman"/>
      <w:pStyle w:val="AOHead4"/>
      <w:lvlText w:val="(%4)"/>
      <w:lvlJc w:val="left"/>
      <w:pPr>
        <w:tabs>
          <w:tab w:val="num" w:pos="2160"/>
        </w:tabs>
        <w:ind w:left="2160" w:hanging="720"/>
      </w:pPr>
      <w:rPr>
        <w:rFonts w:hint="default"/>
      </w:rPr>
    </w:lvl>
    <w:lvl w:ilvl="4">
      <w:start w:val="1"/>
      <w:numFmt w:val="upperLetter"/>
      <w:pStyle w:val="AOHead5"/>
      <w:lvlText w:val="(%5)"/>
      <w:lvlJc w:val="left"/>
      <w:pPr>
        <w:tabs>
          <w:tab w:val="num" w:pos="2880"/>
        </w:tabs>
        <w:ind w:left="2880" w:hanging="720"/>
      </w:pPr>
      <w:rPr>
        <w:rFonts w:hint="default"/>
      </w:rPr>
    </w:lvl>
    <w:lvl w:ilvl="5">
      <w:start w:val="1"/>
      <w:numFmt w:val="upperRoman"/>
      <w:pStyle w:val="AOHead6"/>
      <w:lvlText w:val="%6."/>
      <w:lvlJc w:val="left"/>
      <w:pPr>
        <w:tabs>
          <w:tab w:val="num" w:pos="3600"/>
        </w:tabs>
        <w:ind w:left="360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50" w15:restartNumberingAfterBreak="0">
    <w:nsid w:val="74357376"/>
    <w:multiLevelType w:val="hybridMultilevel"/>
    <w:tmpl w:val="799A8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4BF1742"/>
    <w:multiLevelType w:val="hybridMultilevel"/>
    <w:tmpl w:val="FD429B6E"/>
    <w:lvl w:ilvl="0" w:tplc="78F4966A">
      <w:start w:val="2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757136CD"/>
    <w:multiLevelType w:val="hybridMultilevel"/>
    <w:tmpl w:val="0772EE34"/>
    <w:lvl w:ilvl="0" w:tplc="FFFFFFFF">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3" w15:restartNumberingAfterBreak="0">
    <w:nsid w:val="75AA3AC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75AB00F7"/>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75B1684B"/>
    <w:multiLevelType w:val="multilevel"/>
    <w:tmpl w:val="B5AAC02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6" w15:restartNumberingAfterBreak="0">
    <w:nsid w:val="76AD220B"/>
    <w:multiLevelType w:val="multilevel"/>
    <w:tmpl w:val="6950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A96A9F"/>
    <w:multiLevelType w:val="multilevel"/>
    <w:tmpl w:val="46E0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A44EEA"/>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9" w15:restartNumberingAfterBreak="0">
    <w:nsid w:val="79F16F0A"/>
    <w:multiLevelType w:val="hybridMultilevel"/>
    <w:tmpl w:val="8BA6DB7C"/>
    <w:lvl w:ilvl="0" w:tplc="D77C3BB6">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0" w15:restartNumberingAfterBreak="0">
    <w:nsid w:val="7A2B2174"/>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7C406FD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7C854EB5"/>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7CAC17E9"/>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4" w15:restartNumberingAfterBreak="0">
    <w:nsid w:val="7D851E9C"/>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7D8E0B5D"/>
    <w:multiLevelType w:val="hybridMultilevel"/>
    <w:tmpl w:val="79F295E6"/>
    <w:lvl w:ilvl="0" w:tplc="F7F2AD7C">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7E583DF9"/>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7ECF0C8B"/>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7F77403C"/>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3200068">
    <w:abstractNumId w:val="128"/>
  </w:num>
  <w:num w:numId="2" w16cid:durableId="126358207">
    <w:abstractNumId w:val="155"/>
  </w:num>
  <w:num w:numId="3" w16cid:durableId="1188056994">
    <w:abstractNumId w:val="82"/>
  </w:num>
  <w:num w:numId="4" w16cid:durableId="1096950115">
    <w:abstractNumId w:val="13"/>
  </w:num>
  <w:num w:numId="5" w16cid:durableId="600723521">
    <w:abstractNumId w:val="24"/>
  </w:num>
  <w:num w:numId="6" w16cid:durableId="101655862">
    <w:abstractNumId w:val="81"/>
  </w:num>
  <w:num w:numId="7" w16cid:durableId="357781073">
    <w:abstractNumId w:val="104"/>
  </w:num>
  <w:num w:numId="8" w16cid:durableId="618225623">
    <w:abstractNumId w:val="57"/>
  </w:num>
  <w:num w:numId="9" w16cid:durableId="1867130561">
    <w:abstractNumId w:val="130"/>
  </w:num>
  <w:num w:numId="10" w16cid:durableId="1022130108">
    <w:abstractNumId w:val="32"/>
  </w:num>
  <w:num w:numId="11" w16cid:durableId="945041570">
    <w:abstractNumId w:val="0"/>
  </w:num>
  <w:num w:numId="12" w16cid:durableId="1173642269">
    <w:abstractNumId w:val="2"/>
  </w:num>
  <w:num w:numId="13" w16cid:durableId="1602881333">
    <w:abstractNumId w:val="51"/>
  </w:num>
  <w:num w:numId="14" w16cid:durableId="1107967440">
    <w:abstractNumId w:val="48"/>
  </w:num>
  <w:num w:numId="15" w16cid:durableId="461389175">
    <w:abstractNumId w:val="98"/>
  </w:num>
  <w:num w:numId="16" w16cid:durableId="1142775819">
    <w:abstractNumId w:val="131"/>
  </w:num>
  <w:num w:numId="17" w16cid:durableId="1583753248">
    <w:abstractNumId w:val="67"/>
  </w:num>
  <w:num w:numId="18" w16cid:durableId="1283148298">
    <w:abstractNumId w:val="116"/>
  </w:num>
  <w:num w:numId="19" w16cid:durableId="305016590">
    <w:abstractNumId w:val="159"/>
  </w:num>
  <w:num w:numId="20" w16cid:durableId="1336034964">
    <w:abstractNumId w:val="133"/>
  </w:num>
  <w:num w:numId="21" w16cid:durableId="1317489967">
    <w:abstractNumId w:val="148"/>
  </w:num>
  <w:num w:numId="22" w16cid:durableId="545021596">
    <w:abstractNumId w:val="23"/>
  </w:num>
  <w:num w:numId="23" w16cid:durableId="3097675">
    <w:abstractNumId w:val="163"/>
  </w:num>
  <w:num w:numId="24" w16cid:durableId="390233899">
    <w:abstractNumId w:val="106"/>
  </w:num>
  <w:num w:numId="25" w16cid:durableId="762411815">
    <w:abstractNumId w:val="89"/>
  </w:num>
  <w:num w:numId="26" w16cid:durableId="1678389502">
    <w:abstractNumId w:val="151"/>
  </w:num>
  <w:num w:numId="27" w16cid:durableId="1734238496">
    <w:abstractNumId w:val="19"/>
  </w:num>
  <w:num w:numId="28" w16cid:durableId="658776878">
    <w:abstractNumId w:val="58"/>
  </w:num>
  <w:num w:numId="29" w16cid:durableId="1902011389">
    <w:abstractNumId w:val="125"/>
  </w:num>
  <w:num w:numId="30" w16cid:durableId="393160380">
    <w:abstractNumId w:val="73"/>
  </w:num>
  <w:num w:numId="31" w16cid:durableId="1127579490">
    <w:abstractNumId w:val="9"/>
  </w:num>
  <w:num w:numId="32" w16cid:durableId="1074014665">
    <w:abstractNumId w:val="146"/>
  </w:num>
  <w:num w:numId="33" w16cid:durableId="1195118378">
    <w:abstractNumId w:val="79"/>
  </w:num>
  <w:num w:numId="34" w16cid:durableId="424155220">
    <w:abstractNumId w:val="43"/>
  </w:num>
  <w:num w:numId="35" w16cid:durableId="2100907592">
    <w:abstractNumId w:val="14"/>
  </w:num>
  <w:num w:numId="36" w16cid:durableId="1531987168">
    <w:abstractNumId w:val="97"/>
  </w:num>
  <w:num w:numId="37" w16cid:durableId="1584030680">
    <w:abstractNumId w:val="50"/>
  </w:num>
  <w:num w:numId="38" w16cid:durableId="1977838001">
    <w:abstractNumId w:val="5"/>
  </w:num>
  <w:num w:numId="39" w16cid:durableId="1025211022">
    <w:abstractNumId w:val="137"/>
  </w:num>
  <w:num w:numId="40" w16cid:durableId="1323237944">
    <w:abstractNumId w:val="7"/>
  </w:num>
  <w:num w:numId="41" w16cid:durableId="1347174059">
    <w:abstractNumId w:val="120"/>
  </w:num>
  <w:num w:numId="42" w16cid:durableId="2098166550">
    <w:abstractNumId w:val="147"/>
  </w:num>
  <w:num w:numId="43" w16cid:durableId="1933203685">
    <w:abstractNumId w:val="65"/>
  </w:num>
  <w:num w:numId="44" w16cid:durableId="737478984">
    <w:abstractNumId w:val="107"/>
  </w:num>
  <w:num w:numId="45" w16cid:durableId="1562787032">
    <w:abstractNumId w:val="30"/>
  </w:num>
  <w:num w:numId="46" w16cid:durableId="879166205">
    <w:abstractNumId w:val="62"/>
  </w:num>
  <w:num w:numId="47" w16cid:durableId="668021190">
    <w:abstractNumId w:val="87"/>
  </w:num>
  <w:num w:numId="48" w16cid:durableId="160701149">
    <w:abstractNumId w:val="22"/>
  </w:num>
  <w:num w:numId="49" w16cid:durableId="247883657">
    <w:abstractNumId w:val="126"/>
  </w:num>
  <w:num w:numId="50" w16cid:durableId="89472008">
    <w:abstractNumId w:val="29"/>
  </w:num>
  <w:num w:numId="51" w16cid:durableId="1413117383">
    <w:abstractNumId w:val="123"/>
  </w:num>
  <w:num w:numId="52" w16cid:durableId="732391010">
    <w:abstractNumId w:val="59"/>
  </w:num>
  <w:num w:numId="53" w16cid:durableId="387388257">
    <w:abstractNumId w:val="112"/>
  </w:num>
  <w:num w:numId="54" w16cid:durableId="1705203768">
    <w:abstractNumId w:val="153"/>
  </w:num>
  <w:num w:numId="55" w16cid:durableId="625166222">
    <w:abstractNumId w:val="72"/>
  </w:num>
  <w:num w:numId="56" w16cid:durableId="648096178">
    <w:abstractNumId w:val="158"/>
  </w:num>
  <w:num w:numId="57" w16cid:durableId="1991205356">
    <w:abstractNumId w:val="28"/>
  </w:num>
  <w:num w:numId="58" w16cid:durableId="1503624604">
    <w:abstractNumId w:val="122"/>
  </w:num>
  <w:num w:numId="59" w16cid:durableId="387919112">
    <w:abstractNumId w:val="152"/>
  </w:num>
  <w:num w:numId="60" w16cid:durableId="1565986848">
    <w:abstractNumId w:val="42"/>
  </w:num>
  <w:num w:numId="61" w16cid:durableId="709040313">
    <w:abstractNumId w:val="17"/>
  </w:num>
  <w:num w:numId="62" w16cid:durableId="705451405">
    <w:abstractNumId w:val="36"/>
  </w:num>
  <w:num w:numId="63" w16cid:durableId="1300382177">
    <w:abstractNumId w:val="118"/>
  </w:num>
  <w:num w:numId="64" w16cid:durableId="2068530578">
    <w:abstractNumId w:val="44"/>
  </w:num>
  <w:num w:numId="65" w16cid:durableId="734160015">
    <w:abstractNumId w:val="76"/>
  </w:num>
  <w:num w:numId="66" w16cid:durableId="507256458">
    <w:abstractNumId w:val="115"/>
  </w:num>
  <w:num w:numId="67" w16cid:durableId="1182356062">
    <w:abstractNumId w:val="52"/>
  </w:num>
  <w:num w:numId="68" w16cid:durableId="746729826">
    <w:abstractNumId w:val="101"/>
  </w:num>
  <w:num w:numId="69" w16cid:durableId="1042166433">
    <w:abstractNumId w:val="166"/>
  </w:num>
  <w:num w:numId="70" w16cid:durableId="849565096">
    <w:abstractNumId w:val="8"/>
  </w:num>
  <w:num w:numId="71" w16cid:durableId="1971473824">
    <w:abstractNumId w:val="144"/>
  </w:num>
  <w:num w:numId="72" w16cid:durableId="1870145415">
    <w:abstractNumId w:val="78"/>
  </w:num>
  <w:num w:numId="73" w16cid:durableId="1986737705">
    <w:abstractNumId w:val="150"/>
  </w:num>
  <w:num w:numId="74" w16cid:durableId="652873007">
    <w:abstractNumId w:val="135"/>
  </w:num>
  <w:num w:numId="75" w16cid:durableId="2035613890">
    <w:abstractNumId w:val="103"/>
  </w:num>
  <w:num w:numId="76" w16cid:durableId="864826348">
    <w:abstractNumId w:val="95"/>
  </w:num>
  <w:num w:numId="77" w16cid:durableId="1698966471">
    <w:abstractNumId w:val="140"/>
  </w:num>
  <w:num w:numId="78" w16cid:durableId="624241583">
    <w:abstractNumId w:val="49"/>
  </w:num>
  <w:num w:numId="79" w16cid:durableId="779451882">
    <w:abstractNumId w:val="99"/>
  </w:num>
  <w:num w:numId="80" w16cid:durableId="1047486194">
    <w:abstractNumId w:val="16"/>
  </w:num>
  <w:num w:numId="81" w16cid:durableId="739064410">
    <w:abstractNumId w:val="74"/>
  </w:num>
  <w:num w:numId="82" w16cid:durableId="1357924488">
    <w:abstractNumId w:val="100"/>
  </w:num>
  <w:num w:numId="83" w16cid:durableId="1889953200">
    <w:abstractNumId w:val="53"/>
  </w:num>
  <w:num w:numId="84" w16cid:durableId="807239286">
    <w:abstractNumId w:val="70"/>
  </w:num>
  <w:num w:numId="85" w16cid:durableId="1574043651">
    <w:abstractNumId w:val="138"/>
  </w:num>
  <w:num w:numId="86" w16cid:durableId="26103945">
    <w:abstractNumId w:val="21"/>
  </w:num>
  <w:num w:numId="87" w16cid:durableId="2129549243">
    <w:abstractNumId w:val="37"/>
  </w:num>
  <w:num w:numId="88" w16cid:durableId="844169416">
    <w:abstractNumId w:val="55"/>
  </w:num>
  <w:num w:numId="89" w16cid:durableId="903754123">
    <w:abstractNumId w:val="119"/>
  </w:num>
  <w:num w:numId="90" w16cid:durableId="1300918852">
    <w:abstractNumId w:val="93"/>
  </w:num>
  <w:num w:numId="91" w16cid:durableId="340281319">
    <w:abstractNumId w:val="83"/>
  </w:num>
  <w:num w:numId="92" w16cid:durableId="768500260">
    <w:abstractNumId w:val="85"/>
  </w:num>
  <w:num w:numId="93" w16cid:durableId="66808839">
    <w:abstractNumId w:val="111"/>
  </w:num>
  <w:num w:numId="94" w16cid:durableId="1972245014">
    <w:abstractNumId w:val="39"/>
  </w:num>
  <w:num w:numId="95" w16cid:durableId="566114606">
    <w:abstractNumId w:val="18"/>
  </w:num>
  <w:num w:numId="96" w16cid:durableId="2128772339">
    <w:abstractNumId w:val="109"/>
  </w:num>
  <w:num w:numId="97" w16cid:durableId="1201356259">
    <w:abstractNumId w:val="121"/>
  </w:num>
  <w:num w:numId="98" w16cid:durableId="659309121">
    <w:abstractNumId w:val="156"/>
  </w:num>
  <w:num w:numId="99" w16cid:durableId="1826310780">
    <w:abstractNumId w:val="54"/>
  </w:num>
  <w:num w:numId="100" w16cid:durableId="2065836646">
    <w:abstractNumId w:val="40"/>
  </w:num>
  <w:num w:numId="101" w16cid:durableId="963930404">
    <w:abstractNumId w:val="84"/>
  </w:num>
  <w:num w:numId="102" w16cid:durableId="390734447">
    <w:abstractNumId w:val="46"/>
  </w:num>
  <w:num w:numId="103" w16cid:durableId="2126774484">
    <w:abstractNumId w:val="164"/>
  </w:num>
  <w:num w:numId="104" w16cid:durableId="1387073450">
    <w:abstractNumId w:val="167"/>
  </w:num>
  <w:num w:numId="105" w16cid:durableId="1606302130">
    <w:abstractNumId w:val="25"/>
  </w:num>
  <w:num w:numId="106" w16cid:durableId="962075938">
    <w:abstractNumId w:val="136"/>
  </w:num>
  <w:num w:numId="107" w16cid:durableId="1163814333">
    <w:abstractNumId w:val="11"/>
  </w:num>
  <w:num w:numId="108" w16cid:durableId="1526402755">
    <w:abstractNumId w:val="145"/>
  </w:num>
  <w:num w:numId="109" w16cid:durableId="257712083">
    <w:abstractNumId w:val="117"/>
  </w:num>
  <w:num w:numId="110" w16cid:durableId="1197233104">
    <w:abstractNumId w:val="68"/>
  </w:num>
  <w:num w:numId="111" w16cid:durableId="815024863">
    <w:abstractNumId w:val="47"/>
  </w:num>
  <w:num w:numId="112" w16cid:durableId="69616262">
    <w:abstractNumId w:val="90"/>
  </w:num>
  <w:num w:numId="113" w16cid:durableId="1684044384">
    <w:abstractNumId w:val="94"/>
  </w:num>
  <w:num w:numId="114" w16cid:durableId="434793119">
    <w:abstractNumId w:val="91"/>
  </w:num>
  <w:num w:numId="115" w16cid:durableId="2090805050">
    <w:abstractNumId w:val="127"/>
  </w:num>
  <w:num w:numId="116" w16cid:durableId="422922175">
    <w:abstractNumId w:val="66"/>
  </w:num>
  <w:num w:numId="117" w16cid:durableId="316421483">
    <w:abstractNumId w:val="160"/>
  </w:num>
  <w:num w:numId="118" w16cid:durableId="900486506">
    <w:abstractNumId w:val="6"/>
  </w:num>
  <w:num w:numId="119" w16cid:durableId="438984987">
    <w:abstractNumId w:val="71"/>
  </w:num>
  <w:num w:numId="120" w16cid:durableId="1254244313">
    <w:abstractNumId w:val="1"/>
  </w:num>
  <w:num w:numId="121" w16cid:durableId="561798155">
    <w:abstractNumId w:val="105"/>
  </w:num>
  <w:num w:numId="122" w16cid:durableId="560286254">
    <w:abstractNumId w:val="45"/>
  </w:num>
  <w:num w:numId="123" w16cid:durableId="1081559214">
    <w:abstractNumId w:val="41"/>
  </w:num>
  <w:num w:numId="124" w16cid:durableId="1835336568">
    <w:abstractNumId w:val="69"/>
  </w:num>
  <w:num w:numId="125" w16cid:durableId="666712973">
    <w:abstractNumId w:val="149"/>
  </w:num>
  <w:num w:numId="126" w16cid:durableId="1059397724">
    <w:abstractNumId w:val="61"/>
  </w:num>
  <w:num w:numId="127" w16cid:durableId="1545093720">
    <w:abstractNumId w:val="124"/>
  </w:num>
  <w:num w:numId="128" w16cid:durableId="640579277">
    <w:abstractNumId w:val="12"/>
  </w:num>
  <w:num w:numId="129" w16cid:durableId="1060441087">
    <w:abstractNumId w:val="143"/>
  </w:num>
  <w:num w:numId="130" w16cid:durableId="1117991810">
    <w:abstractNumId w:val="139"/>
  </w:num>
  <w:num w:numId="131" w16cid:durableId="810681190">
    <w:abstractNumId w:val="142"/>
  </w:num>
  <w:num w:numId="132" w16cid:durableId="2060199554">
    <w:abstractNumId w:val="96"/>
  </w:num>
  <w:num w:numId="133" w16cid:durableId="802044200">
    <w:abstractNumId w:val="3"/>
  </w:num>
  <w:num w:numId="134" w16cid:durableId="2062752005">
    <w:abstractNumId w:val="75"/>
  </w:num>
  <w:num w:numId="135" w16cid:durableId="768745139">
    <w:abstractNumId w:val="157"/>
  </w:num>
  <w:num w:numId="136" w16cid:durableId="1227494204">
    <w:abstractNumId w:val="102"/>
  </w:num>
  <w:num w:numId="137" w16cid:durableId="386421240">
    <w:abstractNumId w:val="161"/>
  </w:num>
  <w:num w:numId="138" w16cid:durableId="720402923">
    <w:abstractNumId w:val="154"/>
  </w:num>
  <w:num w:numId="139" w16cid:durableId="640574444">
    <w:abstractNumId w:val="35"/>
  </w:num>
  <w:num w:numId="140" w16cid:durableId="1075127898">
    <w:abstractNumId w:val="34"/>
  </w:num>
  <w:num w:numId="141" w16cid:durableId="547492621">
    <w:abstractNumId w:val="113"/>
  </w:num>
  <w:num w:numId="142" w16cid:durableId="41684934">
    <w:abstractNumId w:val="92"/>
  </w:num>
  <w:num w:numId="143" w16cid:durableId="1460611029">
    <w:abstractNumId w:val="77"/>
  </w:num>
  <w:num w:numId="144" w16cid:durableId="1612468035">
    <w:abstractNumId w:val="114"/>
  </w:num>
  <w:num w:numId="145" w16cid:durableId="139006600">
    <w:abstractNumId w:val="141"/>
  </w:num>
  <w:num w:numId="146" w16cid:durableId="1704788477">
    <w:abstractNumId w:val="60"/>
  </w:num>
  <w:num w:numId="147" w16cid:durableId="518082621">
    <w:abstractNumId w:val="27"/>
  </w:num>
  <w:num w:numId="148" w16cid:durableId="927301118">
    <w:abstractNumId w:val="134"/>
  </w:num>
  <w:num w:numId="149" w16cid:durableId="160462655">
    <w:abstractNumId w:val="80"/>
  </w:num>
  <w:num w:numId="150" w16cid:durableId="1652560616">
    <w:abstractNumId w:val="38"/>
  </w:num>
  <w:num w:numId="151" w16cid:durableId="107045264">
    <w:abstractNumId w:val="63"/>
  </w:num>
  <w:num w:numId="152" w16cid:durableId="1074402139">
    <w:abstractNumId w:val="162"/>
  </w:num>
  <w:num w:numId="153" w16cid:durableId="1560627742">
    <w:abstractNumId w:val="31"/>
  </w:num>
  <w:num w:numId="154" w16cid:durableId="211772514">
    <w:abstractNumId w:val="88"/>
  </w:num>
  <w:num w:numId="155" w16cid:durableId="2004581579">
    <w:abstractNumId w:val="4"/>
  </w:num>
  <w:num w:numId="156" w16cid:durableId="1427995570">
    <w:abstractNumId w:val="132"/>
  </w:num>
  <w:num w:numId="157" w16cid:durableId="1406299917">
    <w:abstractNumId w:val="33"/>
  </w:num>
  <w:num w:numId="158" w16cid:durableId="1401825573">
    <w:abstractNumId w:val="20"/>
  </w:num>
  <w:num w:numId="159" w16cid:durableId="1240602112">
    <w:abstractNumId w:val="110"/>
  </w:num>
  <w:num w:numId="160" w16cid:durableId="1923443957">
    <w:abstractNumId w:val="168"/>
  </w:num>
  <w:num w:numId="161" w16cid:durableId="1188249979">
    <w:abstractNumId w:val="64"/>
  </w:num>
  <w:num w:numId="162" w16cid:durableId="347483707">
    <w:abstractNumId w:val="165"/>
  </w:num>
  <w:num w:numId="163" w16cid:durableId="1140658204">
    <w:abstractNumId w:val="86"/>
  </w:num>
  <w:num w:numId="164" w16cid:durableId="1763640745">
    <w:abstractNumId w:val="26"/>
  </w:num>
  <w:num w:numId="165" w16cid:durableId="820971809">
    <w:abstractNumId w:val="129"/>
  </w:num>
  <w:num w:numId="166" w16cid:durableId="1527331310">
    <w:abstractNumId w:val="10"/>
  </w:num>
  <w:num w:numId="167" w16cid:durableId="276715684">
    <w:abstractNumId w:val="15"/>
  </w:num>
  <w:num w:numId="168" w16cid:durableId="2101098863">
    <w:abstractNumId w:val="56"/>
  </w:num>
  <w:num w:numId="169" w16cid:durableId="1538153944">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5FC"/>
    <w:rsid w:val="00012747"/>
    <w:rsid w:val="00022163"/>
    <w:rsid w:val="00032214"/>
    <w:rsid w:val="00035979"/>
    <w:rsid w:val="00035CA1"/>
    <w:rsid w:val="00041676"/>
    <w:rsid w:val="00042EED"/>
    <w:rsid w:val="000465E4"/>
    <w:rsid w:val="00051677"/>
    <w:rsid w:val="00051E0E"/>
    <w:rsid w:val="00053E24"/>
    <w:rsid w:val="0006333F"/>
    <w:rsid w:val="00067A70"/>
    <w:rsid w:val="00071117"/>
    <w:rsid w:val="00071668"/>
    <w:rsid w:val="00071EC2"/>
    <w:rsid w:val="0007216F"/>
    <w:rsid w:val="00092DE9"/>
    <w:rsid w:val="000A083E"/>
    <w:rsid w:val="000A0F8A"/>
    <w:rsid w:val="000A6BD7"/>
    <w:rsid w:val="000B0081"/>
    <w:rsid w:val="000B4137"/>
    <w:rsid w:val="000B55EE"/>
    <w:rsid w:val="000C524C"/>
    <w:rsid w:val="000D0796"/>
    <w:rsid w:val="000D0DF0"/>
    <w:rsid w:val="000D4F3C"/>
    <w:rsid w:val="000E4C2A"/>
    <w:rsid w:val="000E5396"/>
    <w:rsid w:val="000E7F1C"/>
    <w:rsid w:val="000F3F24"/>
    <w:rsid w:val="000F5C77"/>
    <w:rsid w:val="000F72A8"/>
    <w:rsid w:val="001021C8"/>
    <w:rsid w:val="00112CD3"/>
    <w:rsid w:val="00114D4D"/>
    <w:rsid w:val="00121D39"/>
    <w:rsid w:val="001314D7"/>
    <w:rsid w:val="0013161F"/>
    <w:rsid w:val="001448F5"/>
    <w:rsid w:val="00147EF6"/>
    <w:rsid w:val="00150516"/>
    <w:rsid w:val="001508FE"/>
    <w:rsid w:val="00151175"/>
    <w:rsid w:val="00151203"/>
    <w:rsid w:val="001617F7"/>
    <w:rsid w:val="001668EB"/>
    <w:rsid w:val="00167503"/>
    <w:rsid w:val="00170D25"/>
    <w:rsid w:val="00173EDF"/>
    <w:rsid w:val="0019432C"/>
    <w:rsid w:val="00196A8C"/>
    <w:rsid w:val="001A0B62"/>
    <w:rsid w:val="001B6A77"/>
    <w:rsid w:val="001B6FDA"/>
    <w:rsid w:val="001C06E6"/>
    <w:rsid w:val="001D48BA"/>
    <w:rsid w:val="001E0B9E"/>
    <w:rsid w:val="001E548D"/>
    <w:rsid w:val="001E6F4C"/>
    <w:rsid w:val="001F2C85"/>
    <w:rsid w:val="001F345D"/>
    <w:rsid w:val="002030E1"/>
    <w:rsid w:val="002049A4"/>
    <w:rsid w:val="00207FCA"/>
    <w:rsid w:val="00213AFE"/>
    <w:rsid w:val="00220626"/>
    <w:rsid w:val="00242344"/>
    <w:rsid w:val="00245070"/>
    <w:rsid w:val="00245535"/>
    <w:rsid w:val="00247CAF"/>
    <w:rsid w:val="00251DC3"/>
    <w:rsid w:val="00261893"/>
    <w:rsid w:val="00263B59"/>
    <w:rsid w:val="00264399"/>
    <w:rsid w:val="002644BB"/>
    <w:rsid w:val="002655E7"/>
    <w:rsid w:val="00293E99"/>
    <w:rsid w:val="002947EB"/>
    <w:rsid w:val="002A6889"/>
    <w:rsid w:val="002B2B6E"/>
    <w:rsid w:val="002C48CE"/>
    <w:rsid w:val="002C4EFA"/>
    <w:rsid w:val="002E4D82"/>
    <w:rsid w:val="002F1CF6"/>
    <w:rsid w:val="002F33AC"/>
    <w:rsid w:val="003024E3"/>
    <w:rsid w:val="00312E1D"/>
    <w:rsid w:val="003172BB"/>
    <w:rsid w:val="00322738"/>
    <w:rsid w:val="0033143F"/>
    <w:rsid w:val="00342047"/>
    <w:rsid w:val="00350A7B"/>
    <w:rsid w:val="00352BAA"/>
    <w:rsid w:val="0035562B"/>
    <w:rsid w:val="00356098"/>
    <w:rsid w:val="003646CA"/>
    <w:rsid w:val="003654EC"/>
    <w:rsid w:val="0036721F"/>
    <w:rsid w:val="003677BA"/>
    <w:rsid w:val="00371B4E"/>
    <w:rsid w:val="00373604"/>
    <w:rsid w:val="00380C61"/>
    <w:rsid w:val="00381AFC"/>
    <w:rsid w:val="00397369"/>
    <w:rsid w:val="003A05E7"/>
    <w:rsid w:val="003A27F9"/>
    <w:rsid w:val="003A3737"/>
    <w:rsid w:val="003B06C5"/>
    <w:rsid w:val="003B1E86"/>
    <w:rsid w:val="003B2A23"/>
    <w:rsid w:val="003B7645"/>
    <w:rsid w:val="003C085E"/>
    <w:rsid w:val="003C14B4"/>
    <w:rsid w:val="003C26C7"/>
    <w:rsid w:val="003D5CD4"/>
    <w:rsid w:val="003E2732"/>
    <w:rsid w:val="003E3E2F"/>
    <w:rsid w:val="003E5C20"/>
    <w:rsid w:val="003F1100"/>
    <w:rsid w:val="003F1E2B"/>
    <w:rsid w:val="003F441B"/>
    <w:rsid w:val="0040368B"/>
    <w:rsid w:val="0043499E"/>
    <w:rsid w:val="00437C4F"/>
    <w:rsid w:val="00437F0B"/>
    <w:rsid w:val="004436AD"/>
    <w:rsid w:val="00461881"/>
    <w:rsid w:val="00470355"/>
    <w:rsid w:val="0048071E"/>
    <w:rsid w:val="00482744"/>
    <w:rsid w:val="00482FF1"/>
    <w:rsid w:val="00483590"/>
    <w:rsid w:val="00487C12"/>
    <w:rsid w:val="0049290F"/>
    <w:rsid w:val="004A076F"/>
    <w:rsid w:val="004A5515"/>
    <w:rsid w:val="004B2014"/>
    <w:rsid w:val="004B22CF"/>
    <w:rsid w:val="004B2B12"/>
    <w:rsid w:val="004D1216"/>
    <w:rsid w:val="004D2C87"/>
    <w:rsid w:val="004D5C77"/>
    <w:rsid w:val="004D6C19"/>
    <w:rsid w:val="004E269A"/>
    <w:rsid w:val="004E7815"/>
    <w:rsid w:val="004E7FC3"/>
    <w:rsid w:val="004F25FC"/>
    <w:rsid w:val="005026BF"/>
    <w:rsid w:val="005052E1"/>
    <w:rsid w:val="00516954"/>
    <w:rsid w:val="00520C21"/>
    <w:rsid w:val="00523430"/>
    <w:rsid w:val="00533D76"/>
    <w:rsid w:val="00534D6F"/>
    <w:rsid w:val="0053647E"/>
    <w:rsid w:val="00552064"/>
    <w:rsid w:val="005521FF"/>
    <w:rsid w:val="00552A05"/>
    <w:rsid w:val="005536B6"/>
    <w:rsid w:val="00557162"/>
    <w:rsid w:val="005609EA"/>
    <w:rsid w:val="00564044"/>
    <w:rsid w:val="00567050"/>
    <w:rsid w:val="005674DC"/>
    <w:rsid w:val="00572769"/>
    <w:rsid w:val="00573859"/>
    <w:rsid w:val="00573F32"/>
    <w:rsid w:val="0058201D"/>
    <w:rsid w:val="005B1350"/>
    <w:rsid w:val="005B73D1"/>
    <w:rsid w:val="005B74BD"/>
    <w:rsid w:val="005C3454"/>
    <w:rsid w:val="005D27AB"/>
    <w:rsid w:val="005D318B"/>
    <w:rsid w:val="005D6C5A"/>
    <w:rsid w:val="005E1292"/>
    <w:rsid w:val="005F1458"/>
    <w:rsid w:val="005F6CB8"/>
    <w:rsid w:val="005F71D1"/>
    <w:rsid w:val="00600B55"/>
    <w:rsid w:val="00604658"/>
    <w:rsid w:val="00610543"/>
    <w:rsid w:val="0061319F"/>
    <w:rsid w:val="00616655"/>
    <w:rsid w:val="00621570"/>
    <w:rsid w:val="00626CBA"/>
    <w:rsid w:val="0062751E"/>
    <w:rsid w:val="00631D7B"/>
    <w:rsid w:val="00632B96"/>
    <w:rsid w:val="00643258"/>
    <w:rsid w:val="00643C8A"/>
    <w:rsid w:val="0064696E"/>
    <w:rsid w:val="0066320A"/>
    <w:rsid w:val="00672A27"/>
    <w:rsid w:val="00675F9D"/>
    <w:rsid w:val="00677837"/>
    <w:rsid w:val="00685FEB"/>
    <w:rsid w:val="00692EE4"/>
    <w:rsid w:val="0069542F"/>
    <w:rsid w:val="00696A8C"/>
    <w:rsid w:val="00697FFC"/>
    <w:rsid w:val="006A5907"/>
    <w:rsid w:val="006B0AAE"/>
    <w:rsid w:val="006B2F2B"/>
    <w:rsid w:val="006B7804"/>
    <w:rsid w:val="006D4D28"/>
    <w:rsid w:val="006E0E5A"/>
    <w:rsid w:val="007126C4"/>
    <w:rsid w:val="007154E3"/>
    <w:rsid w:val="00717CF7"/>
    <w:rsid w:val="00722899"/>
    <w:rsid w:val="007316AD"/>
    <w:rsid w:val="0073331B"/>
    <w:rsid w:val="007378D6"/>
    <w:rsid w:val="00737AFB"/>
    <w:rsid w:val="0074057D"/>
    <w:rsid w:val="007439D2"/>
    <w:rsid w:val="0074471F"/>
    <w:rsid w:val="00747B5C"/>
    <w:rsid w:val="007507B1"/>
    <w:rsid w:val="0075202A"/>
    <w:rsid w:val="00753CDC"/>
    <w:rsid w:val="00754B50"/>
    <w:rsid w:val="0076324F"/>
    <w:rsid w:val="00764372"/>
    <w:rsid w:val="007664DE"/>
    <w:rsid w:val="00767E9D"/>
    <w:rsid w:val="00770063"/>
    <w:rsid w:val="00777303"/>
    <w:rsid w:val="00784523"/>
    <w:rsid w:val="007864C5"/>
    <w:rsid w:val="00792BB9"/>
    <w:rsid w:val="00796EB4"/>
    <w:rsid w:val="007A28DA"/>
    <w:rsid w:val="007A2CA5"/>
    <w:rsid w:val="007A6B1C"/>
    <w:rsid w:val="007B6D74"/>
    <w:rsid w:val="007C0815"/>
    <w:rsid w:val="007C27FB"/>
    <w:rsid w:val="007C3CF8"/>
    <w:rsid w:val="007C66BF"/>
    <w:rsid w:val="007C7F2A"/>
    <w:rsid w:val="007D1692"/>
    <w:rsid w:val="007E15AD"/>
    <w:rsid w:val="007E1891"/>
    <w:rsid w:val="007E33DB"/>
    <w:rsid w:val="007E5864"/>
    <w:rsid w:val="007F17FE"/>
    <w:rsid w:val="007F25CD"/>
    <w:rsid w:val="007F54A6"/>
    <w:rsid w:val="00803403"/>
    <w:rsid w:val="008034A0"/>
    <w:rsid w:val="0081002A"/>
    <w:rsid w:val="00811FCC"/>
    <w:rsid w:val="008223EB"/>
    <w:rsid w:val="00827D74"/>
    <w:rsid w:val="008421C3"/>
    <w:rsid w:val="00843F8E"/>
    <w:rsid w:val="00845D53"/>
    <w:rsid w:val="00847CB1"/>
    <w:rsid w:val="00851B4A"/>
    <w:rsid w:val="00852DD5"/>
    <w:rsid w:val="00854518"/>
    <w:rsid w:val="008620D3"/>
    <w:rsid w:val="008675ED"/>
    <w:rsid w:val="0087399F"/>
    <w:rsid w:val="00881BD7"/>
    <w:rsid w:val="00890227"/>
    <w:rsid w:val="00890F38"/>
    <w:rsid w:val="00891F78"/>
    <w:rsid w:val="0089702E"/>
    <w:rsid w:val="008A0385"/>
    <w:rsid w:val="008A11A8"/>
    <w:rsid w:val="008A26ED"/>
    <w:rsid w:val="008C53C8"/>
    <w:rsid w:val="008C6C33"/>
    <w:rsid w:val="008D3659"/>
    <w:rsid w:val="008F12E2"/>
    <w:rsid w:val="008F4196"/>
    <w:rsid w:val="008F46A0"/>
    <w:rsid w:val="00903096"/>
    <w:rsid w:val="009069EE"/>
    <w:rsid w:val="00914E3D"/>
    <w:rsid w:val="00927066"/>
    <w:rsid w:val="00930BCF"/>
    <w:rsid w:val="00934535"/>
    <w:rsid w:val="00941620"/>
    <w:rsid w:val="00947943"/>
    <w:rsid w:val="00950BE6"/>
    <w:rsid w:val="00952D82"/>
    <w:rsid w:val="00961616"/>
    <w:rsid w:val="009647E2"/>
    <w:rsid w:val="00965056"/>
    <w:rsid w:val="00973D4E"/>
    <w:rsid w:val="009864B6"/>
    <w:rsid w:val="00997818"/>
    <w:rsid w:val="009A0FB5"/>
    <w:rsid w:val="009A111C"/>
    <w:rsid w:val="009C1A4B"/>
    <w:rsid w:val="009C2652"/>
    <w:rsid w:val="009C374E"/>
    <w:rsid w:val="009C3C0D"/>
    <w:rsid w:val="009D0F72"/>
    <w:rsid w:val="009D74F9"/>
    <w:rsid w:val="009D7B48"/>
    <w:rsid w:val="009E1D73"/>
    <w:rsid w:val="009E4E32"/>
    <w:rsid w:val="009E5BB4"/>
    <w:rsid w:val="009F169A"/>
    <w:rsid w:val="009F1AED"/>
    <w:rsid w:val="009F21F5"/>
    <w:rsid w:val="009F60E6"/>
    <w:rsid w:val="009F6A8E"/>
    <w:rsid w:val="00A04FA2"/>
    <w:rsid w:val="00A12EA7"/>
    <w:rsid w:val="00A14439"/>
    <w:rsid w:val="00A21EC9"/>
    <w:rsid w:val="00A273DD"/>
    <w:rsid w:val="00A27B2D"/>
    <w:rsid w:val="00A340ED"/>
    <w:rsid w:val="00A451AB"/>
    <w:rsid w:val="00A51F98"/>
    <w:rsid w:val="00A56056"/>
    <w:rsid w:val="00A56971"/>
    <w:rsid w:val="00A572FB"/>
    <w:rsid w:val="00A57E5F"/>
    <w:rsid w:val="00A61E6E"/>
    <w:rsid w:val="00A675C1"/>
    <w:rsid w:val="00A70AF2"/>
    <w:rsid w:val="00A732E6"/>
    <w:rsid w:val="00A76786"/>
    <w:rsid w:val="00A85256"/>
    <w:rsid w:val="00A86673"/>
    <w:rsid w:val="00A91BAA"/>
    <w:rsid w:val="00A94B80"/>
    <w:rsid w:val="00AB3C84"/>
    <w:rsid w:val="00AC6C1B"/>
    <w:rsid w:val="00AC7755"/>
    <w:rsid w:val="00AC79D3"/>
    <w:rsid w:val="00AD1952"/>
    <w:rsid w:val="00AD56C6"/>
    <w:rsid w:val="00AE7358"/>
    <w:rsid w:val="00AE7AAB"/>
    <w:rsid w:val="00AE7B3A"/>
    <w:rsid w:val="00AF4866"/>
    <w:rsid w:val="00B01459"/>
    <w:rsid w:val="00B0300B"/>
    <w:rsid w:val="00B03456"/>
    <w:rsid w:val="00B13BF9"/>
    <w:rsid w:val="00B14CF1"/>
    <w:rsid w:val="00B14D36"/>
    <w:rsid w:val="00B1561C"/>
    <w:rsid w:val="00B20767"/>
    <w:rsid w:val="00B278F9"/>
    <w:rsid w:val="00B5623E"/>
    <w:rsid w:val="00B6251F"/>
    <w:rsid w:val="00B7412B"/>
    <w:rsid w:val="00B85370"/>
    <w:rsid w:val="00B94EA9"/>
    <w:rsid w:val="00B97D98"/>
    <w:rsid w:val="00BA16F9"/>
    <w:rsid w:val="00BA25B2"/>
    <w:rsid w:val="00BA28D3"/>
    <w:rsid w:val="00BA683B"/>
    <w:rsid w:val="00BA7FF4"/>
    <w:rsid w:val="00BB0D82"/>
    <w:rsid w:val="00BB1026"/>
    <w:rsid w:val="00BB6228"/>
    <w:rsid w:val="00BD0E36"/>
    <w:rsid w:val="00BD2AF1"/>
    <w:rsid w:val="00BD2FBF"/>
    <w:rsid w:val="00BD3B71"/>
    <w:rsid w:val="00BD6155"/>
    <w:rsid w:val="00BE1C06"/>
    <w:rsid w:val="00BF6893"/>
    <w:rsid w:val="00C018E5"/>
    <w:rsid w:val="00C02B33"/>
    <w:rsid w:val="00C10C6E"/>
    <w:rsid w:val="00C12D06"/>
    <w:rsid w:val="00C15754"/>
    <w:rsid w:val="00C157EC"/>
    <w:rsid w:val="00C31858"/>
    <w:rsid w:val="00C33163"/>
    <w:rsid w:val="00C516D5"/>
    <w:rsid w:val="00C52741"/>
    <w:rsid w:val="00C55D12"/>
    <w:rsid w:val="00C647CB"/>
    <w:rsid w:val="00C73048"/>
    <w:rsid w:val="00C74B5F"/>
    <w:rsid w:val="00C776A8"/>
    <w:rsid w:val="00C818DD"/>
    <w:rsid w:val="00C85D7B"/>
    <w:rsid w:val="00C92445"/>
    <w:rsid w:val="00C93F28"/>
    <w:rsid w:val="00C95B52"/>
    <w:rsid w:val="00C97289"/>
    <w:rsid w:val="00C97FAC"/>
    <w:rsid w:val="00CA3425"/>
    <w:rsid w:val="00CD0D8A"/>
    <w:rsid w:val="00CD4426"/>
    <w:rsid w:val="00CD4AA1"/>
    <w:rsid w:val="00CE1A6D"/>
    <w:rsid w:val="00CE2295"/>
    <w:rsid w:val="00CE2719"/>
    <w:rsid w:val="00CE31E8"/>
    <w:rsid w:val="00CE40DE"/>
    <w:rsid w:val="00D025C7"/>
    <w:rsid w:val="00D0600C"/>
    <w:rsid w:val="00D065B6"/>
    <w:rsid w:val="00D06A37"/>
    <w:rsid w:val="00D13C39"/>
    <w:rsid w:val="00D17A17"/>
    <w:rsid w:val="00D211DF"/>
    <w:rsid w:val="00D34254"/>
    <w:rsid w:val="00D375B3"/>
    <w:rsid w:val="00D441B2"/>
    <w:rsid w:val="00D44A19"/>
    <w:rsid w:val="00D45572"/>
    <w:rsid w:val="00D5041F"/>
    <w:rsid w:val="00D612F3"/>
    <w:rsid w:val="00D616C2"/>
    <w:rsid w:val="00D64B75"/>
    <w:rsid w:val="00D70089"/>
    <w:rsid w:val="00D71BF5"/>
    <w:rsid w:val="00D84279"/>
    <w:rsid w:val="00DA1B89"/>
    <w:rsid w:val="00DA24B4"/>
    <w:rsid w:val="00DA3E31"/>
    <w:rsid w:val="00DA567C"/>
    <w:rsid w:val="00DA6BCB"/>
    <w:rsid w:val="00DB0150"/>
    <w:rsid w:val="00DB0476"/>
    <w:rsid w:val="00DB43DC"/>
    <w:rsid w:val="00DC03F1"/>
    <w:rsid w:val="00DD12A0"/>
    <w:rsid w:val="00DD20E7"/>
    <w:rsid w:val="00DE71D6"/>
    <w:rsid w:val="00DF0DA2"/>
    <w:rsid w:val="00E036EE"/>
    <w:rsid w:val="00E1237D"/>
    <w:rsid w:val="00E17925"/>
    <w:rsid w:val="00E21244"/>
    <w:rsid w:val="00E21498"/>
    <w:rsid w:val="00E25D47"/>
    <w:rsid w:val="00E26222"/>
    <w:rsid w:val="00E3387D"/>
    <w:rsid w:val="00E33CBD"/>
    <w:rsid w:val="00E404ED"/>
    <w:rsid w:val="00E41394"/>
    <w:rsid w:val="00E42BA7"/>
    <w:rsid w:val="00E45F1F"/>
    <w:rsid w:val="00E46CF0"/>
    <w:rsid w:val="00E47F7A"/>
    <w:rsid w:val="00E5354E"/>
    <w:rsid w:val="00E53AD6"/>
    <w:rsid w:val="00E53AE8"/>
    <w:rsid w:val="00E559AC"/>
    <w:rsid w:val="00E61878"/>
    <w:rsid w:val="00E639A8"/>
    <w:rsid w:val="00E7257E"/>
    <w:rsid w:val="00E81C2E"/>
    <w:rsid w:val="00E825C5"/>
    <w:rsid w:val="00E82C52"/>
    <w:rsid w:val="00E856EE"/>
    <w:rsid w:val="00E97231"/>
    <w:rsid w:val="00E979DD"/>
    <w:rsid w:val="00E97C8E"/>
    <w:rsid w:val="00EA06AE"/>
    <w:rsid w:val="00EB538F"/>
    <w:rsid w:val="00EC48A4"/>
    <w:rsid w:val="00ED2283"/>
    <w:rsid w:val="00EE3922"/>
    <w:rsid w:val="00EE45DA"/>
    <w:rsid w:val="00EE615E"/>
    <w:rsid w:val="00EE62F7"/>
    <w:rsid w:val="00EF423B"/>
    <w:rsid w:val="00EF6243"/>
    <w:rsid w:val="00EF7B96"/>
    <w:rsid w:val="00F03661"/>
    <w:rsid w:val="00F107FF"/>
    <w:rsid w:val="00F127C1"/>
    <w:rsid w:val="00F14577"/>
    <w:rsid w:val="00F14694"/>
    <w:rsid w:val="00F21340"/>
    <w:rsid w:val="00F26596"/>
    <w:rsid w:val="00F3126E"/>
    <w:rsid w:val="00F402ED"/>
    <w:rsid w:val="00F412D9"/>
    <w:rsid w:val="00F51E02"/>
    <w:rsid w:val="00F54B1B"/>
    <w:rsid w:val="00F57B23"/>
    <w:rsid w:val="00F60073"/>
    <w:rsid w:val="00F61180"/>
    <w:rsid w:val="00F70586"/>
    <w:rsid w:val="00F725AA"/>
    <w:rsid w:val="00F767A4"/>
    <w:rsid w:val="00F85C72"/>
    <w:rsid w:val="00F90149"/>
    <w:rsid w:val="00F92040"/>
    <w:rsid w:val="00FB7CCD"/>
    <w:rsid w:val="00FC1600"/>
    <w:rsid w:val="00FC48CF"/>
    <w:rsid w:val="00FC5547"/>
    <w:rsid w:val="00FC618C"/>
    <w:rsid w:val="00FD518E"/>
    <w:rsid w:val="00FE394C"/>
    <w:rsid w:val="00FF0E0F"/>
    <w:rsid w:val="00FF20C3"/>
    <w:rsid w:val="00FF3081"/>
    <w:rsid w:val="00FF30CD"/>
    <w:rsid w:val="00FF3996"/>
    <w:rsid w:val="00FF429A"/>
  </w:rsids>
  <m:mathPr>
    <m:mathFont m:val="Cambria Math"/>
    <m:brkBin m:val="before"/>
    <m:brkBinSub m:val="--"/>
    <m:smallFrac m:val="0"/>
    <m:dispDef/>
    <m:lMargin m:val="0"/>
    <m:rMargin m:val="0"/>
    <m:defJc m:val="centerGroup"/>
    <m:wrapIndent m:val="1440"/>
    <m:intLim m:val="subSup"/>
    <m:naryLim m:val="undOvr"/>
  </m:mathPr>
  <w:themeFontLang w:val="en-L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A7585"/>
  <w15:chartTrackingRefBased/>
  <w15:docId w15:val="{837E467A-3FC4-774A-BB97-83CE2286B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Calibri (Body)"/>
        <w:sz w:val="18"/>
        <w:szCs w:val="18"/>
        <w:lang w:val="en-L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3DB"/>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74471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31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B06C5"/>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3B06C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25FC"/>
    <w:pPr>
      <w:spacing w:before="100" w:beforeAutospacing="1" w:after="100" w:afterAutospacing="1"/>
    </w:pPr>
  </w:style>
  <w:style w:type="table" w:styleId="TableGrid">
    <w:name w:val="Table Grid"/>
    <w:basedOn w:val="TableNormal"/>
    <w:uiPriority w:val="39"/>
    <w:rsid w:val="004F25FC"/>
    <w:rPr>
      <w:rFonts w:asciiTheme="minorHAnsi" w:hAnsiTheme="minorHAnsi" w:cstheme="minorBidi"/>
      <w:b/>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25FC"/>
    <w:pPr>
      <w:ind w:left="720"/>
      <w:contextualSpacing/>
    </w:pPr>
  </w:style>
  <w:style w:type="paragraph" w:styleId="Revision">
    <w:name w:val="Revision"/>
    <w:hidden/>
    <w:uiPriority w:val="99"/>
    <w:semiHidden/>
    <w:rsid w:val="004F25FC"/>
    <w:rPr>
      <w:rFonts w:asciiTheme="minorHAnsi" w:hAnsiTheme="minorHAnsi" w:cstheme="minorBidi"/>
      <w:b/>
      <w:bCs/>
      <w:sz w:val="24"/>
      <w:szCs w:val="24"/>
    </w:rPr>
  </w:style>
  <w:style w:type="paragraph" w:styleId="Footer">
    <w:name w:val="footer"/>
    <w:basedOn w:val="Normal"/>
    <w:link w:val="FooterChar"/>
    <w:uiPriority w:val="99"/>
    <w:unhideWhenUsed/>
    <w:rsid w:val="004F25FC"/>
    <w:pPr>
      <w:tabs>
        <w:tab w:val="center" w:pos="4513"/>
        <w:tab w:val="right" w:pos="9026"/>
      </w:tabs>
    </w:pPr>
  </w:style>
  <w:style w:type="character" w:customStyle="1" w:styleId="FooterChar">
    <w:name w:val="Footer Char"/>
    <w:basedOn w:val="DefaultParagraphFont"/>
    <w:link w:val="Footer"/>
    <w:uiPriority w:val="99"/>
    <w:rsid w:val="004F25FC"/>
    <w:rPr>
      <w:rFonts w:asciiTheme="minorHAnsi" w:hAnsiTheme="minorHAnsi" w:cstheme="minorBidi"/>
      <w:b/>
      <w:bCs/>
      <w:sz w:val="24"/>
      <w:szCs w:val="24"/>
    </w:rPr>
  </w:style>
  <w:style w:type="character" w:styleId="PageNumber">
    <w:name w:val="page number"/>
    <w:basedOn w:val="DefaultParagraphFont"/>
    <w:uiPriority w:val="99"/>
    <w:semiHidden/>
    <w:unhideWhenUsed/>
    <w:rsid w:val="004F25FC"/>
  </w:style>
  <w:style w:type="paragraph" w:styleId="Header">
    <w:name w:val="header"/>
    <w:basedOn w:val="Normal"/>
    <w:link w:val="HeaderChar"/>
    <w:uiPriority w:val="99"/>
    <w:unhideWhenUsed/>
    <w:rsid w:val="004F25FC"/>
    <w:pPr>
      <w:tabs>
        <w:tab w:val="center" w:pos="4513"/>
        <w:tab w:val="right" w:pos="9026"/>
      </w:tabs>
    </w:pPr>
  </w:style>
  <w:style w:type="character" w:customStyle="1" w:styleId="HeaderChar">
    <w:name w:val="Header Char"/>
    <w:basedOn w:val="DefaultParagraphFont"/>
    <w:link w:val="Header"/>
    <w:uiPriority w:val="99"/>
    <w:rsid w:val="004F25FC"/>
    <w:rPr>
      <w:rFonts w:asciiTheme="minorHAnsi" w:hAnsiTheme="minorHAnsi" w:cstheme="minorBidi"/>
      <w:b/>
      <w:bCs/>
      <w:sz w:val="24"/>
      <w:szCs w:val="24"/>
    </w:rPr>
  </w:style>
  <w:style w:type="character" w:styleId="Hyperlink">
    <w:name w:val="Hyperlink"/>
    <w:basedOn w:val="DefaultParagraphFont"/>
    <w:uiPriority w:val="99"/>
    <w:unhideWhenUsed/>
    <w:rsid w:val="004F25FC"/>
    <w:rPr>
      <w:color w:val="0563C1" w:themeColor="hyperlink"/>
      <w:u w:val="single"/>
    </w:rPr>
  </w:style>
  <w:style w:type="character" w:styleId="UnresolvedMention">
    <w:name w:val="Unresolved Mention"/>
    <w:basedOn w:val="DefaultParagraphFont"/>
    <w:uiPriority w:val="99"/>
    <w:semiHidden/>
    <w:unhideWhenUsed/>
    <w:rsid w:val="004F25FC"/>
    <w:rPr>
      <w:color w:val="605E5C"/>
      <w:shd w:val="clear" w:color="auto" w:fill="E1DFDD"/>
    </w:rPr>
  </w:style>
  <w:style w:type="character" w:styleId="FollowedHyperlink">
    <w:name w:val="FollowedHyperlink"/>
    <w:basedOn w:val="DefaultParagraphFont"/>
    <w:uiPriority w:val="99"/>
    <w:semiHidden/>
    <w:unhideWhenUsed/>
    <w:rsid w:val="004F25FC"/>
    <w:rPr>
      <w:color w:val="954F72" w:themeColor="followedHyperlink"/>
      <w:u w:val="single"/>
    </w:rPr>
  </w:style>
  <w:style w:type="character" w:customStyle="1" w:styleId="markedcontent">
    <w:name w:val="markedcontent"/>
    <w:basedOn w:val="DefaultParagraphFont"/>
    <w:rsid w:val="004F25FC"/>
  </w:style>
  <w:style w:type="character" w:styleId="Emphasis">
    <w:name w:val="Emphasis"/>
    <w:basedOn w:val="DefaultParagraphFont"/>
    <w:uiPriority w:val="20"/>
    <w:qFormat/>
    <w:rsid w:val="004F25FC"/>
    <w:rPr>
      <w:i/>
      <w:iCs/>
    </w:rPr>
  </w:style>
  <w:style w:type="character" w:customStyle="1" w:styleId="apple-converted-space">
    <w:name w:val="apple-converted-space"/>
    <w:basedOn w:val="DefaultParagraphFont"/>
    <w:rsid w:val="004F25FC"/>
  </w:style>
  <w:style w:type="character" w:styleId="Strong">
    <w:name w:val="Strong"/>
    <w:basedOn w:val="DefaultParagraphFont"/>
    <w:uiPriority w:val="22"/>
    <w:qFormat/>
    <w:rsid w:val="004F25FC"/>
    <w:rPr>
      <w:b/>
      <w:bCs/>
    </w:rPr>
  </w:style>
  <w:style w:type="paragraph" w:customStyle="1" w:styleId="p1">
    <w:name w:val="p1"/>
    <w:basedOn w:val="Normal"/>
    <w:rsid w:val="009F60E6"/>
    <w:rPr>
      <w:rFonts w:ascii="Verdana" w:hAnsi="Verdana"/>
      <w:color w:val="000000"/>
      <w:sz w:val="14"/>
      <w:szCs w:val="14"/>
    </w:rPr>
  </w:style>
  <w:style w:type="paragraph" w:styleId="FootnoteText">
    <w:name w:val="footnote text"/>
    <w:basedOn w:val="Normal"/>
    <w:link w:val="FootnoteTextChar"/>
    <w:uiPriority w:val="99"/>
    <w:unhideWhenUsed/>
    <w:rsid w:val="00B14CF1"/>
    <w:rPr>
      <w:sz w:val="20"/>
      <w:szCs w:val="20"/>
    </w:rPr>
  </w:style>
  <w:style w:type="character" w:customStyle="1" w:styleId="FootnoteTextChar">
    <w:name w:val="Footnote Text Char"/>
    <w:basedOn w:val="DefaultParagraphFont"/>
    <w:link w:val="FootnoteText"/>
    <w:uiPriority w:val="99"/>
    <w:rsid w:val="00B14CF1"/>
    <w:rPr>
      <w:rFonts w:asciiTheme="minorHAnsi" w:hAnsiTheme="minorHAnsi" w:cstheme="minorBidi"/>
      <w:b/>
      <w:bCs/>
      <w:sz w:val="20"/>
      <w:szCs w:val="20"/>
    </w:rPr>
  </w:style>
  <w:style w:type="character" w:styleId="FootnoteReference">
    <w:name w:val="footnote reference"/>
    <w:basedOn w:val="DefaultParagraphFont"/>
    <w:uiPriority w:val="99"/>
    <w:semiHidden/>
    <w:unhideWhenUsed/>
    <w:rsid w:val="00B14CF1"/>
    <w:rPr>
      <w:vertAlign w:val="superscript"/>
    </w:rPr>
  </w:style>
  <w:style w:type="character" w:customStyle="1" w:styleId="Heading3Char">
    <w:name w:val="Heading 3 Char"/>
    <w:basedOn w:val="DefaultParagraphFont"/>
    <w:link w:val="Heading3"/>
    <w:uiPriority w:val="9"/>
    <w:rsid w:val="003B06C5"/>
    <w:rPr>
      <w:rFonts w:ascii="Times New Roman" w:eastAsia="Times New Roman" w:hAnsi="Times New Roman" w:cs="Times New Roman"/>
      <w:sz w:val="27"/>
      <w:szCs w:val="27"/>
      <w:lang w:eastAsia="en-GB"/>
    </w:rPr>
  </w:style>
  <w:style w:type="character" w:customStyle="1" w:styleId="Heading4Char">
    <w:name w:val="Heading 4 Char"/>
    <w:basedOn w:val="DefaultParagraphFont"/>
    <w:link w:val="Heading4"/>
    <w:uiPriority w:val="9"/>
    <w:rsid w:val="003B06C5"/>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61319F"/>
    <w:rPr>
      <w:rFonts w:asciiTheme="majorHAnsi" w:eastAsiaTheme="majorEastAsia" w:hAnsiTheme="majorHAnsi" w:cstheme="majorBidi"/>
      <w:b/>
      <w:bCs/>
      <w:color w:val="2F5496" w:themeColor="accent1" w:themeShade="BF"/>
      <w:sz w:val="26"/>
      <w:szCs w:val="26"/>
    </w:rPr>
  </w:style>
  <w:style w:type="character" w:customStyle="1" w:styleId="Heading1Char">
    <w:name w:val="Heading 1 Char"/>
    <w:basedOn w:val="DefaultParagraphFont"/>
    <w:link w:val="Heading1"/>
    <w:uiPriority w:val="9"/>
    <w:rsid w:val="0074471F"/>
    <w:rPr>
      <w:rFonts w:asciiTheme="majorHAnsi" w:eastAsiaTheme="majorEastAsia" w:hAnsiTheme="majorHAnsi" w:cstheme="majorBidi"/>
      <w:b/>
      <w:bCs/>
      <w:color w:val="2F5496" w:themeColor="accent1" w:themeShade="BF"/>
      <w:sz w:val="32"/>
      <w:szCs w:val="32"/>
    </w:rPr>
  </w:style>
  <w:style w:type="character" w:customStyle="1" w:styleId="truncate">
    <w:name w:val="truncate"/>
    <w:basedOn w:val="DefaultParagraphFont"/>
    <w:rsid w:val="0074471F"/>
  </w:style>
  <w:style w:type="paragraph" w:styleId="z-TopofForm">
    <w:name w:val="HTML Top of Form"/>
    <w:basedOn w:val="Normal"/>
    <w:next w:val="Normal"/>
    <w:link w:val="z-TopofFormChar"/>
    <w:hidden/>
    <w:uiPriority w:val="99"/>
    <w:semiHidden/>
    <w:unhideWhenUsed/>
    <w:rsid w:val="0074471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4471F"/>
    <w:rPr>
      <w:rFonts w:ascii="Arial" w:eastAsia="Times New Roman" w:hAnsi="Arial" w:cs="Arial"/>
      <w:vanish/>
      <w:sz w:val="16"/>
      <w:szCs w:val="16"/>
      <w:lang w:eastAsia="en-GB"/>
    </w:rPr>
  </w:style>
  <w:style w:type="paragraph" w:customStyle="1" w:styleId="placeholder">
    <w:name w:val="placeholder"/>
    <w:basedOn w:val="Normal"/>
    <w:rsid w:val="0074471F"/>
    <w:pPr>
      <w:spacing w:before="100" w:beforeAutospacing="1" w:after="100" w:afterAutospacing="1"/>
    </w:pPr>
  </w:style>
  <w:style w:type="character" w:customStyle="1" w:styleId="pointer-events-none">
    <w:name w:val="pointer-events-none"/>
    <w:basedOn w:val="DefaultParagraphFont"/>
    <w:rsid w:val="0074471F"/>
  </w:style>
  <w:style w:type="paragraph" w:styleId="z-BottomofForm">
    <w:name w:val="HTML Bottom of Form"/>
    <w:basedOn w:val="Normal"/>
    <w:next w:val="Normal"/>
    <w:link w:val="z-BottomofFormChar"/>
    <w:hidden/>
    <w:uiPriority w:val="99"/>
    <w:semiHidden/>
    <w:unhideWhenUsed/>
    <w:rsid w:val="0074471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4471F"/>
    <w:rPr>
      <w:rFonts w:ascii="Arial" w:eastAsia="Times New Roman" w:hAnsi="Arial" w:cs="Arial"/>
      <w:vanish/>
      <w:sz w:val="16"/>
      <w:szCs w:val="16"/>
      <w:lang w:eastAsia="en-GB"/>
    </w:rPr>
  </w:style>
  <w:style w:type="paragraph" w:customStyle="1" w:styleId="p2">
    <w:name w:val="p2"/>
    <w:basedOn w:val="Normal"/>
    <w:rsid w:val="00717CF7"/>
    <w:rPr>
      <w:rFonts w:ascii="Arial" w:hAnsi="Arial" w:cs="Arial"/>
      <w:color w:val="000000"/>
      <w:sz w:val="20"/>
      <w:szCs w:val="20"/>
    </w:rPr>
  </w:style>
  <w:style w:type="character" w:customStyle="1" w:styleId="s1">
    <w:name w:val="s1"/>
    <w:basedOn w:val="DefaultParagraphFont"/>
    <w:rsid w:val="00717CF7"/>
    <w:rPr>
      <w:rFonts w:ascii="Arial" w:hAnsi="Arial" w:cs="Arial" w:hint="default"/>
      <w:sz w:val="20"/>
      <w:szCs w:val="20"/>
    </w:rPr>
  </w:style>
  <w:style w:type="paragraph" w:styleId="BodyText2">
    <w:name w:val="Body Text 2"/>
    <w:basedOn w:val="Normal"/>
    <w:link w:val="BodyText2Char"/>
    <w:rsid w:val="00263B59"/>
    <w:pPr>
      <w:spacing w:after="120" w:line="280" w:lineRule="atLeast"/>
      <w:ind w:left="851"/>
      <w:jc w:val="both"/>
    </w:pPr>
    <w:rPr>
      <w:rFonts w:ascii="Arial" w:hAnsi="Arial" w:cs="Arial"/>
      <w:sz w:val="20"/>
      <w:szCs w:val="20"/>
      <w:lang w:val="en-US" w:eastAsia="en-US"/>
    </w:rPr>
  </w:style>
  <w:style w:type="character" w:customStyle="1" w:styleId="BodyText2Char">
    <w:name w:val="Body Text 2 Char"/>
    <w:basedOn w:val="DefaultParagraphFont"/>
    <w:link w:val="BodyText2"/>
    <w:rsid w:val="00263B59"/>
    <w:rPr>
      <w:rFonts w:ascii="Arial" w:eastAsia="Times New Roman" w:hAnsi="Arial" w:cs="Arial"/>
      <w:sz w:val="20"/>
      <w:szCs w:val="20"/>
      <w:lang w:val="en-US"/>
    </w:rPr>
  </w:style>
  <w:style w:type="paragraph" w:customStyle="1" w:styleId="AOHead1">
    <w:name w:val="AOHead1"/>
    <w:basedOn w:val="Normal"/>
    <w:next w:val="Normal"/>
    <w:qFormat/>
    <w:rsid w:val="00E639A8"/>
    <w:pPr>
      <w:keepNext/>
      <w:numPr>
        <w:numId w:val="125"/>
      </w:numPr>
      <w:spacing w:before="240" w:line="260" w:lineRule="atLeast"/>
      <w:jc w:val="both"/>
      <w:outlineLvl w:val="0"/>
    </w:pPr>
    <w:rPr>
      <w:rFonts w:eastAsiaTheme="minorHAnsi"/>
      <w:b/>
      <w:caps/>
      <w:kern w:val="28"/>
      <w:sz w:val="22"/>
      <w:szCs w:val="22"/>
      <w:lang w:val="en-GB" w:eastAsia="en-US"/>
    </w:rPr>
  </w:style>
  <w:style w:type="paragraph" w:customStyle="1" w:styleId="AOHead2">
    <w:name w:val="AOHead2"/>
    <w:basedOn w:val="Normal"/>
    <w:next w:val="Normal"/>
    <w:qFormat/>
    <w:rsid w:val="00E639A8"/>
    <w:pPr>
      <w:keepNext/>
      <w:numPr>
        <w:ilvl w:val="1"/>
        <w:numId w:val="125"/>
      </w:numPr>
      <w:spacing w:before="240" w:line="260" w:lineRule="atLeast"/>
      <w:jc w:val="both"/>
      <w:outlineLvl w:val="1"/>
    </w:pPr>
    <w:rPr>
      <w:rFonts w:eastAsiaTheme="minorHAnsi"/>
      <w:b/>
      <w:sz w:val="22"/>
      <w:szCs w:val="22"/>
      <w:lang w:val="en-GB" w:eastAsia="en-US"/>
    </w:rPr>
  </w:style>
  <w:style w:type="paragraph" w:customStyle="1" w:styleId="AOHead3">
    <w:name w:val="AOHead3"/>
    <w:basedOn w:val="Normal"/>
    <w:next w:val="Normal"/>
    <w:link w:val="AOHead3Char"/>
    <w:qFormat/>
    <w:rsid w:val="00E639A8"/>
    <w:pPr>
      <w:numPr>
        <w:ilvl w:val="2"/>
        <w:numId w:val="125"/>
      </w:numPr>
      <w:spacing w:before="240" w:line="260" w:lineRule="atLeast"/>
      <w:jc w:val="both"/>
      <w:outlineLvl w:val="2"/>
    </w:pPr>
    <w:rPr>
      <w:rFonts w:eastAsiaTheme="minorHAnsi"/>
      <w:sz w:val="22"/>
      <w:szCs w:val="22"/>
      <w:lang w:val="en-GB" w:eastAsia="en-US"/>
    </w:rPr>
  </w:style>
  <w:style w:type="paragraph" w:customStyle="1" w:styleId="AOHead4">
    <w:name w:val="AOHead4"/>
    <w:basedOn w:val="Normal"/>
    <w:next w:val="Normal"/>
    <w:qFormat/>
    <w:rsid w:val="00E639A8"/>
    <w:pPr>
      <w:numPr>
        <w:ilvl w:val="3"/>
        <w:numId w:val="125"/>
      </w:numPr>
      <w:spacing w:before="240" w:line="260" w:lineRule="atLeast"/>
      <w:jc w:val="both"/>
      <w:outlineLvl w:val="3"/>
    </w:pPr>
    <w:rPr>
      <w:rFonts w:eastAsiaTheme="minorHAnsi"/>
      <w:sz w:val="22"/>
      <w:szCs w:val="22"/>
      <w:lang w:val="en-GB" w:eastAsia="en-US"/>
    </w:rPr>
  </w:style>
  <w:style w:type="paragraph" w:customStyle="1" w:styleId="AOHead5">
    <w:name w:val="AOHead5"/>
    <w:basedOn w:val="Normal"/>
    <w:next w:val="Normal"/>
    <w:qFormat/>
    <w:rsid w:val="00E639A8"/>
    <w:pPr>
      <w:numPr>
        <w:ilvl w:val="4"/>
        <w:numId w:val="125"/>
      </w:numPr>
      <w:spacing w:before="240" w:line="260" w:lineRule="atLeast"/>
      <w:jc w:val="both"/>
      <w:outlineLvl w:val="4"/>
    </w:pPr>
    <w:rPr>
      <w:rFonts w:eastAsiaTheme="minorHAnsi"/>
      <w:sz w:val="22"/>
      <w:szCs w:val="22"/>
      <w:lang w:val="en-GB" w:eastAsia="en-US"/>
    </w:rPr>
  </w:style>
  <w:style w:type="paragraph" w:customStyle="1" w:styleId="AOHead6">
    <w:name w:val="AOHead6"/>
    <w:basedOn w:val="Normal"/>
    <w:next w:val="Normal"/>
    <w:qFormat/>
    <w:rsid w:val="00E639A8"/>
    <w:pPr>
      <w:numPr>
        <w:ilvl w:val="5"/>
        <w:numId w:val="125"/>
      </w:numPr>
      <w:spacing w:before="240" w:line="260" w:lineRule="atLeast"/>
      <w:jc w:val="both"/>
      <w:outlineLvl w:val="5"/>
    </w:pPr>
    <w:rPr>
      <w:rFonts w:eastAsiaTheme="minorHAnsi"/>
      <w:sz w:val="22"/>
      <w:szCs w:val="22"/>
      <w:lang w:val="en-GB" w:eastAsia="en-US"/>
    </w:rPr>
  </w:style>
  <w:style w:type="paragraph" w:customStyle="1" w:styleId="AOAltHead2">
    <w:name w:val="AOAltHead2"/>
    <w:basedOn w:val="AOHead2"/>
    <w:next w:val="Normal"/>
    <w:link w:val="AOAltHead2Char"/>
    <w:rsid w:val="00E639A8"/>
    <w:pPr>
      <w:keepNext w:val="0"/>
    </w:pPr>
    <w:rPr>
      <w:b w:val="0"/>
    </w:rPr>
  </w:style>
  <w:style w:type="character" w:customStyle="1" w:styleId="AOAltHead2Char">
    <w:name w:val="AOAltHead2 Char"/>
    <w:link w:val="AOAltHead2"/>
    <w:locked/>
    <w:rsid w:val="00E639A8"/>
    <w:rPr>
      <w:rFonts w:ascii="Times New Roman" w:hAnsi="Times New Roman" w:cs="Times New Roman"/>
      <w:sz w:val="22"/>
      <w:szCs w:val="22"/>
      <w:lang w:val="en-GB"/>
    </w:rPr>
  </w:style>
  <w:style w:type="character" w:customStyle="1" w:styleId="AOHead3Char">
    <w:name w:val="AOHead3 Char"/>
    <w:link w:val="AOHead3"/>
    <w:locked/>
    <w:rsid w:val="00E639A8"/>
    <w:rPr>
      <w:rFonts w:ascii="Times New Roman" w:hAnsi="Times New Roman" w:cs="Times New Roman"/>
      <w:sz w:val="22"/>
      <w:szCs w:val="22"/>
      <w:lang w:val="en-GB"/>
    </w:rPr>
  </w:style>
  <w:style w:type="character" w:styleId="CommentReference">
    <w:name w:val="annotation reference"/>
    <w:basedOn w:val="DefaultParagraphFont"/>
    <w:uiPriority w:val="99"/>
    <w:semiHidden/>
    <w:unhideWhenUsed/>
    <w:rsid w:val="00FF30CD"/>
    <w:rPr>
      <w:sz w:val="16"/>
      <w:szCs w:val="16"/>
    </w:rPr>
  </w:style>
  <w:style w:type="paragraph" w:styleId="CommentText">
    <w:name w:val="annotation text"/>
    <w:basedOn w:val="Normal"/>
    <w:link w:val="CommentTextChar"/>
    <w:uiPriority w:val="99"/>
    <w:unhideWhenUsed/>
    <w:rsid w:val="00FF30CD"/>
    <w:rPr>
      <w:sz w:val="20"/>
      <w:szCs w:val="20"/>
    </w:rPr>
  </w:style>
  <w:style w:type="character" w:customStyle="1" w:styleId="CommentTextChar">
    <w:name w:val="Comment Text Char"/>
    <w:basedOn w:val="DefaultParagraphFont"/>
    <w:link w:val="CommentText"/>
    <w:uiPriority w:val="99"/>
    <w:rsid w:val="00FF30CD"/>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F30CD"/>
    <w:rPr>
      <w:b/>
      <w:bCs/>
    </w:rPr>
  </w:style>
  <w:style w:type="character" w:customStyle="1" w:styleId="CommentSubjectChar">
    <w:name w:val="Comment Subject Char"/>
    <w:basedOn w:val="CommentTextChar"/>
    <w:link w:val="CommentSubject"/>
    <w:uiPriority w:val="99"/>
    <w:semiHidden/>
    <w:rsid w:val="00FF30CD"/>
    <w:rPr>
      <w:rFonts w:ascii="Times New Roman" w:eastAsia="Times New Roman" w:hAnsi="Times New Roman" w:cs="Times New Roman"/>
      <w:b/>
      <w:bCs/>
      <w:sz w:val="20"/>
      <w:szCs w:val="20"/>
      <w:lang w:eastAsia="en-GB"/>
    </w:rPr>
  </w:style>
  <w:style w:type="paragraph" w:styleId="BodyText">
    <w:name w:val="Body Text"/>
    <w:basedOn w:val="Normal"/>
    <w:link w:val="BodyTextChar"/>
    <w:uiPriority w:val="99"/>
    <w:unhideWhenUsed/>
    <w:rsid w:val="00035CA1"/>
    <w:pPr>
      <w:spacing w:after="120"/>
    </w:pPr>
  </w:style>
  <w:style w:type="character" w:customStyle="1" w:styleId="BodyTextChar">
    <w:name w:val="Body Text Char"/>
    <w:basedOn w:val="DefaultParagraphFont"/>
    <w:link w:val="BodyText"/>
    <w:uiPriority w:val="99"/>
    <w:rsid w:val="00035CA1"/>
    <w:rPr>
      <w:rFonts w:ascii="Times New Roman" w:eastAsia="Times New Roman" w:hAnsi="Times New Roman" w:cs="Times New Roman"/>
      <w:sz w:val="24"/>
      <w:szCs w:val="24"/>
      <w:lang w:eastAsia="en-GB"/>
    </w:rPr>
  </w:style>
  <w:style w:type="paragraph" w:customStyle="1" w:styleId="oj-normal">
    <w:name w:val="oj-normal"/>
    <w:basedOn w:val="Normal"/>
    <w:rsid w:val="00397369"/>
    <w:pPr>
      <w:spacing w:before="100" w:beforeAutospacing="1" w:after="100" w:afterAutospacing="1"/>
    </w:pPr>
  </w:style>
  <w:style w:type="character" w:customStyle="1" w:styleId="s2">
    <w:name w:val="s2"/>
    <w:basedOn w:val="DefaultParagraphFont"/>
    <w:rsid w:val="00FC1600"/>
    <w:rPr>
      <w:rFonts w:ascii="Arial" w:hAnsi="Arial" w:cs="Arial" w:hint="default"/>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0243">
      <w:bodyDiv w:val="1"/>
      <w:marLeft w:val="0"/>
      <w:marRight w:val="0"/>
      <w:marTop w:val="0"/>
      <w:marBottom w:val="0"/>
      <w:divBdr>
        <w:top w:val="none" w:sz="0" w:space="0" w:color="auto"/>
        <w:left w:val="none" w:sz="0" w:space="0" w:color="auto"/>
        <w:bottom w:val="none" w:sz="0" w:space="0" w:color="auto"/>
        <w:right w:val="none" w:sz="0" w:space="0" w:color="auto"/>
      </w:divBdr>
    </w:div>
    <w:div w:id="21439021">
      <w:bodyDiv w:val="1"/>
      <w:marLeft w:val="0"/>
      <w:marRight w:val="0"/>
      <w:marTop w:val="0"/>
      <w:marBottom w:val="0"/>
      <w:divBdr>
        <w:top w:val="none" w:sz="0" w:space="0" w:color="auto"/>
        <w:left w:val="none" w:sz="0" w:space="0" w:color="auto"/>
        <w:bottom w:val="none" w:sz="0" w:space="0" w:color="auto"/>
        <w:right w:val="none" w:sz="0" w:space="0" w:color="auto"/>
      </w:divBdr>
      <w:divsChild>
        <w:div w:id="1786995035">
          <w:marLeft w:val="0"/>
          <w:marRight w:val="0"/>
          <w:marTop w:val="0"/>
          <w:marBottom w:val="0"/>
          <w:divBdr>
            <w:top w:val="none" w:sz="0" w:space="0" w:color="auto"/>
            <w:left w:val="none" w:sz="0" w:space="0" w:color="auto"/>
            <w:bottom w:val="none" w:sz="0" w:space="0" w:color="auto"/>
            <w:right w:val="none" w:sz="0" w:space="0" w:color="auto"/>
          </w:divBdr>
          <w:divsChild>
            <w:div w:id="1989701672">
              <w:marLeft w:val="0"/>
              <w:marRight w:val="0"/>
              <w:marTop w:val="0"/>
              <w:marBottom w:val="0"/>
              <w:divBdr>
                <w:top w:val="none" w:sz="0" w:space="0" w:color="auto"/>
                <w:left w:val="none" w:sz="0" w:space="0" w:color="auto"/>
                <w:bottom w:val="none" w:sz="0" w:space="0" w:color="auto"/>
                <w:right w:val="none" w:sz="0" w:space="0" w:color="auto"/>
              </w:divBdr>
              <w:divsChild>
                <w:div w:id="1262832058">
                  <w:marLeft w:val="0"/>
                  <w:marRight w:val="0"/>
                  <w:marTop w:val="0"/>
                  <w:marBottom w:val="0"/>
                  <w:divBdr>
                    <w:top w:val="none" w:sz="0" w:space="0" w:color="auto"/>
                    <w:left w:val="none" w:sz="0" w:space="0" w:color="auto"/>
                    <w:bottom w:val="none" w:sz="0" w:space="0" w:color="auto"/>
                    <w:right w:val="none" w:sz="0" w:space="0" w:color="auto"/>
                  </w:divBdr>
                  <w:divsChild>
                    <w:div w:id="18141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8947">
      <w:bodyDiv w:val="1"/>
      <w:marLeft w:val="0"/>
      <w:marRight w:val="0"/>
      <w:marTop w:val="0"/>
      <w:marBottom w:val="0"/>
      <w:divBdr>
        <w:top w:val="none" w:sz="0" w:space="0" w:color="auto"/>
        <w:left w:val="none" w:sz="0" w:space="0" w:color="auto"/>
        <w:bottom w:val="none" w:sz="0" w:space="0" w:color="auto"/>
        <w:right w:val="none" w:sz="0" w:space="0" w:color="auto"/>
      </w:divBdr>
    </w:div>
    <w:div w:id="35006234">
      <w:bodyDiv w:val="1"/>
      <w:marLeft w:val="0"/>
      <w:marRight w:val="0"/>
      <w:marTop w:val="0"/>
      <w:marBottom w:val="0"/>
      <w:divBdr>
        <w:top w:val="none" w:sz="0" w:space="0" w:color="auto"/>
        <w:left w:val="none" w:sz="0" w:space="0" w:color="auto"/>
        <w:bottom w:val="none" w:sz="0" w:space="0" w:color="auto"/>
        <w:right w:val="none" w:sz="0" w:space="0" w:color="auto"/>
      </w:divBdr>
    </w:div>
    <w:div w:id="48387282">
      <w:bodyDiv w:val="1"/>
      <w:marLeft w:val="0"/>
      <w:marRight w:val="0"/>
      <w:marTop w:val="0"/>
      <w:marBottom w:val="0"/>
      <w:divBdr>
        <w:top w:val="none" w:sz="0" w:space="0" w:color="auto"/>
        <w:left w:val="none" w:sz="0" w:space="0" w:color="auto"/>
        <w:bottom w:val="none" w:sz="0" w:space="0" w:color="auto"/>
        <w:right w:val="none" w:sz="0" w:space="0" w:color="auto"/>
      </w:divBdr>
    </w:div>
    <w:div w:id="52504351">
      <w:bodyDiv w:val="1"/>
      <w:marLeft w:val="0"/>
      <w:marRight w:val="0"/>
      <w:marTop w:val="0"/>
      <w:marBottom w:val="0"/>
      <w:divBdr>
        <w:top w:val="none" w:sz="0" w:space="0" w:color="auto"/>
        <w:left w:val="none" w:sz="0" w:space="0" w:color="auto"/>
        <w:bottom w:val="none" w:sz="0" w:space="0" w:color="auto"/>
        <w:right w:val="none" w:sz="0" w:space="0" w:color="auto"/>
      </w:divBdr>
    </w:div>
    <w:div w:id="70204757">
      <w:bodyDiv w:val="1"/>
      <w:marLeft w:val="0"/>
      <w:marRight w:val="0"/>
      <w:marTop w:val="0"/>
      <w:marBottom w:val="0"/>
      <w:divBdr>
        <w:top w:val="none" w:sz="0" w:space="0" w:color="auto"/>
        <w:left w:val="none" w:sz="0" w:space="0" w:color="auto"/>
        <w:bottom w:val="none" w:sz="0" w:space="0" w:color="auto"/>
        <w:right w:val="none" w:sz="0" w:space="0" w:color="auto"/>
      </w:divBdr>
    </w:div>
    <w:div w:id="70810830">
      <w:bodyDiv w:val="1"/>
      <w:marLeft w:val="0"/>
      <w:marRight w:val="0"/>
      <w:marTop w:val="0"/>
      <w:marBottom w:val="0"/>
      <w:divBdr>
        <w:top w:val="none" w:sz="0" w:space="0" w:color="auto"/>
        <w:left w:val="none" w:sz="0" w:space="0" w:color="auto"/>
        <w:bottom w:val="none" w:sz="0" w:space="0" w:color="auto"/>
        <w:right w:val="none" w:sz="0" w:space="0" w:color="auto"/>
      </w:divBdr>
    </w:div>
    <w:div w:id="79181201">
      <w:bodyDiv w:val="1"/>
      <w:marLeft w:val="0"/>
      <w:marRight w:val="0"/>
      <w:marTop w:val="0"/>
      <w:marBottom w:val="0"/>
      <w:divBdr>
        <w:top w:val="none" w:sz="0" w:space="0" w:color="auto"/>
        <w:left w:val="none" w:sz="0" w:space="0" w:color="auto"/>
        <w:bottom w:val="none" w:sz="0" w:space="0" w:color="auto"/>
        <w:right w:val="none" w:sz="0" w:space="0" w:color="auto"/>
      </w:divBdr>
    </w:div>
    <w:div w:id="87507411">
      <w:bodyDiv w:val="1"/>
      <w:marLeft w:val="0"/>
      <w:marRight w:val="0"/>
      <w:marTop w:val="0"/>
      <w:marBottom w:val="0"/>
      <w:divBdr>
        <w:top w:val="none" w:sz="0" w:space="0" w:color="auto"/>
        <w:left w:val="none" w:sz="0" w:space="0" w:color="auto"/>
        <w:bottom w:val="none" w:sz="0" w:space="0" w:color="auto"/>
        <w:right w:val="none" w:sz="0" w:space="0" w:color="auto"/>
      </w:divBdr>
    </w:div>
    <w:div w:id="89355854">
      <w:bodyDiv w:val="1"/>
      <w:marLeft w:val="0"/>
      <w:marRight w:val="0"/>
      <w:marTop w:val="0"/>
      <w:marBottom w:val="0"/>
      <w:divBdr>
        <w:top w:val="none" w:sz="0" w:space="0" w:color="auto"/>
        <w:left w:val="none" w:sz="0" w:space="0" w:color="auto"/>
        <w:bottom w:val="none" w:sz="0" w:space="0" w:color="auto"/>
        <w:right w:val="none" w:sz="0" w:space="0" w:color="auto"/>
      </w:divBdr>
    </w:div>
    <w:div w:id="116682066">
      <w:bodyDiv w:val="1"/>
      <w:marLeft w:val="0"/>
      <w:marRight w:val="0"/>
      <w:marTop w:val="0"/>
      <w:marBottom w:val="0"/>
      <w:divBdr>
        <w:top w:val="none" w:sz="0" w:space="0" w:color="auto"/>
        <w:left w:val="none" w:sz="0" w:space="0" w:color="auto"/>
        <w:bottom w:val="none" w:sz="0" w:space="0" w:color="auto"/>
        <w:right w:val="none" w:sz="0" w:space="0" w:color="auto"/>
      </w:divBdr>
    </w:div>
    <w:div w:id="124084446">
      <w:bodyDiv w:val="1"/>
      <w:marLeft w:val="0"/>
      <w:marRight w:val="0"/>
      <w:marTop w:val="0"/>
      <w:marBottom w:val="0"/>
      <w:divBdr>
        <w:top w:val="none" w:sz="0" w:space="0" w:color="auto"/>
        <w:left w:val="none" w:sz="0" w:space="0" w:color="auto"/>
        <w:bottom w:val="none" w:sz="0" w:space="0" w:color="auto"/>
        <w:right w:val="none" w:sz="0" w:space="0" w:color="auto"/>
      </w:divBdr>
    </w:div>
    <w:div w:id="170680923">
      <w:bodyDiv w:val="1"/>
      <w:marLeft w:val="0"/>
      <w:marRight w:val="0"/>
      <w:marTop w:val="0"/>
      <w:marBottom w:val="0"/>
      <w:divBdr>
        <w:top w:val="none" w:sz="0" w:space="0" w:color="auto"/>
        <w:left w:val="none" w:sz="0" w:space="0" w:color="auto"/>
        <w:bottom w:val="none" w:sz="0" w:space="0" w:color="auto"/>
        <w:right w:val="none" w:sz="0" w:space="0" w:color="auto"/>
      </w:divBdr>
    </w:div>
    <w:div w:id="206068644">
      <w:bodyDiv w:val="1"/>
      <w:marLeft w:val="0"/>
      <w:marRight w:val="0"/>
      <w:marTop w:val="0"/>
      <w:marBottom w:val="0"/>
      <w:divBdr>
        <w:top w:val="none" w:sz="0" w:space="0" w:color="auto"/>
        <w:left w:val="none" w:sz="0" w:space="0" w:color="auto"/>
        <w:bottom w:val="none" w:sz="0" w:space="0" w:color="auto"/>
        <w:right w:val="none" w:sz="0" w:space="0" w:color="auto"/>
      </w:divBdr>
    </w:div>
    <w:div w:id="227957804">
      <w:bodyDiv w:val="1"/>
      <w:marLeft w:val="0"/>
      <w:marRight w:val="0"/>
      <w:marTop w:val="0"/>
      <w:marBottom w:val="0"/>
      <w:divBdr>
        <w:top w:val="none" w:sz="0" w:space="0" w:color="auto"/>
        <w:left w:val="none" w:sz="0" w:space="0" w:color="auto"/>
        <w:bottom w:val="none" w:sz="0" w:space="0" w:color="auto"/>
        <w:right w:val="none" w:sz="0" w:space="0" w:color="auto"/>
      </w:divBdr>
    </w:div>
    <w:div w:id="251859929">
      <w:bodyDiv w:val="1"/>
      <w:marLeft w:val="0"/>
      <w:marRight w:val="0"/>
      <w:marTop w:val="0"/>
      <w:marBottom w:val="0"/>
      <w:divBdr>
        <w:top w:val="none" w:sz="0" w:space="0" w:color="auto"/>
        <w:left w:val="none" w:sz="0" w:space="0" w:color="auto"/>
        <w:bottom w:val="none" w:sz="0" w:space="0" w:color="auto"/>
        <w:right w:val="none" w:sz="0" w:space="0" w:color="auto"/>
      </w:divBdr>
    </w:div>
    <w:div w:id="264922402">
      <w:bodyDiv w:val="1"/>
      <w:marLeft w:val="0"/>
      <w:marRight w:val="0"/>
      <w:marTop w:val="0"/>
      <w:marBottom w:val="0"/>
      <w:divBdr>
        <w:top w:val="none" w:sz="0" w:space="0" w:color="auto"/>
        <w:left w:val="none" w:sz="0" w:space="0" w:color="auto"/>
        <w:bottom w:val="none" w:sz="0" w:space="0" w:color="auto"/>
        <w:right w:val="none" w:sz="0" w:space="0" w:color="auto"/>
      </w:divBdr>
    </w:div>
    <w:div w:id="273905269">
      <w:bodyDiv w:val="1"/>
      <w:marLeft w:val="0"/>
      <w:marRight w:val="0"/>
      <w:marTop w:val="0"/>
      <w:marBottom w:val="0"/>
      <w:divBdr>
        <w:top w:val="none" w:sz="0" w:space="0" w:color="auto"/>
        <w:left w:val="none" w:sz="0" w:space="0" w:color="auto"/>
        <w:bottom w:val="none" w:sz="0" w:space="0" w:color="auto"/>
        <w:right w:val="none" w:sz="0" w:space="0" w:color="auto"/>
      </w:divBdr>
    </w:div>
    <w:div w:id="287787000">
      <w:bodyDiv w:val="1"/>
      <w:marLeft w:val="0"/>
      <w:marRight w:val="0"/>
      <w:marTop w:val="0"/>
      <w:marBottom w:val="0"/>
      <w:divBdr>
        <w:top w:val="none" w:sz="0" w:space="0" w:color="auto"/>
        <w:left w:val="none" w:sz="0" w:space="0" w:color="auto"/>
        <w:bottom w:val="none" w:sz="0" w:space="0" w:color="auto"/>
        <w:right w:val="none" w:sz="0" w:space="0" w:color="auto"/>
      </w:divBdr>
    </w:div>
    <w:div w:id="307709322">
      <w:bodyDiv w:val="1"/>
      <w:marLeft w:val="0"/>
      <w:marRight w:val="0"/>
      <w:marTop w:val="0"/>
      <w:marBottom w:val="0"/>
      <w:divBdr>
        <w:top w:val="none" w:sz="0" w:space="0" w:color="auto"/>
        <w:left w:val="none" w:sz="0" w:space="0" w:color="auto"/>
        <w:bottom w:val="none" w:sz="0" w:space="0" w:color="auto"/>
        <w:right w:val="none" w:sz="0" w:space="0" w:color="auto"/>
      </w:divBdr>
    </w:div>
    <w:div w:id="308679571">
      <w:bodyDiv w:val="1"/>
      <w:marLeft w:val="0"/>
      <w:marRight w:val="0"/>
      <w:marTop w:val="0"/>
      <w:marBottom w:val="0"/>
      <w:divBdr>
        <w:top w:val="none" w:sz="0" w:space="0" w:color="auto"/>
        <w:left w:val="none" w:sz="0" w:space="0" w:color="auto"/>
        <w:bottom w:val="none" w:sz="0" w:space="0" w:color="auto"/>
        <w:right w:val="none" w:sz="0" w:space="0" w:color="auto"/>
      </w:divBdr>
    </w:div>
    <w:div w:id="312952113">
      <w:bodyDiv w:val="1"/>
      <w:marLeft w:val="0"/>
      <w:marRight w:val="0"/>
      <w:marTop w:val="0"/>
      <w:marBottom w:val="0"/>
      <w:divBdr>
        <w:top w:val="none" w:sz="0" w:space="0" w:color="auto"/>
        <w:left w:val="none" w:sz="0" w:space="0" w:color="auto"/>
        <w:bottom w:val="none" w:sz="0" w:space="0" w:color="auto"/>
        <w:right w:val="none" w:sz="0" w:space="0" w:color="auto"/>
      </w:divBdr>
    </w:div>
    <w:div w:id="338776341">
      <w:bodyDiv w:val="1"/>
      <w:marLeft w:val="0"/>
      <w:marRight w:val="0"/>
      <w:marTop w:val="0"/>
      <w:marBottom w:val="0"/>
      <w:divBdr>
        <w:top w:val="none" w:sz="0" w:space="0" w:color="auto"/>
        <w:left w:val="none" w:sz="0" w:space="0" w:color="auto"/>
        <w:bottom w:val="none" w:sz="0" w:space="0" w:color="auto"/>
        <w:right w:val="none" w:sz="0" w:space="0" w:color="auto"/>
      </w:divBdr>
    </w:div>
    <w:div w:id="360934244">
      <w:bodyDiv w:val="1"/>
      <w:marLeft w:val="0"/>
      <w:marRight w:val="0"/>
      <w:marTop w:val="0"/>
      <w:marBottom w:val="0"/>
      <w:divBdr>
        <w:top w:val="none" w:sz="0" w:space="0" w:color="auto"/>
        <w:left w:val="none" w:sz="0" w:space="0" w:color="auto"/>
        <w:bottom w:val="none" w:sz="0" w:space="0" w:color="auto"/>
        <w:right w:val="none" w:sz="0" w:space="0" w:color="auto"/>
      </w:divBdr>
    </w:div>
    <w:div w:id="360978042">
      <w:bodyDiv w:val="1"/>
      <w:marLeft w:val="0"/>
      <w:marRight w:val="0"/>
      <w:marTop w:val="0"/>
      <w:marBottom w:val="0"/>
      <w:divBdr>
        <w:top w:val="none" w:sz="0" w:space="0" w:color="auto"/>
        <w:left w:val="none" w:sz="0" w:space="0" w:color="auto"/>
        <w:bottom w:val="none" w:sz="0" w:space="0" w:color="auto"/>
        <w:right w:val="none" w:sz="0" w:space="0" w:color="auto"/>
      </w:divBdr>
    </w:div>
    <w:div w:id="371854272">
      <w:bodyDiv w:val="1"/>
      <w:marLeft w:val="0"/>
      <w:marRight w:val="0"/>
      <w:marTop w:val="0"/>
      <w:marBottom w:val="0"/>
      <w:divBdr>
        <w:top w:val="none" w:sz="0" w:space="0" w:color="auto"/>
        <w:left w:val="none" w:sz="0" w:space="0" w:color="auto"/>
        <w:bottom w:val="none" w:sz="0" w:space="0" w:color="auto"/>
        <w:right w:val="none" w:sz="0" w:space="0" w:color="auto"/>
      </w:divBdr>
    </w:div>
    <w:div w:id="372386619">
      <w:bodyDiv w:val="1"/>
      <w:marLeft w:val="0"/>
      <w:marRight w:val="0"/>
      <w:marTop w:val="0"/>
      <w:marBottom w:val="0"/>
      <w:divBdr>
        <w:top w:val="none" w:sz="0" w:space="0" w:color="auto"/>
        <w:left w:val="none" w:sz="0" w:space="0" w:color="auto"/>
        <w:bottom w:val="none" w:sz="0" w:space="0" w:color="auto"/>
        <w:right w:val="none" w:sz="0" w:space="0" w:color="auto"/>
      </w:divBdr>
    </w:div>
    <w:div w:id="395590079">
      <w:bodyDiv w:val="1"/>
      <w:marLeft w:val="0"/>
      <w:marRight w:val="0"/>
      <w:marTop w:val="0"/>
      <w:marBottom w:val="0"/>
      <w:divBdr>
        <w:top w:val="none" w:sz="0" w:space="0" w:color="auto"/>
        <w:left w:val="none" w:sz="0" w:space="0" w:color="auto"/>
        <w:bottom w:val="none" w:sz="0" w:space="0" w:color="auto"/>
        <w:right w:val="none" w:sz="0" w:space="0" w:color="auto"/>
      </w:divBdr>
    </w:div>
    <w:div w:id="398944417">
      <w:bodyDiv w:val="1"/>
      <w:marLeft w:val="0"/>
      <w:marRight w:val="0"/>
      <w:marTop w:val="0"/>
      <w:marBottom w:val="0"/>
      <w:divBdr>
        <w:top w:val="none" w:sz="0" w:space="0" w:color="auto"/>
        <w:left w:val="none" w:sz="0" w:space="0" w:color="auto"/>
        <w:bottom w:val="none" w:sz="0" w:space="0" w:color="auto"/>
        <w:right w:val="none" w:sz="0" w:space="0" w:color="auto"/>
      </w:divBdr>
    </w:div>
    <w:div w:id="405997288">
      <w:bodyDiv w:val="1"/>
      <w:marLeft w:val="0"/>
      <w:marRight w:val="0"/>
      <w:marTop w:val="0"/>
      <w:marBottom w:val="0"/>
      <w:divBdr>
        <w:top w:val="none" w:sz="0" w:space="0" w:color="auto"/>
        <w:left w:val="none" w:sz="0" w:space="0" w:color="auto"/>
        <w:bottom w:val="none" w:sz="0" w:space="0" w:color="auto"/>
        <w:right w:val="none" w:sz="0" w:space="0" w:color="auto"/>
      </w:divBdr>
    </w:div>
    <w:div w:id="407002085">
      <w:bodyDiv w:val="1"/>
      <w:marLeft w:val="0"/>
      <w:marRight w:val="0"/>
      <w:marTop w:val="0"/>
      <w:marBottom w:val="0"/>
      <w:divBdr>
        <w:top w:val="none" w:sz="0" w:space="0" w:color="auto"/>
        <w:left w:val="none" w:sz="0" w:space="0" w:color="auto"/>
        <w:bottom w:val="none" w:sz="0" w:space="0" w:color="auto"/>
        <w:right w:val="none" w:sz="0" w:space="0" w:color="auto"/>
      </w:divBdr>
    </w:div>
    <w:div w:id="425810537">
      <w:bodyDiv w:val="1"/>
      <w:marLeft w:val="0"/>
      <w:marRight w:val="0"/>
      <w:marTop w:val="0"/>
      <w:marBottom w:val="0"/>
      <w:divBdr>
        <w:top w:val="none" w:sz="0" w:space="0" w:color="auto"/>
        <w:left w:val="none" w:sz="0" w:space="0" w:color="auto"/>
        <w:bottom w:val="none" w:sz="0" w:space="0" w:color="auto"/>
        <w:right w:val="none" w:sz="0" w:space="0" w:color="auto"/>
      </w:divBdr>
    </w:div>
    <w:div w:id="444884112">
      <w:bodyDiv w:val="1"/>
      <w:marLeft w:val="0"/>
      <w:marRight w:val="0"/>
      <w:marTop w:val="0"/>
      <w:marBottom w:val="0"/>
      <w:divBdr>
        <w:top w:val="none" w:sz="0" w:space="0" w:color="auto"/>
        <w:left w:val="none" w:sz="0" w:space="0" w:color="auto"/>
        <w:bottom w:val="none" w:sz="0" w:space="0" w:color="auto"/>
        <w:right w:val="none" w:sz="0" w:space="0" w:color="auto"/>
      </w:divBdr>
    </w:div>
    <w:div w:id="464199550">
      <w:bodyDiv w:val="1"/>
      <w:marLeft w:val="0"/>
      <w:marRight w:val="0"/>
      <w:marTop w:val="0"/>
      <w:marBottom w:val="0"/>
      <w:divBdr>
        <w:top w:val="none" w:sz="0" w:space="0" w:color="auto"/>
        <w:left w:val="none" w:sz="0" w:space="0" w:color="auto"/>
        <w:bottom w:val="none" w:sz="0" w:space="0" w:color="auto"/>
        <w:right w:val="none" w:sz="0" w:space="0" w:color="auto"/>
      </w:divBdr>
    </w:div>
    <w:div w:id="464201564">
      <w:bodyDiv w:val="1"/>
      <w:marLeft w:val="0"/>
      <w:marRight w:val="0"/>
      <w:marTop w:val="0"/>
      <w:marBottom w:val="0"/>
      <w:divBdr>
        <w:top w:val="none" w:sz="0" w:space="0" w:color="auto"/>
        <w:left w:val="none" w:sz="0" w:space="0" w:color="auto"/>
        <w:bottom w:val="none" w:sz="0" w:space="0" w:color="auto"/>
        <w:right w:val="none" w:sz="0" w:space="0" w:color="auto"/>
      </w:divBdr>
    </w:div>
    <w:div w:id="466244577">
      <w:bodyDiv w:val="1"/>
      <w:marLeft w:val="0"/>
      <w:marRight w:val="0"/>
      <w:marTop w:val="0"/>
      <w:marBottom w:val="0"/>
      <w:divBdr>
        <w:top w:val="none" w:sz="0" w:space="0" w:color="auto"/>
        <w:left w:val="none" w:sz="0" w:space="0" w:color="auto"/>
        <w:bottom w:val="none" w:sz="0" w:space="0" w:color="auto"/>
        <w:right w:val="none" w:sz="0" w:space="0" w:color="auto"/>
      </w:divBdr>
    </w:div>
    <w:div w:id="472523573">
      <w:bodyDiv w:val="1"/>
      <w:marLeft w:val="0"/>
      <w:marRight w:val="0"/>
      <w:marTop w:val="0"/>
      <w:marBottom w:val="0"/>
      <w:divBdr>
        <w:top w:val="none" w:sz="0" w:space="0" w:color="auto"/>
        <w:left w:val="none" w:sz="0" w:space="0" w:color="auto"/>
        <w:bottom w:val="none" w:sz="0" w:space="0" w:color="auto"/>
        <w:right w:val="none" w:sz="0" w:space="0" w:color="auto"/>
      </w:divBdr>
    </w:div>
    <w:div w:id="490144232">
      <w:bodyDiv w:val="1"/>
      <w:marLeft w:val="0"/>
      <w:marRight w:val="0"/>
      <w:marTop w:val="0"/>
      <w:marBottom w:val="0"/>
      <w:divBdr>
        <w:top w:val="none" w:sz="0" w:space="0" w:color="auto"/>
        <w:left w:val="none" w:sz="0" w:space="0" w:color="auto"/>
        <w:bottom w:val="none" w:sz="0" w:space="0" w:color="auto"/>
        <w:right w:val="none" w:sz="0" w:space="0" w:color="auto"/>
      </w:divBdr>
    </w:div>
    <w:div w:id="508372639">
      <w:bodyDiv w:val="1"/>
      <w:marLeft w:val="0"/>
      <w:marRight w:val="0"/>
      <w:marTop w:val="0"/>
      <w:marBottom w:val="0"/>
      <w:divBdr>
        <w:top w:val="none" w:sz="0" w:space="0" w:color="auto"/>
        <w:left w:val="none" w:sz="0" w:space="0" w:color="auto"/>
        <w:bottom w:val="none" w:sz="0" w:space="0" w:color="auto"/>
        <w:right w:val="none" w:sz="0" w:space="0" w:color="auto"/>
      </w:divBdr>
    </w:div>
    <w:div w:id="512575328">
      <w:bodyDiv w:val="1"/>
      <w:marLeft w:val="0"/>
      <w:marRight w:val="0"/>
      <w:marTop w:val="0"/>
      <w:marBottom w:val="0"/>
      <w:divBdr>
        <w:top w:val="none" w:sz="0" w:space="0" w:color="auto"/>
        <w:left w:val="none" w:sz="0" w:space="0" w:color="auto"/>
        <w:bottom w:val="none" w:sz="0" w:space="0" w:color="auto"/>
        <w:right w:val="none" w:sz="0" w:space="0" w:color="auto"/>
      </w:divBdr>
    </w:div>
    <w:div w:id="531497192">
      <w:bodyDiv w:val="1"/>
      <w:marLeft w:val="0"/>
      <w:marRight w:val="0"/>
      <w:marTop w:val="0"/>
      <w:marBottom w:val="0"/>
      <w:divBdr>
        <w:top w:val="none" w:sz="0" w:space="0" w:color="auto"/>
        <w:left w:val="none" w:sz="0" w:space="0" w:color="auto"/>
        <w:bottom w:val="none" w:sz="0" w:space="0" w:color="auto"/>
        <w:right w:val="none" w:sz="0" w:space="0" w:color="auto"/>
      </w:divBdr>
    </w:div>
    <w:div w:id="605236239">
      <w:bodyDiv w:val="1"/>
      <w:marLeft w:val="0"/>
      <w:marRight w:val="0"/>
      <w:marTop w:val="0"/>
      <w:marBottom w:val="0"/>
      <w:divBdr>
        <w:top w:val="none" w:sz="0" w:space="0" w:color="auto"/>
        <w:left w:val="none" w:sz="0" w:space="0" w:color="auto"/>
        <w:bottom w:val="none" w:sz="0" w:space="0" w:color="auto"/>
        <w:right w:val="none" w:sz="0" w:space="0" w:color="auto"/>
      </w:divBdr>
    </w:div>
    <w:div w:id="608976653">
      <w:bodyDiv w:val="1"/>
      <w:marLeft w:val="0"/>
      <w:marRight w:val="0"/>
      <w:marTop w:val="0"/>
      <w:marBottom w:val="0"/>
      <w:divBdr>
        <w:top w:val="none" w:sz="0" w:space="0" w:color="auto"/>
        <w:left w:val="none" w:sz="0" w:space="0" w:color="auto"/>
        <w:bottom w:val="none" w:sz="0" w:space="0" w:color="auto"/>
        <w:right w:val="none" w:sz="0" w:space="0" w:color="auto"/>
      </w:divBdr>
    </w:div>
    <w:div w:id="639653006">
      <w:bodyDiv w:val="1"/>
      <w:marLeft w:val="0"/>
      <w:marRight w:val="0"/>
      <w:marTop w:val="0"/>
      <w:marBottom w:val="0"/>
      <w:divBdr>
        <w:top w:val="none" w:sz="0" w:space="0" w:color="auto"/>
        <w:left w:val="none" w:sz="0" w:space="0" w:color="auto"/>
        <w:bottom w:val="none" w:sz="0" w:space="0" w:color="auto"/>
        <w:right w:val="none" w:sz="0" w:space="0" w:color="auto"/>
      </w:divBdr>
    </w:div>
    <w:div w:id="653803113">
      <w:bodyDiv w:val="1"/>
      <w:marLeft w:val="0"/>
      <w:marRight w:val="0"/>
      <w:marTop w:val="0"/>
      <w:marBottom w:val="0"/>
      <w:divBdr>
        <w:top w:val="none" w:sz="0" w:space="0" w:color="auto"/>
        <w:left w:val="none" w:sz="0" w:space="0" w:color="auto"/>
        <w:bottom w:val="none" w:sz="0" w:space="0" w:color="auto"/>
        <w:right w:val="none" w:sz="0" w:space="0" w:color="auto"/>
      </w:divBdr>
    </w:div>
    <w:div w:id="665131483">
      <w:bodyDiv w:val="1"/>
      <w:marLeft w:val="0"/>
      <w:marRight w:val="0"/>
      <w:marTop w:val="0"/>
      <w:marBottom w:val="0"/>
      <w:divBdr>
        <w:top w:val="none" w:sz="0" w:space="0" w:color="auto"/>
        <w:left w:val="none" w:sz="0" w:space="0" w:color="auto"/>
        <w:bottom w:val="none" w:sz="0" w:space="0" w:color="auto"/>
        <w:right w:val="none" w:sz="0" w:space="0" w:color="auto"/>
      </w:divBdr>
    </w:div>
    <w:div w:id="686640966">
      <w:bodyDiv w:val="1"/>
      <w:marLeft w:val="0"/>
      <w:marRight w:val="0"/>
      <w:marTop w:val="0"/>
      <w:marBottom w:val="0"/>
      <w:divBdr>
        <w:top w:val="none" w:sz="0" w:space="0" w:color="auto"/>
        <w:left w:val="none" w:sz="0" w:space="0" w:color="auto"/>
        <w:bottom w:val="none" w:sz="0" w:space="0" w:color="auto"/>
        <w:right w:val="none" w:sz="0" w:space="0" w:color="auto"/>
      </w:divBdr>
    </w:div>
    <w:div w:id="688995225">
      <w:bodyDiv w:val="1"/>
      <w:marLeft w:val="0"/>
      <w:marRight w:val="0"/>
      <w:marTop w:val="0"/>
      <w:marBottom w:val="0"/>
      <w:divBdr>
        <w:top w:val="none" w:sz="0" w:space="0" w:color="auto"/>
        <w:left w:val="none" w:sz="0" w:space="0" w:color="auto"/>
        <w:bottom w:val="none" w:sz="0" w:space="0" w:color="auto"/>
        <w:right w:val="none" w:sz="0" w:space="0" w:color="auto"/>
      </w:divBdr>
    </w:div>
    <w:div w:id="710691001">
      <w:bodyDiv w:val="1"/>
      <w:marLeft w:val="0"/>
      <w:marRight w:val="0"/>
      <w:marTop w:val="0"/>
      <w:marBottom w:val="0"/>
      <w:divBdr>
        <w:top w:val="none" w:sz="0" w:space="0" w:color="auto"/>
        <w:left w:val="none" w:sz="0" w:space="0" w:color="auto"/>
        <w:bottom w:val="none" w:sz="0" w:space="0" w:color="auto"/>
        <w:right w:val="none" w:sz="0" w:space="0" w:color="auto"/>
      </w:divBdr>
    </w:div>
    <w:div w:id="721753843">
      <w:bodyDiv w:val="1"/>
      <w:marLeft w:val="0"/>
      <w:marRight w:val="0"/>
      <w:marTop w:val="0"/>
      <w:marBottom w:val="0"/>
      <w:divBdr>
        <w:top w:val="none" w:sz="0" w:space="0" w:color="auto"/>
        <w:left w:val="none" w:sz="0" w:space="0" w:color="auto"/>
        <w:bottom w:val="none" w:sz="0" w:space="0" w:color="auto"/>
        <w:right w:val="none" w:sz="0" w:space="0" w:color="auto"/>
      </w:divBdr>
    </w:div>
    <w:div w:id="732697563">
      <w:bodyDiv w:val="1"/>
      <w:marLeft w:val="0"/>
      <w:marRight w:val="0"/>
      <w:marTop w:val="0"/>
      <w:marBottom w:val="0"/>
      <w:divBdr>
        <w:top w:val="none" w:sz="0" w:space="0" w:color="auto"/>
        <w:left w:val="none" w:sz="0" w:space="0" w:color="auto"/>
        <w:bottom w:val="none" w:sz="0" w:space="0" w:color="auto"/>
        <w:right w:val="none" w:sz="0" w:space="0" w:color="auto"/>
      </w:divBdr>
    </w:div>
    <w:div w:id="744768628">
      <w:bodyDiv w:val="1"/>
      <w:marLeft w:val="0"/>
      <w:marRight w:val="0"/>
      <w:marTop w:val="0"/>
      <w:marBottom w:val="0"/>
      <w:divBdr>
        <w:top w:val="none" w:sz="0" w:space="0" w:color="auto"/>
        <w:left w:val="none" w:sz="0" w:space="0" w:color="auto"/>
        <w:bottom w:val="none" w:sz="0" w:space="0" w:color="auto"/>
        <w:right w:val="none" w:sz="0" w:space="0" w:color="auto"/>
      </w:divBdr>
    </w:div>
    <w:div w:id="754321959">
      <w:bodyDiv w:val="1"/>
      <w:marLeft w:val="0"/>
      <w:marRight w:val="0"/>
      <w:marTop w:val="0"/>
      <w:marBottom w:val="0"/>
      <w:divBdr>
        <w:top w:val="none" w:sz="0" w:space="0" w:color="auto"/>
        <w:left w:val="none" w:sz="0" w:space="0" w:color="auto"/>
        <w:bottom w:val="none" w:sz="0" w:space="0" w:color="auto"/>
        <w:right w:val="none" w:sz="0" w:space="0" w:color="auto"/>
      </w:divBdr>
    </w:div>
    <w:div w:id="763889869">
      <w:bodyDiv w:val="1"/>
      <w:marLeft w:val="0"/>
      <w:marRight w:val="0"/>
      <w:marTop w:val="0"/>
      <w:marBottom w:val="0"/>
      <w:divBdr>
        <w:top w:val="none" w:sz="0" w:space="0" w:color="auto"/>
        <w:left w:val="none" w:sz="0" w:space="0" w:color="auto"/>
        <w:bottom w:val="none" w:sz="0" w:space="0" w:color="auto"/>
        <w:right w:val="none" w:sz="0" w:space="0" w:color="auto"/>
      </w:divBdr>
    </w:div>
    <w:div w:id="779684462">
      <w:bodyDiv w:val="1"/>
      <w:marLeft w:val="0"/>
      <w:marRight w:val="0"/>
      <w:marTop w:val="0"/>
      <w:marBottom w:val="0"/>
      <w:divBdr>
        <w:top w:val="none" w:sz="0" w:space="0" w:color="auto"/>
        <w:left w:val="none" w:sz="0" w:space="0" w:color="auto"/>
        <w:bottom w:val="none" w:sz="0" w:space="0" w:color="auto"/>
        <w:right w:val="none" w:sz="0" w:space="0" w:color="auto"/>
      </w:divBdr>
    </w:div>
    <w:div w:id="794060528">
      <w:bodyDiv w:val="1"/>
      <w:marLeft w:val="0"/>
      <w:marRight w:val="0"/>
      <w:marTop w:val="0"/>
      <w:marBottom w:val="0"/>
      <w:divBdr>
        <w:top w:val="none" w:sz="0" w:space="0" w:color="auto"/>
        <w:left w:val="none" w:sz="0" w:space="0" w:color="auto"/>
        <w:bottom w:val="none" w:sz="0" w:space="0" w:color="auto"/>
        <w:right w:val="none" w:sz="0" w:space="0" w:color="auto"/>
      </w:divBdr>
    </w:div>
    <w:div w:id="795484402">
      <w:bodyDiv w:val="1"/>
      <w:marLeft w:val="0"/>
      <w:marRight w:val="0"/>
      <w:marTop w:val="0"/>
      <w:marBottom w:val="0"/>
      <w:divBdr>
        <w:top w:val="none" w:sz="0" w:space="0" w:color="auto"/>
        <w:left w:val="none" w:sz="0" w:space="0" w:color="auto"/>
        <w:bottom w:val="none" w:sz="0" w:space="0" w:color="auto"/>
        <w:right w:val="none" w:sz="0" w:space="0" w:color="auto"/>
      </w:divBdr>
    </w:div>
    <w:div w:id="797383702">
      <w:bodyDiv w:val="1"/>
      <w:marLeft w:val="0"/>
      <w:marRight w:val="0"/>
      <w:marTop w:val="0"/>
      <w:marBottom w:val="0"/>
      <w:divBdr>
        <w:top w:val="none" w:sz="0" w:space="0" w:color="auto"/>
        <w:left w:val="none" w:sz="0" w:space="0" w:color="auto"/>
        <w:bottom w:val="none" w:sz="0" w:space="0" w:color="auto"/>
        <w:right w:val="none" w:sz="0" w:space="0" w:color="auto"/>
      </w:divBdr>
    </w:div>
    <w:div w:id="802890108">
      <w:bodyDiv w:val="1"/>
      <w:marLeft w:val="0"/>
      <w:marRight w:val="0"/>
      <w:marTop w:val="0"/>
      <w:marBottom w:val="0"/>
      <w:divBdr>
        <w:top w:val="none" w:sz="0" w:space="0" w:color="auto"/>
        <w:left w:val="none" w:sz="0" w:space="0" w:color="auto"/>
        <w:bottom w:val="none" w:sz="0" w:space="0" w:color="auto"/>
        <w:right w:val="none" w:sz="0" w:space="0" w:color="auto"/>
      </w:divBdr>
    </w:div>
    <w:div w:id="836044895">
      <w:bodyDiv w:val="1"/>
      <w:marLeft w:val="0"/>
      <w:marRight w:val="0"/>
      <w:marTop w:val="0"/>
      <w:marBottom w:val="0"/>
      <w:divBdr>
        <w:top w:val="none" w:sz="0" w:space="0" w:color="auto"/>
        <w:left w:val="none" w:sz="0" w:space="0" w:color="auto"/>
        <w:bottom w:val="none" w:sz="0" w:space="0" w:color="auto"/>
        <w:right w:val="none" w:sz="0" w:space="0" w:color="auto"/>
      </w:divBdr>
      <w:divsChild>
        <w:div w:id="102923007">
          <w:marLeft w:val="0"/>
          <w:marRight w:val="0"/>
          <w:marTop w:val="0"/>
          <w:marBottom w:val="0"/>
          <w:divBdr>
            <w:top w:val="none" w:sz="0" w:space="0" w:color="auto"/>
            <w:left w:val="none" w:sz="0" w:space="0" w:color="auto"/>
            <w:bottom w:val="none" w:sz="0" w:space="0" w:color="auto"/>
            <w:right w:val="none" w:sz="0" w:space="0" w:color="auto"/>
          </w:divBdr>
        </w:div>
      </w:divsChild>
    </w:div>
    <w:div w:id="839849433">
      <w:bodyDiv w:val="1"/>
      <w:marLeft w:val="0"/>
      <w:marRight w:val="0"/>
      <w:marTop w:val="0"/>
      <w:marBottom w:val="0"/>
      <w:divBdr>
        <w:top w:val="none" w:sz="0" w:space="0" w:color="auto"/>
        <w:left w:val="none" w:sz="0" w:space="0" w:color="auto"/>
        <w:bottom w:val="none" w:sz="0" w:space="0" w:color="auto"/>
        <w:right w:val="none" w:sz="0" w:space="0" w:color="auto"/>
      </w:divBdr>
    </w:div>
    <w:div w:id="854687466">
      <w:bodyDiv w:val="1"/>
      <w:marLeft w:val="0"/>
      <w:marRight w:val="0"/>
      <w:marTop w:val="0"/>
      <w:marBottom w:val="0"/>
      <w:divBdr>
        <w:top w:val="none" w:sz="0" w:space="0" w:color="auto"/>
        <w:left w:val="none" w:sz="0" w:space="0" w:color="auto"/>
        <w:bottom w:val="none" w:sz="0" w:space="0" w:color="auto"/>
        <w:right w:val="none" w:sz="0" w:space="0" w:color="auto"/>
      </w:divBdr>
    </w:div>
    <w:div w:id="855926603">
      <w:bodyDiv w:val="1"/>
      <w:marLeft w:val="0"/>
      <w:marRight w:val="0"/>
      <w:marTop w:val="0"/>
      <w:marBottom w:val="0"/>
      <w:divBdr>
        <w:top w:val="none" w:sz="0" w:space="0" w:color="auto"/>
        <w:left w:val="none" w:sz="0" w:space="0" w:color="auto"/>
        <w:bottom w:val="none" w:sz="0" w:space="0" w:color="auto"/>
        <w:right w:val="none" w:sz="0" w:space="0" w:color="auto"/>
      </w:divBdr>
    </w:div>
    <w:div w:id="871192086">
      <w:bodyDiv w:val="1"/>
      <w:marLeft w:val="0"/>
      <w:marRight w:val="0"/>
      <w:marTop w:val="0"/>
      <w:marBottom w:val="0"/>
      <w:divBdr>
        <w:top w:val="none" w:sz="0" w:space="0" w:color="auto"/>
        <w:left w:val="none" w:sz="0" w:space="0" w:color="auto"/>
        <w:bottom w:val="none" w:sz="0" w:space="0" w:color="auto"/>
        <w:right w:val="none" w:sz="0" w:space="0" w:color="auto"/>
      </w:divBdr>
    </w:div>
    <w:div w:id="873034650">
      <w:bodyDiv w:val="1"/>
      <w:marLeft w:val="0"/>
      <w:marRight w:val="0"/>
      <w:marTop w:val="0"/>
      <w:marBottom w:val="0"/>
      <w:divBdr>
        <w:top w:val="none" w:sz="0" w:space="0" w:color="auto"/>
        <w:left w:val="none" w:sz="0" w:space="0" w:color="auto"/>
        <w:bottom w:val="none" w:sz="0" w:space="0" w:color="auto"/>
        <w:right w:val="none" w:sz="0" w:space="0" w:color="auto"/>
      </w:divBdr>
    </w:div>
    <w:div w:id="878277035">
      <w:bodyDiv w:val="1"/>
      <w:marLeft w:val="0"/>
      <w:marRight w:val="0"/>
      <w:marTop w:val="0"/>
      <w:marBottom w:val="0"/>
      <w:divBdr>
        <w:top w:val="none" w:sz="0" w:space="0" w:color="auto"/>
        <w:left w:val="none" w:sz="0" w:space="0" w:color="auto"/>
        <w:bottom w:val="none" w:sz="0" w:space="0" w:color="auto"/>
        <w:right w:val="none" w:sz="0" w:space="0" w:color="auto"/>
      </w:divBdr>
    </w:div>
    <w:div w:id="895505661">
      <w:bodyDiv w:val="1"/>
      <w:marLeft w:val="0"/>
      <w:marRight w:val="0"/>
      <w:marTop w:val="0"/>
      <w:marBottom w:val="0"/>
      <w:divBdr>
        <w:top w:val="none" w:sz="0" w:space="0" w:color="auto"/>
        <w:left w:val="none" w:sz="0" w:space="0" w:color="auto"/>
        <w:bottom w:val="none" w:sz="0" w:space="0" w:color="auto"/>
        <w:right w:val="none" w:sz="0" w:space="0" w:color="auto"/>
      </w:divBdr>
    </w:div>
    <w:div w:id="914631166">
      <w:bodyDiv w:val="1"/>
      <w:marLeft w:val="0"/>
      <w:marRight w:val="0"/>
      <w:marTop w:val="0"/>
      <w:marBottom w:val="0"/>
      <w:divBdr>
        <w:top w:val="none" w:sz="0" w:space="0" w:color="auto"/>
        <w:left w:val="none" w:sz="0" w:space="0" w:color="auto"/>
        <w:bottom w:val="none" w:sz="0" w:space="0" w:color="auto"/>
        <w:right w:val="none" w:sz="0" w:space="0" w:color="auto"/>
      </w:divBdr>
    </w:div>
    <w:div w:id="917329943">
      <w:bodyDiv w:val="1"/>
      <w:marLeft w:val="0"/>
      <w:marRight w:val="0"/>
      <w:marTop w:val="0"/>
      <w:marBottom w:val="0"/>
      <w:divBdr>
        <w:top w:val="none" w:sz="0" w:space="0" w:color="auto"/>
        <w:left w:val="none" w:sz="0" w:space="0" w:color="auto"/>
        <w:bottom w:val="none" w:sz="0" w:space="0" w:color="auto"/>
        <w:right w:val="none" w:sz="0" w:space="0" w:color="auto"/>
      </w:divBdr>
    </w:div>
    <w:div w:id="924654548">
      <w:bodyDiv w:val="1"/>
      <w:marLeft w:val="0"/>
      <w:marRight w:val="0"/>
      <w:marTop w:val="0"/>
      <w:marBottom w:val="0"/>
      <w:divBdr>
        <w:top w:val="none" w:sz="0" w:space="0" w:color="auto"/>
        <w:left w:val="none" w:sz="0" w:space="0" w:color="auto"/>
        <w:bottom w:val="none" w:sz="0" w:space="0" w:color="auto"/>
        <w:right w:val="none" w:sz="0" w:space="0" w:color="auto"/>
      </w:divBdr>
    </w:div>
    <w:div w:id="940726373">
      <w:bodyDiv w:val="1"/>
      <w:marLeft w:val="0"/>
      <w:marRight w:val="0"/>
      <w:marTop w:val="0"/>
      <w:marBottom w:val="0"/>
      <w:divBdr>
        <w:top w:val="none" w:sz="0" w:space="0" w:color="auto"/>
        <w:left w:val="none" w:sz="0" w:space="0" w:color="auto"/>
        <w:bottom w:val="none" w:sz="0" w:space="0" w:color="auto"/>
        <w:right w:val="none" w:sz="0" w:space="0" w:color="auto"/>
      </w:divBdr>
    </w:div>
    <w:div w:id="942415098">
      <w:bodyDiv w:val="1"/>
      <w:marLeft w:val="0"/>
      <w:marRight w:val="0"/>
      <w:marTop w:val="0"/>
      <w:marBottom w:val="0"/>
      <w:divBdr>
        <w:top w:val="none" w:sz="0" w:space="0" w:color="auto"/>
        <w:left w:val="none" w:sz="0" w:space="0" w:color="auto"/>
        <w:bottom w:val="none" w:sz="0" w:space="0" w:color="auto"/>
        <w:right w:val="none" w:sz="0" w:space="0" w:color="auto"/>
      </w:divBdr>
    </w:div>
    <w:div w:id="943416677">
      <w:bodyDiv w:val="1"/>
      <w:marLeft w:val="0"/>
      <w:marRight w:val="0"/>
      <w:marTop w:val="0"/>
      <w:marBottom w:val="0"/>
      <w:divBdr>
        <w:top w:val="none" w:sz="0" w:space="0" w:color="auto"/>
        <w:left w:val="none" w:sz="0" w:space="0" w:color="auto"/>
        <w:bottom w:val="none" w:sz="0" w:space="0" w:color="auto"/>
        <w:right w:val="none" w:sz="0" w:space="0" w:color="auto"/>
      </w:divBdr>
    </w:div>
    <w:div w:id="946083773">
      <w:bodyDiv w:val="1"/>
      <w:marLeft w:val="0"/>
      <w:marRight w:val="0"/>
      <w:marTop w:val="0"/>
      <w:marBottom w:val="0"/>
      <w:divBdr>
        <w:top w:val="none" w:sz="0" w:space="0" w:color="auto"/>
        <w:left w:val="none" w:sz="0" w:space="0" w:color="auto"/>
        <w:bottom w:val="none" w:sz="0" w:space="0" w:color="auto"/>
        <w:right w:val="none" w:sz="0" w:space="0" w:color="auto"/>
      </w:divBdr>
    </w:div>
    <w:div w:id="957176439">
      <w:bodyDiv w:val="1"/>
      <w:marLeft w:val="0"/>
      <w:marRight w:val="0"/>
      <w:marTop w:val="0"/>
      <w:marBottom w:val="0"/>
      <w:divBdr>
        <w:top w:val="none" w:sz="0" w:space="0" w:color="auto"/>
        <w:left w:val="none" w:sz="0" w:space="0" w:color="auto"/>
        <w:bottom w:val="none" w:sz="0" w:space="0" w:color="auto"/>
        <w:right w:val="none" w:sz="0" w:space="0" w:color="auto"/>
      </w:divBdr>
    </w:div>
    <w:div w:id="976572821">
      <w:bodyDiv w:val="1"/>
      <w:marLeft w:val="0"/>
      <w:marRight w:val="0"/>
      <w:marTop w:val="0"/>
      <w:marBottom w:val="0"/>
      <w:divBdr>
        <w:top w:val="none" w:sz="0" w:space="0" w:color="auto"/>
        <w:left w:val="none" w:sz="0" w:space="0" w:color="auto"/>
        <w:bottom w:val="none" w:sz="0" w:space="0" w:color="auto"/>
        <w:right w:val="none" w:sz="0" w:space="0" w:color="auto"/>
      </w:divBdr>
    </w:div>
    <w:div w:id="1001275005">
      <w:bodyDiv w:val="1"/>
      <w:marLeft w:val="0"/>
      <w:marRight w:val="0"/>
      <w:marTop w:val="0"/>
      <w:marBottom w:val="0"/>
      <w:divBdr>
        <w:top w:val="none" w:sz="0" w:space="0" w:color="auto"/>
        <w:left w:val="none" w:sz="0" w:space="0" w:color="auto"/>
        <w:bottom w:val="none" w:sz="0" w:space="0" w:color="auto"/>
        <w:right w:val="none" w:sz="0" w:space="0" w:color="auto"/>
      </w:divBdr>
    </w:div>
    <w:div w:id="1019234356">
      <w:bodyDiv w:val="1"/>
      <w:marLeft w:val="0"/>
      <w:marRight w:val="0"/>
      <w:marTop w:val="0"/>
      <w:marBottom w:val="0"/>
      <w:divBdr>
        <w:top w:val="none" w:sz="0" w:space="0" w:color="auto"/>
        <w:left w:val="none" w:sz="0" w:space="0" w:color="auto"/>
        <w:bottom w:val="none" w:sz="0" w:space="0" w:color="auto"/>
        <w:right w:val="none" w:sz="0" w:space="0" w:color="auto"/>
      </w:divBdr>
    </w:div>
    <w:div w:id="1023088380">
      <w:bodyDiv w:val="1"/>
      <w:marLeft w:val="0"/>
      <w:marRight w:val="0"/>
      <w:marTop w:val="0"/>
      <w:marBottom w:val="0"/>
      <w:divBdr>
        <w:top w:val="none" w:sz="0" w:space="0" w:color="auto"/>
        <w:left w:val="none" w:sz="0" w:space="0" w:color="auto"/>
        <w:bottom w:val="none" w:sz="0" w:space="0" w:color="auto"/>
        <w:right w:val="none" w:sz="0" w:space="0" w:color="auto"/>
      </w:divBdr>
    </w:div>
    <w:div w:id="1024670187">
      <w:bodyDiv w:val="1"/>
      <w:marLeft w:val="0"/>
      <w:marRight w:val="0"/>
      <w:marTop w:val="0"/>
      <w:marBottom w:val="0"/>
      <w:divBdr>
        <w:top w:val="none" w:sz="0" w:space="0" w:color="auto"/>
        <w:left w:val="none" w:sz="0" w:space="0" w:color="auto"/>
        <w:bottom w:val="none" w:sz="0" w:space="0" w:color="auto"/>
        <w:right w:val="none" w:sz="0" w:space="0" w:color="auto"/>
      </w:divBdr>
    </w:div>
    <w:div w:id="1025867604">
      <w:bodyDiv w:val="1"/>
      <w:marLeft w:val="0"/>
      <w:marRight w:val="0"/>
      <w:marTop w:val="0"/>
      <w:marBottom w:val="0"/>
      <w:divBdr>
        <w:top w:val="none" w:sz="0" w:space="0" w:color="auto"/>
        <w:left w:val="none" w:sz="0" w:space="0" w:color="auto"/>
        <w:bottom w:val="none" w:sz="0" w:space="0" w:color="auto"/>
        <w:right w:val="none" w:sz="0" w:space="0" w:color="auto"/>
      </w:divBdr>
    </w:div>
    <w:div w:id="1063211529">
      <w:bodyDiv w:val="1"/>
      <w:marLeft w:val="0"/>
      <w:marRight w:val="0"/>
      <w:marTop w:val="0"/>
      <w:marBottom w:val="0"/>
      <w:divBdr>
        <w:top w:val="none" w:sz="0" w:space="0" w:color="auto"/>
        <w:left w:val="none" w:sz="0" w:space="0" w:color="auto"/>
        <w:bottom w:val="none" w:sz="0" w:space="0" w:color="auto"/>
        <w:right w:val="none" w:sz="0" w:space="0" w:color="auto"/>
      </w:divBdr>
    </w:div>
    <w:div w:id="1073964631">
      <w:bodyDiv w:val="1"/>
      <w:marLeft w:val="0"/>
      <w:marRight w:val="0"/>
      <w:marTop w:val="0"/>
      <w:marBottom w:val="0"/>
      <w:divBdr>
        <w:top w:val="none" w:sz="0" w:space="0" w:color="auto"/>
        <w:left w:val="none" w:sz="0" w:space="0" w:color="auto"/>
        <w:bottom w:val="none" w:sz="0" w:space="0" w:color="auto"/>
        <w:right w:val="none" w:sz="0" w:space="0" w:color="auto"/>
      </w:divBdr>
    </w:div>
    <w:div w:id="1085767126">
      <w:bodyDiv w:val="1"/>
      <w:marLeft w:val="0"/>
      <w:marRight w:val="0"/>
      <w:marTop w:val="0"/>
      <w:marBottom w:val="0"/>
      <w:divBdr>
        <w:top w:val="none" w:sz="0" w:space="0" w:color="auto"/>
        <w:left w:val="none" w:sz="0" w:space="0" w:color="auto"/>
        <w:bottom w:val="none" w:sz="0" w:space="0" w:color="auto"/>
        <w:right w:val="none" w:sz="0" w:space="0" w:color="auto"/>
      </w:divBdr>
    </w:div>
    <w:div w:id="1087505508">
      <w:bodyDiv w:val="1"/>
      <w:marLeft w:val="0"/>
      <w:marRight w:val="0"/>
      <w:marTop w:val="0"/>
      <w:marBottom w:val="0"/>
      <w:divBdr>
        <w:top w:val="none" w:sz="0" w:space="0" w:color="auto"/>
        <w:left w:val="none" w:sz="0" w:space="0" w:color="auto"/>
        <w:bottom w:val="none" w:sz="0" w:space="0" w:color="auto"/>
        <w:right w:val="none" w:sz="0" w:space="0" w:color="auto"/>
      </w:divBdr>
    </w:div>
    <w:div w:id="1093820325">
      <w:bodyDiv w:val="1"/>
      <w:marLeft w:val="0"/>
      <w:marRight w:val="0"/>
      <w:marTop w:val="0"/>
      <w:marBottom w:val="0"/>
      <w:divBdr>
        <w:top w:val="none" w:sz="0" w:space="0" w:color="auto"/>
        <w:left w:val="none" w:sz="0" w:space="0" w:color="auto"/>
        <w:bottom w:val="none" w:sz="0" w:space="0" w:color="auto"/>
        <w:right w:val="none" w:sz="0" w:space="0" w:color="auto"/>
      </w:divBdr>
    </w:div>
    <w:div w:id="1107694358">
      <w:bodyDiv w:val="1"/>
      <w:marLeft w:val="0"/>
      <w:marRight w:val="0"/>
      <w:marTop w:val="0"/>
      <w:marBottom w:val="0"/>
      <w:divBdr>
        <w:top w:val="none" w:sz="0" w:space="0" w:color="auto"/>
        <w:left w:val="none" w:sz="0" w:space="0" w:color="auto"/>
        <w:bottom w:val="none" w:sz="0" w:space="0" w:color="auto"/>
        <w:right w:val="none" w:sz="0" w:space="0" w:color="auto"/>
      </w:divBdr>
    </w:div>
    <w:div w:id="1115636971">
      <w:bodyDiv w:val="1"/>
      <w:marLeft w:val="0"/>
      <w:marRight w:val="0"/>
      <w:marTop w:val="0"/>
      <w:marBottom w:val="0"/>
      <w:divBdr>
        <w:top w:val="none" w:sz="0" w:space="0" w:color="auto"/>
        <w:left w:val="none" w:sz="0" w:space="0" w:color="auto"/>
        <w:bottom w:val="none" w:sz="0" w:space="0" w:color="auto"/>
        <w:right w:val="none" w:sz="0" w:space="0" w:color="auto"/>
      </w:divBdr>
    </w:div>
    <w:div w:id="1116408699">
      <w:bodyDiv w:val="1"/>
      <w:marLeft w:val="0"/>
      <w:marRight w:val="0"/>
      <w:marTop w:val="0"/>
      <w:marBottom w:val="0"/>
      <w:divBdr>
        <w:top w:val="none" w:sz="0" w:space="0" w:color="auto"/>
        <w:left w:val="none" w:sz="0" w:space="0" w:color="auto"/>
        <w:bottom w:val="none" w:sz="0" w:space="0" w:color="auto"/>
        <w:right w:val="none" w:sz="0" w:space="0" w:color="auto"/>
      </w:divBdr>
    </w:div>
    <w:div w:id="1120076665">
      <w:bodyDiv w:val="1"/>
      <w:marLeft w:val="0"/>
      <w:marRight w:val="0"/>
      <w:marTop w:val="0"/>
      <w:marBottom w:val="0"/>
      <w:divBdr>
        <w:top w:val="none" w:sz="0" w:space="0" w:color="auto"/>
        <w:left w:val="none" w:sz="0" w:space="0" w:color="auto"/>
        <w:bottom w:val="none" w:sz="0" w:space="0" w:color="auto"/>
        <w:right w:val="none" w:sz="0" w:space="0" w:color="auto"/>
      </w:divBdr>
    </w:div>
    <w:div w:id="1124033188">
      <w:bodyDiv w:val="1"/>
      <w:marLeft w:val="0"/>
      <w:marRight w:val="0"/>
      <w:marTop w:val="0"/>
      <w:marBottom w:val="0"/>
      <w:divBdr>
        <w:top w:val="none" w:sz="0" w:space="0" w:color="auto"/>
        <w:left w:val="none" w:sz="0" w:space="0" w:color="auto"/>
        <w:bottom w:val="none" w:sz="0" w:space="0" w:color="auto"/>
        <w:right w:val="none" w:sz="0" w:space="0" w:color="auto"/>
      </w:divBdr>
    </w:div>
    <w:div w:id="1152988154">
      <w:bodyDiv w:val="1"/>
      <w:marLeft w:val="0"/>
      <w:marRight w:val="0"/>
      <w:marTop w:val="0"/>
      <w:marBottom w:val="0"/>
      <w:divBdr>
        <w:top w:val="none" w:sz="0" w:space="0" w:color="auto"/>
        <w:left w:val="none" w:sz="0" w:space="0" w:color="auto"/>
        <w:bottom w:val="none" w:sz="0" w:space="0" w:color="auto"/>
        <w:right w:val="none" w:sz="0" w:space="0" w:color="auto"/>
      </w:divBdr>
    </w:div>
    <w:div w:id="1166364541">
      <w:bodyDiv w:val="1"/>
      <w:marLeft w:val="0"/>
      <w:marRight w:val="0"/>
      <w:marTop w:val="0"/>
      <w:marBottom w:val="0"/>
      <w:divBdr>
        <w:top w:val="none" w:sz="0" w:space="0" w:color="auto"/>
        <w:left w:val="none" w:sz="0" w:space="0" w:color="auto"/>
        <w:bottom w:val="none" w:sz="0" w:space="0" w:color="auto"/>
        <w:right w:val="none" w:sz="0" w:space="0" w:color="auto"/>
      </w:divBdr>
    </w:div>
    <w:div w:id="1175606277">
      <w:bodyDiv w:val="1"/>
      <w:marLeft w:val="0"/>
      <w:marRight w:val="0"/>
      <w:marTop w:val="0"/>
      <w:marBottom w:val="0"/>
      <w:divBdr>
        <w:top w:val="none" w:sz="0" w:space="0" w:color="auto"/>
        <w:left w:val="none" w:sz="0" w:space="0" w:color="auto"/>
        <w:bottom w:val="none" w:sz="0" w:space="0" w:color="auto"/>
        <w:right w:val="none" w:sz="0" w:space="0" w:color="auto"/>
      </w:divBdr>
    </w:div>
    <w:div w:id="1192915173">
      <w:bodyDiv w:val="1"/>
      <w:marLeft w:val="0"/>
      <w:marRight w:val="0"/>
      <w:marTop w:val="0"/>
      <w:marBottom w:val="0"/>
      <w:divBdr>
        <w:top w:val="none" w:sz="0" w:space="0" w:color="auto"/>
        <w:left w:val="none" w:sz="0" w:space="0" w:color="auto"/>
        <w:bottom w:val="none" w:sz="0" w:space="0" w:color="auto"/>
        <w:right w:val="none" w:sz="0" w:space="0" w:color="auto"/>
      </w:divBdr>
    </w:div>
    <w:div w:id="1210075379">
      <w:bodyDiv w:val="1"/>
      <w:marLeft w:val="0"/>
      <w:marRight w:val="0"/>
      <w:marTop w:val="0"/>
      <w:marBottom w:val="0"/>
      <w:divBdr>
        <w:top w:val="none" w:sz="0" w:space="0" w:color="auto"/>
        <w:left w:val="none" w:sz="0" w:space="0" w:color="auto"/>
        <w:bottom w:val="none" w:sz="0" w:space="0" w:color="auto"/>
        <w:right w:val="none" w:sz="0" w:space="0" w:color="auto"/>
      </w:divBdr>
    </w:div>
    <w:div w:id="1230454928">
      <w:bodyDiv w:val="1"/>
      <w:marLeft w:val="0"/>
      <w:marRight w:val="0"/>
      <w:marTop w:val="0"/>
      <w:marBottom w:val="0"/>
      <w:divBdr>
        <w:top w:val="none" w:sz="0" w:space="0" w:color="auto"/>
        <w:left w:val="none" w:sz="0" w:space="0" w:color="auto"/>
        <w:bottom w:val="none" w:sz="0" w:space="0" w:color="auto"/>
        <w:right w:val="none" w:sz="0" w:space="0" w:color="auto"/>
      </w:divBdr>
    </w:div>
    <w:div w:id="1264918374">
      <w:bodyDiv w:val="1"/>
      <w:marLeft w:val="0"/>
      <w:marRight w:val="0"/>
      <w:marTop w:val="0"/>
      <w:marBottom w:val="0"/>
      <w:divBdr>
        <w:top w:val="none" w:sz="0" w:space="0" w:color="auto"/>
        <w:left w:val="none" w:sz="0" w:space="0" w:color="auto"/>
        <w:bottom w:val="none" w:sz="0" w:space="0" w:color="auto"/>
        <w:right w:val="none" w:sz="0" w:space="0" w:color="auto"/>
      </w:divBdr>
    </w:div>
    <w:div w:id="1308437004">
      <w:bodyDiv w:val="1"/>
      <w:marLeft w:val="0"/>
      <w:marRight w:val="0"/>
      <w:marTop w:val="0"/>
      <w:marBottom w:val="0"/>
      <w:divBdr>
        <w:top w:val="none" w:sz="0" w:space="0" w:color="auto"/>
        <w:left w:val="none" w:sz="0" w:space="0" w:color="auto"/>
        <w:bottom w:val="none" w:sz="0" w:space="0" w:color="auto"/>
        <w:right w:val="none" w:sz="0" w:space="0" w:color="auto"/>
      </w:divBdr>
    </w:div>
    <w:div w:id="1373966700">
      <w:bodyDiv w:val="1"/>
      <w:marLeft w:val="0"/>
      <w:marRight w:val="0"/>
      <w:marTop w:val="0"/>
      <w:marBottom w:val="0"/>
      <w:divBdr>
        <w:top w:val="none" w:sz="0" w:space="0" w:color="auto"/>
        <w:left w:val="none" w:sz="0" w:space="0" w:color="auto"/>
        <w:bottom w:val="none" w:sz="0" w:space="0" w:color="auto"/>
        <w:right w:val="none" w:sz="0" w:space="0" w:color="auto"/>
      </w:divBdr>
    </w:div>
    <w:div w:id="1400901943">
      <w:bodyDiv w:val="1"/>
      <w:marLeft w:val="0"/>
      <w:marRight w:val="0"/>
      <w:marTop w:val="0"/>
      <w:marBottom w:val="0"/>
      <w:divBdr>
        <w:top w:val="none" w:sz="0" w:space="0" w:color="auto"/>
        <w:left w:val="none" w:sz="0" w:space="0" w:color="auto"/>
        <w:bottom w:val="none" w:sz="0" w:space="0" w:color="auto"/>
        <w:right w:val="none" w:sz="0" w:space="0" w:color="auto"/>
      </w:divBdr>
    </w:div>
    <w:div w:id="1405491143">
      <w:bodyDiv w:val="1"/>
      <w:marLeft w:val="0"/>
      <w:marRight w:val="0"/>
      <w:marTop w:val="0"/>
      <w:marBottom w:val="0"/>
      <w:divBdr>
        <w:top w:val="none" w:sz="0" w:space="0" w:color="auto"/>
        <w:left w:val="none" w:sz="0" w:space="0" w:color="auto"/>
        <w:bottom w:val="none" w:sz="0" w:space="0" w:color="auto"/>
        <w:right w:val="none" w:sz="0" w:space="0" w:color="auto"/>
      </w:divBdr>
    </w:div>
    <w:div w:id="1406033331">
      <w:bodyDiv w:val="1"/>
      <w:marLeft w:val="0"/>
      <w:marRight w:val="0"/>
      <w:marTop w:val="0"/>
      <w:marBottom w:val="0"/>
      <w:divBdr>
        <w:top w:val="none" w:sz="0" w:space="0" w:color="auto"/>
        <w:left w:val="none" w:sz="0" w:space="0" w:color="auto"/>
        <w:bottom w:val="none" w:sz="0" w:space="0" w:color="auto"/>
        <w:right w:val="none" w:sz="0" w:space="0" w:color="auto"/>
      </w:divBdr>
    </w:div>
    <w:div w:id="1416438077">
      <w:bodyDiv w:val="1"/>
      <w:marLeft w:val="0"/>
      <w:marRight w:val="0"/>
      <w:marTop w:val="0"/>
      <w:marBottom w:val="0"/>
      <w:divBdr>
        <w:top w:val="none" w:sz="0" w:space="0" w:color="auto"/>
        <w:left w:val="none" w:sz="0" w:space="0" w:color="auto"/>
        <w:bottom w:val="none" w:sz="0" w:space="0" w:color="auto"/>
        <w:right w:val="none" w:sz="0" w:space="0" w:color="auto"/>
      </w:divBdr>
    </w:div>
    <w:div w:id="1424767703">
      <w:bodyDiv w:val="1"/>
      <w:marLeft w:val="0"/>
      <w:marRight w:val="0"/>
      <w:marTop w:val="0"/>
      <w:marBottom w:val="0"/>
      <w:divBdr>
        <w:top w:val="none" w:sz="0" w:space="0" w:color="auto"/>
        <w:left w:val="none" w:sz="0" w:space="0" w:color="auto"/>
        <w:bottom w:val="none" w:sz="0" w:space="0" w:color="auto"/>
        <w:right w:val="none" w:sz="0" w:space="0" w:color="auto"/>
      </w:divBdr>
    </w:div>
    <w:div w:id="1442797230">
      <w:bodyDiv w:val="1"/>
      <w:marLeft w:val="0"/>
      <w:marRight w:val="0"/>
      <w:marTop w:val="0"/>
      <w:marBottom w:val="0"/>
      <w:divBdr>
        <w:top w:val="none" w:sz="0" w:space="0" w:color="auto"/>
        <w:left w:val="none" w:sz="0" w:space="0" w:color="auto"/>
        <w:bottom w:val="none" w:sz="0" w:space="0" w:color="auto"/>
        <w:right w:val="none" w:sz="0" w:space="0" w:color="auto"/>
      </w:divBdr>
    </w:div>
    <w:div w:id="1444348926">
      <w:bodyDiv w:val="1"/>
      <w:marLeft w:val="0"/>
      <w:marRight w:val="0"/>
      <w:marTop w:val="0"/>
      <w:marBottom w:val="0"/>
      <w:divBdr>
        <w:top w:val="none" w:sz="0" w:space="0" w:color="auto"/>
        <w:left w:val="none" w:sz="0" w:space="0" w:color="auto"/>
        <w:bottom w:val="none" w:sz="0" w:space="0" w:color="auto"/>
        <w:right w:val="none" w:sz="0" w:space="0" w:color="auto"/>
      </w:divBdr>
    </w:div>
    <w:div w:id="1471358973">
      <w:bodyDiv w:val="1"/>
      <w:marLeft w:val="0"/>
      <w:marRight w:val="0"/>
      <w:marTop w:val="0"/>
      <w:marBottom w:val="0"/>
      <w:divBdr>
        <w:top w:val="none" w:sz="0" w:space="0" w:color="auto"/>
        <w:left w:val="none" w:sz="0" w:space="0" w:color="auto"/>
        <w:bottom w:val="none" w:sz="0" w:space="0" w:color="auto"/>
        <w:right w:val="none" w:sz="0" w:space="0" w:color="auto"/>
      </w:divBdr>
    </w:div>
    <w:div w:id="1471828325">
      <w:bodyDiv w:val="1"/>
      <w:marLeft w:val="0"/>
      <w:marRight w:val="0"/>
      <w:marTop w:val="0"/>
      <w:marBottom w:val="0"/>
      <w:divBdr>
        <w:top w:val="none" w:sz="0" w:space="0" w:color="auto"/>
        <w:left w:val="none" w:sz="0" w:space="0" w:color="auto"/>
        <w:bottom w:val="none" w:sz="0" w:space="0" w:color="auto"/>
        <w:right w:val="none" w:sz="0" w:space="0" w:color="auto"/>
      </w:divBdr>
    </w:div>
    <w:div w:id="1475832507">
      <w:bodyDiv w:val="1"/>
      <w:marLeft w:val="0"/>
      <w:marRight w:val="0"/>
      <w:marTop w:val="0"/>
      <w:marBottom w:val="0"/>
      <w:divBdr>
        <w:top w:val="none" w:sz="0" w:space="0" w:color="auto"/>
        <w:left w:val="none" w:sz="0" w:space="0" w:color="auto"/>
        <w:bottom w:val="none" w:sz="0" w:space="0" w:color="auto"/>
        <w:right w:val="none" w:sz="0" w:space="0" w:color="auto"/>
      </w:divBdr>
    </w:div>
    <w:div w:id="1481340533">
      <w:bodyDiv w:val="1"/>
      <w:marLeft w:val="0"/>
      <w:marRight w:val="0"/>
      <w:marTop w:val="0"/>
      <w:marBottom w:val="0"/>
      <w:divBdr>
        <w:top w:val="none" w:sz="0" w:space="0" w:color="auto"/>
        <w:left w:val="none" w:sz="0" w:space="0" w:color="auto"/>
        <w:bottom w:val="none" w:sz="0" w:space="0" w:color="auto"/>
        <w:right w:val="none" w:sz="0" w:space="0" w:color="auto"/>
      </w:divBdr>
    </w:div>
    <w:div w:id="1512184730">
      <w:bodyDiv w:val="1"/>
      <w:marLeft w:val="0"/>
      <w:marRight w:val="0"/>
      <w:marTop w:val="0"/>
      <w:marBottom w:val="0"/>
      <w:divBdr>
        <w:top w:val="none" w:sz="0" w:space="0" w:color="auto"/>
        <w:left w:val="none" w:sz="0" w:space="0" w:color="auto"/>
        <w:bottom w:val="none" w:sz="0" w:space="0" w:color="auto"/>
        <w:right w:val="none" w:sz="0" w:space="0" w:color="auto"/>
      </w:divBdr>
    </w:div>
    <w:div w:id="1512260682">
      <w:bodyDiv w:val="1"/>
      <w:marLeft w:val="0"/>
      <w:marRight w:val="0"/>
      <w:marTop w:val="0"/>
      <w:marBottom w:val="0"/>
      <w:divBdr>
        <w:top w:val="none" w:sz="0" w:space="0" w:color="auto"/>
        <w:left w:val="none" w:sz="0" w:space="0" w:color="auto"/>
        <w:bottom w:val="none" w:sz="0" w:space="0" w:color="auto"/>
        <w:right w:val="none" w:sz="0" w:space="0" w:color="auto"/>
      </w:divBdr>
    </w:div>
    <w:div w:id="1529874436">
      <w:bodyDiv w:val="1"/>
      <w:marLeft w:val="0"/>
      <w:marRight w:val="0"/>
      <w:marTop w:val="0"/>
      <w:marBottom w:val="0"/>
      <w:divBdr>
        <w:top w:val="none" w:sz="0" w:space="0" w:color="auto"/>
        <w:left w:val="none" w:sz="0" w:space="0" w:color="auto"/>
        <w:bottom w:val="none" w:sz="0" w:space="0" w:color="auto"/>
        <w:right w:val="none" w:sz="0" w:space="0" w:color="auto"/>
      </w:divBdr>
    </w:div>
    <w:div w:id="1533498911">
      <w:bodyDiv w:val="1"/>
      <w:marLeft w:val="0"/>
      <w:marRight w:val="0"/>
      <w:marTop w:val="0"/>
      <w:marBottom w:val="0"/>
      <w:divBdr>
        <w:top w:val="none" w:sz="0" w:space="0" w:color="auto"/>
        <w:left w:val="none" w:sz="0" w:space="0" w:color="auto"/>
        <w:bottom w:val="none" w:sz="0" w:space="0" w:color="auto"/>
        <w:right w:val="none" w:sz="0" w:space="0" w:color="auto"/>
      </w:divBdr>
    </w:div>
    <w:div w:id="1544563799">
      <w:bodyDiv w:val="1"/>
      <w:marLeft w:val="0"/>
      <w:marRight w:val="0"/>
      <w:marTop w:val="0"/>
      <w:marBottom w:val="0"/>
      <w:divBdr>
        <w:top w:val="none" w:sz="0" w:space="0" w:color="auto"/>
        <w:left w:val="none" w:sz="0" w:space="0" w:color="auto"/>
        <w:bottom w:val="none" w:sz="0" w:space="0" w:color="auto"/>
        <w:right w:val="none" w:sz="0" w:space="0" w:color="auto"/>
      </w:divBdr>
    </w:div>
    <w:div w:id="1554848581">
      <w:bodyDiv w:val="1"/>
      <w:marLeft w:val="0"/>
      <w:marRight w:val="0"/>
      <w:marTop w:val="0"/>
      <w:marBottom w:val="0"/>
      <w:divBdr>
        <w:top w:val="none" w:sz="0" w:space="0" w:color="auto"/>
        <w:left w:val="none" w:sz="0" w:space="0" w:color="auto"/>
        <w:bottom w:val="none" w:sz="0" w:space="0" w:color="auto"/>
        <w:right w:val="none" w:sz="0" w:space="0" w:color="auto"/>
      </w:divBdr>
    </w:div>
    <w:div w:id="1560240045">
      <w:bodyDiv w:val="1"/>
      <w:marLeft w:val="0"/>
      <w:marRight w:val="0"/>
      <w:marTop w:val="0"/>
      <w:marBottom w:val="0"/>
      <w:divBdr>
        <w:top w:val="none" w:sz="0" w:space="0" w:color="auto"/>
        <w:left w:val="none" w:sz="0" w:space="0" w:color="auto"/>
        <w:bottom w:val="none" w:sz="0" w:space="0" w:color="auto"/>
        <w:right w:val="none" w:sz="0" w:space="0" w:color="auto"/>
      </w:divBdr>
    </w:div>
    <w:div w:id="1566724711">
      <w:bodyDiv w:val="1"/>
      <w:marLeft w:val="0"/>
      <w:marRight w:val="0"/>
      <w:marTop w:val="0"/>
      <w:marBottom w:val="0"/>
      <w:divBdr>
        <w:top w:val="none" w:sz="0" w:space="0" w:color="auto"/>
        <w:left w:val="none" w:sz="0" w:space="0" w:color="auto"/>
        <w:bottom w:val="none" w:sz="0" w:space="0" w:color="auto"/>
        <w:right w:val="none" w:sz="0" w:space="0" w:color="auto"/>
      </w:divBdr>
    </w:div>
    <w:div w:id="1573344689">
      <w:bodyDiv w:val="1"/>
      <w:marLeft w:val="0"/>
      <w:marRight w:val="0"/>
      <w:marTop w:val="0"/>
      <w:marBottom w:val="0"/>
      <w:divBdr>
        <w:top w:val="none" w:sz="0" w:space="0" w:color="auto"/>
        <w:left w:val="none" w:sz="0" w:space="0" w:color="auto"/>
        <w:bottom w:val="none" w:sz="0" w:space="0" w:color="auto"/>
        <w:right w:val="none" w:sz="0" w:space="0" w:color="auto"/>
      </w:divBdr>
    </w:div>
    <w:div w:id="1573390192">
      <w:bodyDiv w:val="1"/>
      <w:marLeft w:val="0"/>
      <w:marRight w:val="0"/>
      <w:marTop w:val="0"/>
      <w:marBottom w:val="0"/>
      <w:divBdr>
        <w:top w:val="none" w:sz="0" w:space="0" w:color="auto"/>
        <w:left w:val="none" w:sz="0" w:space="0" w:color="auto"/>
        <w:bottom w:val="none" w:sz="0" w:space="0" w:color="auto"/>
        <w:right w:val="none" w:sz="0" w:space="0" w:color="auto"/>
      </w:divBdr>
    </w:div>
    <w:div w:id="1590968511">
      <w:bodyDiv w:val="1"/>
      <w:marLeft w:val="0"/>
      <w:marRight w:val="0"/>
      <w:marTop w:val="0"/>
      <w:marBottom w:val="0"/>
      <w:divBdr>
        <w:top w:val="none" w:sz="0" w:space="0" w:color="auto"/>
        <w:left w:val="none" w:sz="0" w:space="0" w:color="auto"/>
        <w:bottom w:val="none" w:sz="0" w:space="0" w:color="auto"/>
        <w:right w:val="none" w:sz="0" w:space="0" w:color="auto"/>
      </w:divBdr>
    </w:div>
    <w:div w:id="1595819378">
      <w:bodyDiv w:val="1"/>
      <w:marLeft w:val="0"/>
      <w:marRight w:val="0"/>
      <w:marTop w:val="0"/>
      <w:marBottom w:val="0"/>
      <w:divBdr>
        <w:top w:val="none" w:sz="0" w:space="0" w:color="auto"/>
        <w:left w:val="none" w:sz="0" w:space="0" w:color="auto"/>
        <w:bottom w:val="none" w:sz="0" w:space="0" w:color="auto"/>
        <w:right w:val="none" w:sz="0" w:space="0" w:color="auto"/>
      </w:divBdr>
    </w:div>
    <w:div w:id="1597052275">
      <w:bodyDiv w:val="1"/>
      <w:marLeft w:val="0"/>
      <w:marRight w:val="0"/>
      <w:marTop w:val="0"/>
      <w:marBottom w:val="0"/>
      <w:divBdr>
        <w:top w:val="none" w:sz="0" w:space="0" w:color="auto"/>
        <w:left w:val="none" w:sz="0" w:space="0" w:color="auto"/>
        <w:bottom w:val="none" w:sz="0" w:space="0" w:color="auto"/>
        <w:right w:val="none" w:sz="0" w:space="0" w:color="auto"/>
      </w:divBdr>
    </w:div>
    <w:div w:id="1621298834">
      <w:bodyDiv w:val="1"/>
      <w:marLeft w:val="0"/>
      <w:marRight w:val="0"/>
      <w:marTop w:val="0"/>
      <w:marBottom w:val="0"/>
      <w:divBdr>
        <w:top w:val="none" w:sz="0" w:space="0" w:color="auto"/>
        <w:left w:val="none" w:sz="0" w:space="0" w:color="auto"/>
        <w:bottom w:val="none" w:sz="0" w:space="0" w:color="auto"/>
        <w:right w:val="none" w:sz="0" w:space="0" w:color="auto"/>
      </w:divBdr>
    </w:div>
    <w:div w:id="1625041037">
      <w:bodyDiv w:val="1"/>
      <w:marLeft w:val="0"/>
      <w:marRight w:val="0"/>
      <w:marTop w:val="0"/>
      <w:marBottom w:val="0"/>
      <w:divBdr>
        <w:top w:val="none" w:sz="0" w:space="0" w:color="auto"/>
        <w:left w:val="none" w:sz="0" w:space="0" w:color="auto"/>
        <w:bottom w:val="none" w:sz="0" w:space="0" w:color="auto"/>
        <w:right w:val="none" w:sz="0" w:space="0" w:color="auto"/>
      </w:divBdr>
    </w:div>
    <w:div w:id="1637643884">
      <w:bodyDiv w:val="1"/>
      <w:marLeft w:val="0"/>
      <w:marRight w:val="0"/>
      <w:marTop w:val="0"/>
      <w:marBottom w:val="0"/>
      <w:divBdr>
        <w:top w:val="none" w:sz="0" w:space="0" w:color="auto"/>
        <w:left w:val="none" w:sz="0" w:space="0" w:color="auto"/>
        <w:bottom w:val="none" w:sz="0" w:space="0" w:color="auto"/>
        <w:right w:val="none" w:sz="0" w:space="0" w:color="auto"/>
      </w:divBdr>
    </w:div>
    <w:div w:id="1638683221">
      <w:bodyDiv w:val="1"/>
      <w:marLeft w:val="0"/>
      <w:marRight w:val="0"/>
      <w:marTop w:val="0"/>
      <w:marBottom w:val="0"/>
      <w:divBdr>
        <w:top w:val="none" w:sz="0" w:space="0" w:color="auto"/>
        <w:left w:val="none" w:sz="0" w:space="0" w:color="auto"/>
        <w:bottom w:val="none" w:sz="0" w:space="0" w:color="auto"/>
        <w:right w:val="none" w:sz="0" w:space="0" w:color="auto"/>
      </w:divBdr>
      <w:divsChild>
        <w:div w:id="711998587">
          <w:marLeft w:val="0"/>
          <w:marRight w:val="0"/>
          <w:marTop w:val="0"/>
          <w:marBottom w:val="0"/>
          <w:divBdr>
            <w:top w:val="none" w:sz="0" w:space="0" w:color="auto"/>
            <w:left w:val="none" w:sz="0" w:space="0" w:color="auto"/>
            <w:bottom w:val="none" w:sz="0" w:space="0" w:color="auto"/>
            <w:right w:val="none" w:sz="0" w:space="0" w:color="auto"/>
          </w:divBdr>
          <w:divsChild>
            <w:div w:id="416485084">
              <w:marLeft w:val="0"/>
              <w:marRight w:val="0"/>
              <w:marTop w:val="0"/>
              <w:marBottom w:val="0"/>
              <w:divBdr>
                <w:top w:val="none" w:sz="0" w:space="0" w:color="auto"/>
                <w:left w:val="none" w:sz="0" w:space="0" w:color="auto"/>
                <w:bottom w:val="none" w:sz="0" w:space="0" w:color="auto"/>
                <w:right w:val="none" w:sz="0" w:space="0" w:color="auto"/>
              </w:divBdr>
              <w:divsChild>
                <w:div w:id="1054818633">
                  <w:marLeft w:val="0"/>
                  <w:marRight w:val="0"/>
                  <w:marTop w:val="0"/>
                  <w:marBottom w:val="0"/>
                  <w:divBdr>
                    <w:top w:val="none" w:sz="0" w:space="0" w:color="auto"/>
                    <w:left w:val="none" w:sz="0" w:space="0" w:color="auto"/>
                    <w:bottom w:val="none" w:sz="0" w:space="0" w:color="auto"/>
                    <w:right w:val="none" w:sz="0" w:space="0" w:color="auto"/>
                  </w:divBdr>
                  <w:divsChild>
                    <w:div w:id="1390765228">
                      <w:marLeft w:val="0"/>
                      <w:marRight w:val="0"/>
                      <w:marTop w:val="0"/>
                      <w:marBottom w:val="0"/>
                      <w:divBdr>
                        <w:top w:val="none" w:sz="0" w:space="0" w:color="auto"/>
                        <w:left w:val="none" w:sz="0" w:space="0" w:color="auto"/>
                        <w:bottom w:val="none" w:sz="0" w:space="0" w:color="auto"/>
                        <w:right w:val="none" w:sz="0" w:space="0" w:color="auto"/>
                      </w:divBdr>
                      <w:divsChild>
                        <w:div w:id="2103256639">
                          <w:marLeft w:val="0"/>
                          <w:marRight w:val="0"/>
                          <w:marTop w:val="0"/>
                          <w:marBottom w:val="0"/>
                          <w:divBdr>
                            <w:top w:val="none" w:sz="0" w:space="0" w:color="auto"/>
                            <w:left w:val="none" w:sz="0" w:space="0" w:color="auto"/>
                            <w:bottom w:val="none" w:sz="0" w:space="0" w:color="auto"/>
                            <w:right w:val="none" w:sz="0" w:space="0" w:color="auto"/>
                          </w:divBdr>
                          <w:divsChild>
                            <w:div w:id="241111268">
                              <w:marLeft w:val="0"/>
                              <w:marRight w:val="0"/>
                              <w:marTop w:val="0"/>
                              <w:marBottom w:val="0"/>
                              <w:divBdr>
                                <w:top w:val="none" w:sz="0" w:space="0" w:color="auto"/>
                                <w:left w:val="none" w:sz="0" w:space="0" w:color="auto"/>
                                <w:bottom w:val="none" w:sz="0" w:space="0" w:color="auto"/>
                                <w:right w:val="none" w:sz="0" w:space="0" w:color="auto"/>
                              </w:divBdr>
                              <w:divsChild>
                                <w:div w:id="2054190312">
                                  <w:marLeft w:val="0"/>
                                  <w:marRight w:val="0"/>
                                  <w:marTop w:val="0"/>
                                  <w:marBottom w:val="0"/>
                                  <w:divBdr>
                                    <w:top w:val="none" w:sz="0" w:space="0" w:color="auto"/>
                                    <w:left w:val="none" w:sz="0" w:space="0" w:color="auto"/>
                                    <w:bottom w:val="none" w:sz="0" w:space="0" w:color="auto"/>
                                    <w:right w:val="none" w:sz="0" w:space="0" w:color="auto"/>
                                  </w:divBdr>
                                  <w:divsChild>
                                    <w:div w:id="1864707358">
                                      <w:marLeft w:val="0"/>
                                      <w:marRight w:val="0"/>
                                      <w:marTop w:val="0"/>
                                      <w:marBottom w:val="0"/>
                                      <w:divBdr>
                                        <w:top w:val="none" w:sz="0" w:space="0" w:color="auto"/>
                                        <w:left w:val="none" w:sz="0" w:space="0" w:color="auto"/>
                                        <w:bottom w:val="none" w:sz="0" w:space="0" w:color="auto"/>
                                        <w:right w:val="none" w:sz="0" w:space="0" w:color="auto"/>
                                      </w:divBdr>
                                      <w:divsChild>
                                        <w:div w:id="1538926274">
                                          <w:marLeft w:val="0"/>
                                          <w:marRight w:val="0"/>
                                          <w:marTop w:val="0"/>
                                          <w:marBottom w:val="0"/>
                                          <w:divBdr>
                                            <w:top w:val="none" w:sz="0" w:space="0" w:color="auto"/>
                                            <w:left w:val="none" w:sz="0" w:space="0" w:color="auto"/>
                                            <w:bottom w:val="none" w:sz="0" w:space="0" w:color="auto"/>
                                            <w:right w:val="none" w:sz="0" w:space="0" w:color="auto"/>
                                          </w:divBdr>
                                          <w:divsChild>
                                            <w:div w:id="1600214681">
                                              <w:marLeft w:val="0"/>
                                              <w:marRight w:val="0"/>
                                              <w:marTop w:val="0"/>
                                              <w:marBottom w:val="0"/>
                                              <w:divBdr>
                                                <w:top w:val="none" w:sz="0" w:space="0" w:color="auto"/>
                                                <w:left w:val="none" w:sz="0" w:space="0" w:color="auto"/>
                                                <w:bottom w:val="none" w:sz="0" w:space="0" w:color="auto"/>
                                                <w:right w:val="none" w:sz="0" w:space="0" w:color="auto"/>
                                              </w:divBdr>
                                              <w:divsChild>
                                                <w:div w:id="1038117454">
                                                  <w:marLeft w:val="0"/>
                                                  <w:marRight w:val="0"/>
                                                  <w:marTop w:val="0"/>
                                                  <w:marBottom w:val="0"/>
                                                  <w:divBdr>
                                                    <w:top w:val="none" w:sz="0" w:space="0" w:color="auto"/>
                                                    <w:left w:val="none" w:sz="0" w:space="0" w:color="auto"/>
                                                    <w:bottom w:val="none" w:sz="0" w:space="0" w:color="auto"/>
                                                    <w:right w:val="none" w:sz="0" w:space="0" w:color="auto"/>
                                                  </w:divBdr>
                                                  <w:divsChild>
                                                    <w:div w:id="1644118409">
                                                      <w:marLeft w:val="0"/>
                                                      <w:marRight w:val="0"/>
                                                      <w:marTop w:val="0"/>
                                                      <w:marBottom w:val="0"/>
                                                      <w:divBdr>
                                                        <w:top w:val="none" w:sz="0" w:space="0" w:color="auto"/>
                                                        <w:left w:val="none" w:sz="0" w:space="0" w:color="auto"/>
                                                        <w:bottom w:val="none" w:sz="0" w:space="0" w:color="auto"/>
                                                        <w:right w:val="none" w:sz="0" w:space="0" w:color="auto"/>
                                                      </w:divBdr>
                                                      <w:divsChild>
                                                        <w:div w:id="1758207505">
                                                          <w:marLeft w:val="0"/>
                                                          <w:marRight w:val="0"/>
                                                          <w:marTop w:val="0"/>
                                                          <w:marBottom w:val="0"/>
                                                          <w:divBdr>
                                                            <w:top w:val="none" w:sz="0" w:space="0" w:color="auto"/>
                                                            <w:left w:val="none" w:sz="0" w:space="0" w:color="auto"/>
                                                            <w:bottom w:val="none" w:sz="0" w:space="0" w:color="auto"/>
                                                            <w:right w:val="none" w:sz="0" w:space="0" w:color="auto"/>
                                                          </w:divBdr>
                                                        </w:div>
                                                        <w:div w:id="1776287901">
                                                          <w:marLeft w:val="0"/>
                                                          <w:marRight w:val="0"/>
                                                          <w:marTop w:val="0"/>
                                                          <w:marBottom w:val="0"/>
                                                          <w:divBdr>
                                                            <w:top w:val="none" w:sz="0" w:space="0" w:color="auto"/>
                                                            <w:left w:val="none" w:sz="0" w:space="0" w:color="auto"/>
                                                            <w:bottom w:val="none" w:sz="0" w:space="0" w:color="auto"/>
                                                            <w:right w:val="none" w:sz="0" w:space="0" w:color="auto"/>
                                                          </w:divBdr>
                                                        </w:div>
                                                        <w:div w:id="1702319634">
                                                          <w:marLeft w:val="0"/>
                                                          <w:marRight w:val="0"/>
                                                          <w:marTop w:val="0"/>
                                                          <w:marBottom w:val="0"/>
                                                          <w:divBdr>
                                                            <w:top w:val="none" w:sz="0" w:space="0" w:color="auto"/>
                                                            <w:left w:val="none" w:sz="0" w:space="0" w:color="auto"/>
                                                            <w:bottom w:val="none" w:sz="0" w:space="0" w:color="auto"/>
                                                            <w:right w:val="none" w:sz="0" w:space="0" w:color="auto"/>
                                                          </w:divBdr>
                                                        </w:div>
                                                        <w:div w:id="410126923">
                                                          <w:marLeft w:val="0"/>
                                                          <w:marRight w:val="0"/>
                                                          <w:marTop w:val="0"/>
                                                          <w:marBottom w:val="0"/>
                                                          <w:divBdr>
                                                            <w:top w:val="none" w:sz="0" w:space="0" w:color="auto"/>
                                                            <w:left w:val="none" w:sz="0" w:space="0" w:color="auto"/>
                                                            <w:bottom w:val="none" w:sz="0" w:space="0" w:color="auto"/>
                                                            <w:right w:val="none" w:sz="0" w:space="0" w:color="auto"/>
                                                          </w:divBdr>
                                                        </w:div>
                                                        <w:div w:id="1279295427">
                                                          <w:marLeft w:val="0"/>
                                                          <w:marRight w:val="0"/>
                                                          <w:marTop w:val="0"/>
                                                          <w:marBottom w:val="0"/>
                                                          <w:divBdr>
                                                            <w:top w:val="none" w:sz="0" w:space="0" w:color="auto"/>
                                                            <w:left w:val="none" w:sz="0" w:space="0" w:color="auto"/>
                                                            <w:bottom w:val="none" w:sz="0" w:space="0" w:color="auto"/>
                                                            <w:right w:val="none" w:sz="0" w:space="0" w:color="auto"/>
                                                          </w:divBdr>
                                                        </w:div>
                                                        <w:div w:id="417530841">
                                                          <w:marLeft w:val="0"/>
                                                          <w:marRight w:val="0"/>
                                                          <w:marTop w:val="0"/>
                                                          <w:marBottom w:val="0"/>
                                                          <w:divBdr>
                                                            <w:top w:val="none" w:sz="0" w:space="0" w:color="auto"/>
                                                            <w:left w:val="none" w:sz="0" w:space="0" w:color="auto"/>
                                                            <w:bottom w:val="none" w:sz="0" w:space="0" w:color="auto"/>
                                                            <w:right w:val="none" w:sz="0" w:space="0" w:color="auto"/>
                                                          </w:divBdr>
                                                        </w:div>
                                                        <w:div w:id="297489965">
                                                          <w:marLeft w:val="0"/>
                                                          <w:marRight w:val="0"/>
                                                          <w:marTop w:val="0"/>
                                                          <w:marBottom w:val="0"/>
                                                          <w:divBdr>
                                                            <w:top w:val="none" w:sz="0" w:space="0" w:color="auto"/>
                                                            <w:left w:val="none" w:sz="0" w:space="0" w:color="auto"/>
                                                            <w:bottom w:val="none" w:sz="0" w:space="0" w:color="auto"/>
                                                            <w:right w:val="none" w:sz="0" w:space="0" w:color="auto"/>
                                                          </w:divBdr>
                                                        </w:div>
                                                        <w:div w:id="431634857">
                                                          <w:marLeft w:val="0"/>
                                                          <w:marRight w:val="0"/>
                                                          <w:marTop w:val="0"/>
                                                          <w:marBottom w:val="0"/>
                                                          <w:divBdr>
                                                            <w:top w:val="none" w:sz="0" w:space="0" w:color="auto"/>
                                                            <w:left w:val="none" w:sz="0" w:space="0" w:color="auto"/>
                                                            <w:bottom w:val="none" w:sz="0" w:space="0" w:color="auto"/>
                                                            <w:right w:val="none" w:sz="0" w:space="0" w:color="auto"/>
                                                          </w:divBdr>
                                                        </w:div>
                                                        <w:div w:id="371540779">
                                                          <w:marLeft w:val="0"/>
                                                          <w:marRight w:val="0"/>
                                                          <w:marTop w:val="0"/>
                                                          <w:marBottom w:val="0"/>
                                                          <w:divBdr>
                                                            <w:top w:val="none" w:sz="0" w:space="0" w:color="auto"/>
                                                            <w:left w:val="none" w:sz="0" w:space="0" w:color="auto"/>
                                                            <w:bottom w:val="none" w:sz="0" w:space="0" w:color="auto"/>
                                                            <w:right w:val="none" w:sz="0" w:space="0" w:color="auto"/>
                                                          </w:divBdr>
                                                        </w:div>
                                                        <w:div w:id="1428773740">
                                                          <w:marLeft w:val="0"/>
                                                          <w:marRight w:val="0"/>
                                                          <w:marTop w:val="0"/>
                                                          <w:marBottom w:val="0"/>
                                                          <w:divBdr>
                                                            <w:top w:val="none" w:sz="0" w:space="0" w:color="auto"/>
                                                            <w:left w:val="none" w:sz="0" w:space="0" w:color="auto"/>
                                                            <w:bottom w:val="none" w:sz="0" w:space="0" w:color="auto"/>
                                                            <w:right w:val="none" w:sz="0" w:space="0" w:color="auto"/>
                                                          </w:divBdr>
                                                        </w:div>
                                                        <w:div w:id="1613439616">
                                                          <w:marLeft w:val="0"/>
                                                          <w:marRight w:val="0"/>
                                                          <w:marTop w:val="0"/>
                                                          <w:marBottom w:val="0"/>
                                                          <w:divBdr>
                                                            <w:top w:val="none" w:sz="0" w:space="0" w:color="auto"/>
                                                            <w:left w:val="none" w:sz="0" w:space="0" w:color="auto"/>
                                                            <w:bottom w:val="none" w:sz="0" w:space="0" w:color="auto"/>
                                                            <w:right w:val="none" w:sz="0" w:space="0" w:color="auto"/>
                                                          </w:divBdr>
                                                        </w:div>
                                                        <w:div w:id="507867257">
                                                          <w:marLeft w:val="0"/>
                                                          <w:marRight w:val="0"/>
                                                          <w:marTop w:val="0"/>
                                                          <w:marBottom w:val="0"/>
                                                          <w:divBdr>
                                                            <w:top w:val="none" w:sz="0" w:space="0" w:color="auto"/>
                                                            <w:left w:val="none" w:sz="0" w:space="0" w:color="auto"/>
                                                            <w:bottom w:val="none" w:sz="0" w:space="0" w:color="auto"/>
                                                            <w:right w:val="none" w:sz="0" w:space="0" w:color="auto"/>
                                                          </w:divBdr>
                                                        </w:div>
                                                        <w:div w:id="123933402">
                                                          <w:marLeft w:val="0"/>
                                                          <w:marRight w:val="0"/>
                                                          <w:marTop w:val="0"/>
                                                          <w:marBottom w:val="0"/>
                                                          <w:divBdr>
                                                            <w:top w:val="none" w:sz="0" w:space="0" w:color="auto"/>
                                                            <w:left w:val="none" w:sz="0" w:space="0" w:color="auto"/>
                                                            <w:bottom w:val="none" w:sz="0" w:space="0" w:color="auto"/>
                                                            <w:right w:val="none" w:sz="0" w:space="0" w:color="auto"/>
                                                          </w:divBdr>
                                                        </w:div>
                                                        <w:div w:id="904878117">
                                                          <w:marLeft w:val="0"/>
                                                          <w:marRight w:val="0"/>
                                                          <w:marTop w:val="0"/>
                                                          <w:marBottom w:val="0"/>
                                                          <w:divBdr>
                                                            <w:top w:val="none" w:sz="0" w:space="0" w:color="auto"/>
                                                            <w:left w:val="none" w:sz="0" w:space="0" w:color="auto"/>
                                                            <w:bottom w:val="none" w:sz="0" w:space="0" w:color="auto"/>
                                                            <w:right w:val="none" w:sz="0" w:space="0" w:color="auto"/>
                                                          </w:divBdr>
                                                        </w:div>
                                                        <w:div w:id="573051931">
                                                          <w:marLeft w:val="0"/>
                                                          <w:marRight w:val="0"/>
                                                          <w:marTop w:val="0"/>
                                                          <w:marBottom w:val="0"/>
                                                          <w:divBdr>
                                                            <w:top w:val="none" w:sz="0" w:space="0" w:color="auto"/>
                                                            <w:left w:val="none" w:sz="0" w:space="0" w:color="auto"/>
                                                            <w:bottom w:val="none" w:sz="0" w:space="0" w:color="auto"/>
                                                            <w:right w:val="none" w:sz="0" w:space="0" w:color="auto"/>
                                                          </w:divBdr>
                                                        </w:div>
                                                        <w:div w:id="1819178427">
                                                          <w:marLeft w:val="0"/>
                                                          <w:marRight w:val="0"/>
                                                          <w:marTop w:val="0"/>
                                                          <w:marBottom w:val="0"/>
                                                          <w:divBdr>
                                                            <w:top w:val="none" w:sz="0" w:space="0" w:color="auto"/>
                                                            <w:left w:val="none" w:sz="0" w:space="0" w:color="auto"/>
                                                            <w:bottom w:val="none" w:sz="0" w:space="0" w:color="auto"/>
                                                            <w:right w:val="none" w:sz="0" w:space="0" w:color="auto"/>
                                                          </w:divBdr>
                                                        </w:div>
                                                        <w:div w:id="1670526767">
                                                          <w:marLeft w:val="0"/>
                                                          <w:marRight w:val="0"/>
                                                          <w:marTop w:val="0"/>
                                                          <w:marBottom w:val="0"/>
                                                          <w:divBdr>
                                                            <w:top w:val="none" w:sz="0" w:space="0" w:color="auto"/>
                                                            <w:left w:val="none" w:sz="0" w:space="0" w:color="auto"/>
                                                            <w:bottom w:val="none" w:sz="0" w:space="0" w:color="auto"/>
                                                            <w:right w:val="none" w:sz="0" w:space="0" w:color="auto"/>
                                                          </w:divBdr>
                                                        </w:div>
                                                        <w:div w:id="218052110">
                                                          <w:marLeft w:val="0"/>
                                                          <w:marRight w:val="0"/>
                                                          <w:marTop w:val="0"/>
                                                          <w:marBottom w:val="0"/>
                                                          <w:divBdr>
                                                            <w:top w:val="none" w:sz="0" w:space="0" w:color="auto"/>
                                                            <w:left w:val="none" w:sz="0" w:space="0" w:color="auto"/>
                                                            <w:bottom w:val="none" w:sz="0" w:space="0" w:color="auto"/>
                                                            <w:right w:val="none" w:sz="0" w:space="0" w:color="auto"/>
                                                          </w:divBdr>
                                                        </w:div>
                                                        <w:div w:id="1484350667">
                                                          <w:marLeft w:val="0"/>
                                                          <w:marRight w:val="0"/>
                                                          <w:marTop w:val="0"/>
                                                          <w:marBottom w:val="0"/>
                                                          <w:divBdr>
                                                            <w:top w:val="none" w:sz="0" w:space="0" w:color="auto"/>
                                                            <w:left w:val="none" w:sz="0" w:space="0" w:color="auto"/>
                                                            <w:bottom w:val="none" w:sz="0" w:space="0" w:color="auto"/>
                                                            <w:right w:val="none" w:sz="0" w:space="0" w:color="auto"/>
                                                          </w:divBdr>
                                                        </w:div>
                                                        <w:div w:id="1860195980">
                                                          <w:marLeft w:val="0"/>
                                                          <w:marRight w:val="0"/>
                                                          <w:marTop w:val="0"/>
                                                          <w:marBottom w:val="0"/>
                                                          <w:divBdr>
                                                            <w:top w:val="none" w:sz="0" w:space="0" w:color="auto"/>
                                                            <w:left w:val="none" w:sz="0" w:space="0" w:color="auto"/>
                                                            <w:bottom w:val="none" w:sz="0" w:space="0" w:color="auto"/>
                                                            <w:right w:val="none" w:sz="0" w:space="0" w:color="auto"/>
                                                          </w:divBdr>
                                                        </w:div>
                                                        <w:div w:id="1425106746">
                                                          <w:marLeft w:val="0"/>
                                                          <w:marRight w:val="0"/>
                                                          <w:marTop w:val="0"/>
                                                          <w:marBottom w:val="0"/>
                                                          <w:divBdr>
                                                            <w:top w:val="none" w:sz="0" w:space="0" w:color="auto"/>
                                                            <w:left w:val="none" w:sz="0" w:space="0" w:color="auto"/>
                                                            <w:bottom w:val="none" w:sz="0" w:space="0" w:color="auto"/>
                                                            <w:right w:val="none" w:sz="0" w:space="0" w:color="auto"/>
                                                          </w:divBdr>
                                                        </w:div>
                                                        <w:div w:id="455026015">
                                                          <w:marLeft w:val="0"/>
                                                          <w:marRight w:val="0"/>
                                                          <w:marTop w:val="0"/>
                                                          <w:marBottom w:val="0"/>
                                                          <w:divBdr>
                                                            <w:top w:val="none" w:sz="0" w:space="0" w:color="auto"/>
                                                            <w:left w:val="none" w:sz="0" w:space="0" w:color="auto"/>
                                                            <w:bottom w:val="none" w:sz="0" w:space="0" w:color="auto"/>
                                                            <w:right w:val="none" w:sz="0" w:space="0" w:color="auto"/>
                                                          </w:divBdr>
                                                        </w:div>
                                                        <w:div w:id="1721132336">
                                                          <w:marLeft w:val="0"/>
                                                          <w:marRight w:val="0"/>
                                                          <w:marTop w:val="0"/>
                                                          <w:marBottom w:val="0"/>
                                                          <w:divBdr>
                                                            <w:top w:val="none" w:sz="0" w:space="0" w:color="auto"/>
                                                            <w:left w:val="none" w:sz="0" w:space="0" w:color="auto"/>
                                                            <w:bottom w:val="none" w:sz="0" w:space="0" w:color="auto"/>
                                                            <w:right w:val="none" w:sz="0" w:space="0" w:color="auto"/>
                                                          </w:divBdr>
                                                        </w:div>
                                                        <w:div w:id="2068336494">
                                                          <w:marLeft w:val="0"/>
                                                          <w:marRight w:val="0"/>
                                                          <w:marTop w:val="0"/>
                                                          <w:marBottom w:val="0"/>
                                                          <w:divBdr>
                                                            <w:top w:val="none" w:sz="0" w:space="0" w:color="auto"/>
                                                            <w:left w:val="none" w:sz="0" w:space="0" w:color="auto"/>
                                                            <w:bottom w:val="none" w:sz="0" w:space="0" w:color="auto"/>
                                                            <w:right w:val="none" w:sz="0" w:space="0" w:color="auto"/>
                                                          </w:divBdr>
                                                        </w:div>
                                                        <w:div w:id="1112430929">
                                                          <w:marLeft w:val="0"/>
                                                          <w:marRight w:val="0"/>
                                                          <w:marTop w:val="0"/>
                                                          <w:marBottom w:val="0"/>
                                                          <w:divBdr>
                                                            <w:top w:val="none" w:sz="0" w:space="0" w:color="auto"/>
                                                            <w:left w:val="none" w:sz="0" w:space="0" w:color="auto"/>
                                                            <w:bottom w:val="none" w:sz="0" w:space="0" w:color="auto"/>
                                                            <w:right w:val="none" w:sz="0" w:space="0" w:color="auto"/>
                                                          </w:divBdr>
                                                        </w:div>
                                                        <w:div w:id="716048846">
                                                          <w:marLeft w:val="0"/>
                                                          <w:marRight w:val="0"/>
                                                          <w:marTop w:val="0"/>
                                                          <w:marBottom w:val="0"/>
                                                          <w:divBdr>
                                                            <w:top w:val="none" w:sz="0" w:space="0" w:color="auto"/>
                                                            <w:left w:val="none" w:sz="0" w:space="0" w:color="auto"/>
                                                            <w:bottom w:val="none" w:sz="0" w:space="0" w:color="auto"/>
                                                            <w:right w:val="none" w:sz="0" w:space="0" w:color="auto"/>
                                                          </w:divBdr>
                                                        </w:div>
                                                        <w:div w:id="1011030045">
                                                          <w:marLeft w:val="0"/>
                                                          <w:marRight w:val="0"/>
                                                          <w:marTop w:val="0"/>
                                                          <w:marBottom w:val="0"/>
                                                          <w:divBdr>
                                                            <w:top w:val="none" w:sz="0" w:space="0" w:color="auto"/>
                                                            <w:left w:val="none" w:sz="0" w:space="0" w:color="auto"/>
                                                            <w:bottom w:val="none" w:sz="0" w:space="0" w:color="auto"/>
                                                            <w:right w:val="none" w:sz="0" w:space="0" w:color="auto"/>
                                                          </w:divBdr>
                                                        </w:div>
                                                        <w:div w:id="555706900">
                                                          <w:marLeft w:val="0"/>
                                                          <w:marRight w:val="0"/>
                                                          <w:marTop w:val="0"/>
                                                          <w:marBottom w:val="0"/>
                                                          <w:divBdr>
                                                            <w:top w:val="none" w:sz="0" w:space="0" w:color="auto"/>
                                                            <w:left w:val="none" w:sz="0" w:space="0" w:color="auto"/>
                                                            <w:bottom w:val="none" w:sz="0" w:space="0" w:color="auto"/>
                                                            <w:right w:val="none" w:sz="0" w:space="0" w:color="auto"/>
                                                          </w:divBdr>
                                                        </w:div>
                                                        <w:div w:id="822769407">
                                                          <w:marLeft w:val="0"/>
                                                          <w:marRight w:val="0"/>
                                                          <w:marTop w:val="0"/>
                                                          <w:marBottom w:val="0"/>
                                                          <w:divBdr>
                                                            <w:top w:val="none" w:sz="0" w:space="0" w:color="auto"/>
                                                            <w:left w:val="none" w:sz="0" w:space="0" w:color="auto"/>
                                                            <w:bottom w:val="none" w:sz="0" w:space="0" w:color="auto"/>
                                                            <w:right w:val="none" w:sz="0" w:space="0" w:color="auto"/>
                                                          </w:divBdr>
                                                        </w:div>
                                                        <w:div w:id="973020816">
                                                          <w:marLeft w:val="0"/>
                                                          <w:marRight w:val="0"/>
                                                          <w:marTop w:val="0"/>
                                                          <w:marBottom w:val="0"/>
                                                          <w:divBdr>
                                                            <w:top w:val="none" w:sz="0" w:space="0" w:color="auto"/>
                                                            <w:left w:val="none" w:sz="0" w:space="0" w:color="auto"/>
                                                            <w:bottom w:val="none" w:sz="0" w:space="0" w:color="auto"/>
                                                            <w:right w:val="none" w:sz="0" w:space="0" w:color="auto"/>
                                                          </w:divBdr>
                                                        </w:div>
                                                        <w:div w:id="11892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166280">
          <w:marLeft w:val="0"/>
          <w:marRight w:val="0"/>
          <w:marTop w:val="0"/>
          <w:marBottom w:val="0"/>
          <w:divBdr>
            <w:top w:val="none" w:sz="0" w:space="0" w:color="auto"/>
            <w:left w:val="none" w:sz="0" w:space="0" w:color="auto"/>
            <w:bottom w:val="none" w:sz="0" w:space="0" w:color="auto"/>
            <w:right w:val="none" w:sz="0" w:space="0" w:color="auto"/>
          </w:divBdr>
          <w:divsChild>
            <w:div w:id="6299395">
              <w:marLeft w:val="0"/>
              <w:marRight w:val="0"/>
              <w:marTop w:val="0"/>
              <w:marBottom w:val="0"/>
              <w:divBdr>
                <w:top w:val="none" w:sz="0" w:space="0" w:color="auto"/>
                <w:left w:val="none" w:sz="0" w:space="0" w:color="auto"/>
                <w:bottom w:val="none" w:sz="0" w:space="0" w:color="auto"/>
                <w:right w:val="none" w:sz="0" w:space="0" w:color="auto"/>
              </w:divBdr>
              <w:divsChild>
                <w:div w:id="902985672">
                  <w:marLeft w:val="0"/>
                  <w:marRight w:val="0"/>
                  <w:marTop w:val="0"/>
                  <w:marBottom w:val="0"/>
                  <w:divBdr>
                    <w:top w:val="none" w:sz="0" w:space="0" w:color="auto"/>
                    <w:left w:val="none" w:sz="0" w:space="0" w:color="auto"/>
                    <w:bottom w:val="none" w:sz="0" w:space="0" w:color="auto"/>
                    <w:right w:val="none" w:sz="0" w:space="0" w:color="auto"/>
                  </w:divBdr>
                  <w:divsChild>
                    <w:div w:id="1691099573">
                      <w:marLeft w:val="0"/>
                      <w:marRight w:val="0"/>
                      <w:marTop w:val="0"/>
                      <w:marBottom w:val="0"/>
                      <w:divBdr>
                        <w:top w:val="none" w:sz="0" w:space="0" w:color="auto"/>
                        <w:left w:val="none" w:sz="0" w:space="0" w:color="auto"/>
                        <w:bottom w:val="none" w:sz="0" w:space="0" w:color="auto"/>
                        <w:right w:val="none" w:sz="0" w:space="0" w:color="auto"/>
                      </w:divBdr>
                      <w:divsChild>
                        <w:div w:id="908657340">
                          <w:marLeft w:val="0"/>
                          <w:marRight w:val="0"/>
                          <w:marTop w:val="0"/>
                          <w:marBottom w:val="0"/>
                          <w:divBdr>
                            <w:top w:val="none" w:sz="0" w:space="0" w:color="auto"/>
                            <w:left w:val="none" w:sz="0" w:space="0" w:color="auto"/>
                            <w:bottom w:val="none" w:sz="0" w:space="0" w:color="auto"/>
                            <w:right w:val="none" w:sz="0" w:space="0" w:color="auto"/>
                          </w:divBdr>
                          <w:divsChild>
                            <w:div w:id="1949585712">
                              <w:marLeft w:val="0"/>
                              <w:marRight w:val="0"/>
                              <w:marTop w:val="0"/>
                              <w:marBottom w:val="0"/>
                              <w:divBdr>
                                <w:top w:val="none" w:sz="0" w:space="0" w:color="auto"/>
                                <w:left w:val="none" w:sz="0" w:space="0" w:color="auto"/>
                                <w:bottom w:val="none" w:sz="0" w:space="0" w:color="auto"/>
                                <w:right w:val="none" w:sz="0" w:space="0" w:color="auto"/>
                              </w:divBdr>
                              <w:divsChild>
                                <w:div w:id="321471019">
                                  <w:marLeft w:val="0"/>
                                  <w:marRight w:val="0"/>
                                  <w:marTop w:val="0"/>
                                  <w:marBottom w:val="0"/>
                                  <w:divBdr>
                                    <w:top w:val="none" w:sz="0" w:space="0" w:color="auto"/>
                                    <w:left w:val="none" w:sz="0" w:space="0" w:color="auto"/>
                                    <w:bottom w:val="none" w:sz="0" w:space="0" w:color="auto"/>
                                    <w:right w:val="none" w:sz="0" w:space="0" w:color="auto"/>
                                  </w:divBdr>
                                  <w:divsChild>
                                    <w:div w:id="459496525">
                                      <w:marLeft w:val="0"/>
                                      <w:marRight w:val="0"/>
                                      <w:marTop w:val="0"/>
                                      <w:marBottom w:val="0"/>
                                      <w:divBdr>
                                        <w:top w:val="none" w:sz="0" w:space="0" w:color="auto"/>
                                        <w:left w:val="none" w:sz="0" w:space="0" w:color="auto"/>
                                        <w:bottom w:val="none" w:sz="0" w:space="0" w:color="auto"/>
                                        <w:right w:val="none" w:sz="0" w:space="0" w:color="auto"/>
                                      </w:divBdr>
                                      <w:divsChild>
                                        <w:div w:id="562564044">
                                          <w:marLeft w:val="0"/>
                                          <w:marRight w:val="0"/>
                                          <w:marTop w:val="0"/>
                                          <w:marBottom w:val="0"/>
                                          <w:divBdr>
                                            <w:top w:val="none" w:sz="0" w:space="0" w:color="auto"/>
                                            <w:left w:val="none" w:sz="0" w:space="0" w:color="auto"/>
                                            <w:bottom w:val="none" w:sz="0" w:space="0" w:color="auto"/>
                                            <w:right w:val="none" w:sz="0" w:space="0" w:color="auto"/>
                                          </w:divBdr>
                                          <w:divsChild>
                                            <w:div w:id="246962757">
                                              <w:marLeft w:val="0"/>
                                              <w:marRight w:val="0"/>
                                              <w:marTop w:val="0"/>
                                              <w:marBottom w:val="0"/>
                                              <w:divBdr>
                                                <w:top w:val="none" w:sz="0" w:space="0" w:color="auto"/>
                                                <w:left w:val="none" w:sz="0" w:space="0" w:color="auto"/>
                                                <w:bottom w:val="none" w:sz="0" w:space="0" w:color="auto"/>
                                                <w:right w:val="none" w:sz="0" w:space="0" w:color="auto"/>
                                              </w:divBdr>
                                              <w:divsChild>
                                                <w:div w:id="1738242998">
                                                  <w:marLeft w:val="0"/>
                                                  <w:marRight w:val="0"/>
                                                  <w:marTop w:val="0"/>
                                                  <w:marBottom w:val="0"/>
                                                  <w:divBdr>
                                                    <w:top w:val="none" w:sz="0" w:space="0" w:color="auto"/>
                                                    <w:left w:val="none" w:sz="0" w:space="0" w:color="auto"/>
                                                    <w:bottom w:val="none" w:sz="0" w:space="0" w:color="auto"/>
                                                    <w:right w:val="none" w:sz="0" w:space="0" w:color="auto"/>
                                                  </w:divBdr>
                                                  <w:divsChild>
                                                    <w:div w:id="1246452628">
                                                      <w:marLeft w:val="0"/>
                                                      <w:marRight w:val="0"/>
                                                      <w:marTop w:val="0"/>
                                                      <w:marBottom w:val="0"/>
                                                      <w:divBdr>
                                                        <w:top w:val="none" w:sz="0" w:space="0" w:color="auto"/>
                                                        <w:left w:val="none" w:sz="0" w:space="0" w:color="auto"/>
                                                        <w:bottom w:val="none" w:sz="0" w:space="0" w:color="auto"/>
                                                        <w:right w:val="none" w:sz="0" w:space="0" w:color="auto"/>
                                                      </w:divBdr>
                                                      <w:divsChild>
                                                        <w:div w:id="16580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1561">
                                          <w:marLeft w:val="0"/>
                                          <w:marRight w:val="0"/>
                                          <w:marTop w:val="0"/>
                                          <w:marBottom w:val="0"/>
                                          <w:divBdr>
                                            <w:top w:val="none" w:sz="0" w:space="0" w:color="auto"/>
                                            <w:left w:val="none" w:sz="0" w:space="0" w:color="auto"/>
                                            <w:bottom w:val="none" w:sz="0" w:space="0" w:color="auto"/>
                                            <w:right w:val="none" w:sz="0" w:space="0" w:color="auto"/>
                                          </w:divBdr>
                                          <w:divsChild>
                                            <w:div w:id="1815369402">
                                              <w:marLeft w:val="0"/>
                                              <w:marRight w:val="0"/>
                                              <w:marTop w:val="0"/>
                                              <w:marBottom w:val="0"/>
                                              <w:divBdr>
                                                <w:top w:val="none" w:sz="0" w:space="0" w:color="auto"/>
                                                <w:left w:val="none" w:sz="0" w:space="0" w:color="auto"/>
                                                <w:bottom w:val="none" w:sz="0" w:space="0" w:color="auto"/>
                                                <w:right w:val="none" w:sz="0" w:space="0" w:color="auto"/>
                                              </w:divBdr>
                                              <w:divsChild>
                                                <w:div w:id="924873745">
                                                  <w:marLeft w:val="0"/>
                                                  <w:marRight w:val="0"/>
                                                  <w:marTop w:val="0"/>
                                                  <w:marBottom w:val="0"/>
                                                  <w:divBdr>
                                                    <w:top w:val="none" w:sz="0" w:space="0" w:color="auto"/>
                                                    <w:left w:val="none" w:sz="0" w:space="0" w:color="auto"/>
                                                    <w:bottom w:val="none" w:sz="0" w:space="0" w:color="auto"/>
                                                    <w:right w:val="none" w:sz="0" w:space="0" w:color="auto"/>
                                                  </w:divBdr>
                                                  <w:divsChild>
                                                    <w:div w:id="982007066">
                                                      <w:marLeft w:val="0"/>
                                                      <w:marRight w:val="0"/>
                                                      <w:marTop w:val="0"/>
                                                      <w:marBottom w:val="0"/>
                                                      <w:divBdr>
                                                        <w:top w:val="none" w:sz="0" w:space="0" w:color="auto"/>
                                                        <w:left w:val="none" w:sz="0" w:space="0" w:color="auto"/>
                                                        <w:bottom w:val="none" w:sz="0" w:space="0" w:color="auto"/>
                                                        <w:right w:val="none" w:sz="0" w:space="0" w:color="auto"/>
                                                      </w:divBdr>
                                                      <w:divsChild>
                                                        <w:div w:id="2721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1656">
                                                  <w:marLeft w:val="0"/>
                                                  <w:marRight w:val="0"/>
                                                  <w:marTop w:val="0"/>
                                                  <w:marBottom w:val="0"/>
                                                  <w:divBdr>
                                                    <w:top w:val="none" w:sz="0" w:space="0" w:color="auto"/>
                                                    <w:left w:val="none" w:sz="0" w:space="0" w:color="auto"/>
                                                    <w:bottom w:val="none" w:sz="0" w:space="0" w:color="auto"/>
                                                    <w:right w:val="none" w:sz="0" w:space="0" w:color="auto"/>
                                                  </w:divBdr>
                                                  <w:divsChild>
                                                    <w:div w:id="1950697062">
                                                      <w:marLeft w:val="0"/>
                                                      <w:marRight w:val="0"/>
                                                      <w:marTop w:val="0"/>
                                                      <w:marBottom w:val="0"/>
                                                      <w:divBdr>
                                                        <w:top w:val="none" w:sz="0" w:space="0" w:color="auto"/>
                                                        <w:left w:val="none" w:sz="0" w:space="0" w:color="auto"/>
                                                        <w:bottom w:val="none" w:sz="0" w:space="0" w:color="auto"/>
                                                        <w:right w:val="none" w:sz="0" w:space="0" w:color="auto"/>
                                                      </w:divBdr>
                                                      <w:divsChild>
                                                        <w:div w:id="16081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702501">
                  <w:marLeft w:val="0"/>
                  <w:marRight w:val="0"/>
                  <w:marTop w:val="0"/>
                  <w:marBottom w:val="0"/>
                  <w:divBdr>
                    <w:top w:val="none" w:sz="0" w:space="0" w:color="auto"/>
                    <w:left w:val="none" w:sz="0" w:space="0" w:color="auto"/>
                    <w:bottom w:val="none" w:sz="0" w:space="0" w:color="auto"/>
                    <w:right w:val="none" w:sz="0" w:space="0" w:color="auto"/>
                  </w:divBdr>
                  <w:divsChild>
                    <w:div w:id="726800706">
                      <w:marLeft w:val="0"/>
                      <w:marRight w:val="0"/>
                      <w:marTop w:val="0"/>
                      <w:marBottom w:val="0"/>
                      <w:divBdr>
                        <w:top w:val="none" w:sz="0" w:space="0" w:color="auto"/>
                        <w:left w:val="none" w:sz="0" w:space="0" w:color="auto"/>
                        <w:bottom w:val="none" w:sz="0" w:space="0" w:color="auto"/>
                        <w:right w:val="none" w:sz="0" w:space="0" w:color="auto"/>
                      </w:divBdr>
                      <w:divsChild>
                        <w:div w:id="17701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307595">
      <w:bodyDiv w:val="1"/>
      <w:marLeft w:val="0"/>
      <w:marRight w:val="0"/>
      <w:marTop w:val="0"/>
      <w:marBottom w:val="0"/>
      <w:divBdr>
        <w:top w:val="none" w:sz="0" w:space="0" w:color="auto"/>
        <w:left w:val="none" w:sz="0" w:space="0" w:color="auto"/>
        <w:bottom w:val="none" w:sz="0" w:space="0" w:color="auto"/>
        <w:right w:val="none" w:sz="0" w:space="0" w:color="auto"/>
      </w:divBdr>
    </w:div>
    <w:div w:id="1653606876">
      <w:bodyDiv w:val="1"/>
      <w:marLeft w:val="0"/>
      <w:marRight w:val="0"/>
      <w:marTop w:val="0"/>
      <w:marBottom w:val="0"/>
      <w:divBdr>
        <w:top w:val="none" w:sz="0" w:space="0" w:color="auto"/>
        <w:left w:val="none" w:sz="0" w:space="0" w:color="auto"/>
        <w:bottom w:val="none" w:sz="0" w:space="0" w:color="auto"/>
        <w:right w:val="none" w:sz="0" w:space="0" w:color="auto"/>
      </w:divBdr>
    </w:div>
    <w:div w:id="1698198549">
      <w:bodyDiv w:val="1"/>
      <w:marLeft w:val="0"/>
      <w:marRight w:val="0"/>
      <w:marTop w:val="0"/>
      <w:marBottom w:val="0"/>
      <w:divBdr>
        <w:top w:val="none" w:sz="0" w:space="0" w:color="auto"/>
        <w:left w:val="none" w:sz="0" w:space="0" w:color="auto"/>
        <w:bottom w:val="none" w:sz="0" w:space="0" w:color="auto"/>
        <w:right w:val="none" w:sz="0" w:space="0" w:color="auto"/>
      </w:divBdr>
    </w:div>
    <w:div w:id="1699358558">
      <w:bodyDiv w:val="1"/>
      <w:marLeft w:val="0"/>
      <w:marRight w:val="0"/>
      <w:marTop w:val="0"/>
      <w:marBottom w:val="0"/>
      <w:divBdr>
        <w:top w:val="none" w:sz="0" w:space="0" w:color="auto"/>
        <w:left w:val="none" w:sz="0" w:space="0" w:color="auto"/>
        <w:bottom w:val="none" w:sz="0" w:space="0" w:color="auto"/>
        <w:right w:val="none" w:sz="0" w:space="0" w:color="auto"/>
      </w:divBdr>
    </w:div>
    <w:div w:id="1718892700">
      <w:bodyDiv w:val="1"/>
      <w:marLeft w:val="0"/>
      <w:marRight w:val="0"/>
      <w:marTop w:val="0"/>
      <w:marBottom w:val="0"/>
      <w:divBdr>
        <w:top w:val="none" w:sz="0" w:space="0" w:color="auto"/>
        <w:left w:val="none" w:sz="0" w:space="0" w:color="auto"/>
        <w:bottom w:val="none" w:sz="0" w:space="0" w:color="auto"/>
        <w:right w:val="none" w:sz="0" w:space="0" w:color="auto"/>
      </w:divBdr>
    </w:div>
    <w:div w:id="1719625140">
      <w:bodyDiv w:val="1"/>
      <w:marLeft w:val="0"/>
      <w:marRight w:val="0"/>
      <w:marTop w:val="0"/>
      <w:marBottom w:val="0"/>
      <w:divBdr>
        <w:top w:val="none" w:sz="0" w:space="0" w:color="auto"/>
        <w:left w:val="none" w:sz="0" w:space="0" w:color="auto"/>
        <w:bottom w:val="none" w:sz="0" w:space="0" w:color="auto"/>
        <w:right w:val="none" w:sz="0" w:space="0" w:color="auto"/>
      </w:divBdr>
    </w:div>
    <w:div w:id="1730762154">
      <w:bodyDiv w:val="1"/>
      <w:marLeft w:val="0"/>
      <w:marRight w:val="0"/>
      <w:marTop w:val="0"/>
      <w:marBottom w:val="0"/>
      <w:divBdr>
        <w:top w:val="none" w:sz="0" w:space="0" w:color="auto"/>
        <w:left w:val="none" w:sz="0" w:space="0" w:color="auto"/>
        <w:bottom w:val="none" w:sz="0" w:space="0" w:color="auto"/>
        <w:right w:val="none" w:sz="0" w:space="0" w:color="auto"/>
      </w:divBdr>
    </w:div>
    <w:div w:id="1749384438">
      <w:bodyDiv w:val="1"/>
      <w:marLeft w:val="0"/>
      <w:marRight w:val="0"/>
      <w:marTop w:val="0"/>
      <w:marBottom w:val="0"/>
      <w:divBdr>
        <w:top w:val="none" w:sz="0" w:space="0" w:color="auto"/>
        <w:left w:val="none" w:sz="0" w:space="0" w:color="auto"/>
        <w:bottom w:val="none" w:sz="0" w:space="0" w:color="auto"/>
        <w:right w:val="none" w:sz="0" w:space="0" w:color="auto"/>
      </w:divBdr>
    </w:div>
    <w:div w:id="1750733155">
      <w:bodyDiv w:val="1"/>
      <w:marLeft w:val="0"/>
      <w:marRight w:val="0"/>
      <w:marTop w:val="0"/>
      <w:marBottom w:val="0"/>
      <w:divBdr>
        <w:top w:val="none" w:sz="0" w:space="0" w:color="auto"/>
        <w:left w:val="none" w:sz="0" w:space="0" w:color="auto"/>
        <w:bottom w:val="none" w:sz="0" w:space="0" w:color="auto"/>
        <w:right w:val="none" w:sz="0" w:space="0" w:color="auto"/>
      </w:divBdr>
      <w:divsChild>
        <w:div w:id="151919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550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057192">
      <w:bodyDiv w:val="1"/>
      <w:marLeft w:val="0"/>
      <w:marRight w:val="0"/>
      <w:marTop w:val="0"/>
      <w:marBottom w:val="0"/>
      <w:divBdr>
        <w:top w:val="none" w:sz="0" w:space="0" w:color="auto"/>
        <w:left w:val="none" w:sz="0" w:space="0" w:color="auto"/>
        <w:bottom w:val="none" w:sz="0" w:space="0" w:color="auto"/>
        <w:right w:val="none" w:sz="0" w:space="0" w:color="auto"/>
      </w:divBdr>
      <w:divsChild>
        <w:div w:id="1188640327">
          <w:marLeft w:val="0"/>
          <w:marRight w:val="0"/>
          <w:marTop w:val="0"/>
          <w:marBottom w:val="0"/>
          <w:divBdr>
            <w:top w:val="none" w:sz="0" w:space="0" w:color="auto"/>
            <w:left w:val="none" w:sz="0" w:space="0" w:color="auto"/>
            <w:bottom w:val="none" w:sz="0" w:space="0" w:color="auto"/>
            <w:right w:val="none" w:sz="0" w:space="0" w:color="auto"/>
          </w:divBdr>
        </w:div>
      </w:divsChild>
    </w:div>
    <w:div w:id="1772623746">
      <w:bodyDiv w:val="1"/>
      <w:marLeft w:val="0"/>
      <w:marRight w:val="0"/>
      <w:marTop w:val="0"/>
      <w:marBottom w:val="0"/>
      <w:divBdr>
        <w:top w:val="none" w:sz="0" w:space="0" w:color="auto"/>
        <w:left w:val="none" w:sz="0" w:space="0" w:color="auto"/>
        <w:bottom w:val="none" w:sz="0" w:space="0" w:color="auto"/>
        <w:right w:val="none" w:sz="0" w:space="0" w:color="auto"/>
      </w:divBdr>
    </w:div>
    <w:div w:id="1781031318">
      <w:bodyDiv w:val="1"/>
      <w:marLeft w:val="0"/>
      <w:marRight w:val="0"/>
      <w:marTop w:val="0"/>
      <w:marBottom w:val="0"/>
      <w:divBdr>
        <w:top w:val="none" w:sz="0" w:space="0" w:color="auto"/>
        <w:left w:val="none" w:sz="0" w:space="0" w:color="auto"/>
        <w:bottom w:val="none" w:sz="0" w:space="0" w:color="auto"/>
        <w:right w:val="none" w:sz="0" w:space="0" w:color="auto"/>
      </w:divBdr>
    </w:div>
    <w:div w:id="1781485393">
      <w:bodyDiv w:val="1"/>
      <w:marLeft w:val="0"/>
      <w:marRight w:val="0"/>
      <w:marTop w:val="0"/>
      <w:marBottom w:val="0"/>
      <w:divBdr>
        <w:top w:val="none" w:sz="0" w:space="0" w:color="auto"/>
        <w:left w:val="none" w:sz="0" w:space="0" w:color="auto"/>
        <w:bottom w:val="none" w:sz="0" w:space="0" w:color="auto"/>
        <w:right w:val="none" w:sz="0" w:space="0" w:color="auto"/>
      </w:divBdr>
    </w:div>
    <w:div w:id="1781949206">
      <w:bodyDiv w:val="1"/>
      <w:marLeft w:val="0"/>
      <w:marRight w:val="0"/>
      <w:marTop w:val="0"/>
      <w:marBottom w:val="0"/>
      <w:divBdr>
        <w:top w:val="none" w:sz="0" w:space="0" w:color="auto"/>
        <w:left w:val="none" w:sz="0" w:space="0" w:color="auto"/>
        <w:bottom w:val="none" w:sz="0" w:space="0" w:color="auto"/>
        <w:right w:val="none" w:sz="0" w:space="0" w:color="auto"/>
      </w:divBdr>
    </w:div>
    <w:div w:id="1813213115">
      <w:bodyDiv w:val="1"/>
      <w:marLeft w:val="0"/>
      <w:marRight w:val="0"/>
      <w:marTop w:val="0"/>
      <w:marBottom w:val="0"/>
      <w:divBdr>
        <w:top w:val="none" w:sz="0" w:space="0" w:color="auto"/>
        <w:left w:val="none" w:sz="0" w:space="0" w:color="auto"/>
        <w:bottom w:val="none" w:sz="0" w:space="0" w:color="auto"/>
        <w:right w:val="none" w:sz="0" w:space="0" w:color="auto"/>
      </w:divBdr>
    </w:div>
    <w:div w:id="1817453194">
      <w:bodyDiv w:val="1"/>
      <w:marLeft w:val="0"/>
      <w:marRight w:val="0"/>
      <w:marTop w:val="0"/>
      <w:marBottom w:val="0"/>
      <w:divBdr>
        <w:top w:val="none" w:sz="0" w:space="0" w:color="auto"/>
        <w:left w:val="none" w:sz="0" w:space="0" w:color="auto"/>
        <w:bottom w:val="none" w:sz="0" w:space="0" w:color="auto"/>
        <w:right w:val="none" w:sz="0" w:space="0" w:color="auto"/>
      </w:divBdr>
    </w:div>
    <w:div w:id="1842625465">
      <w:bodyDiv w:val="1"/>
      <w:marLeft w:val="0"/>
      <w:marRight w:val="0"/>
      <w:marTop w:val="0"/>
      <w:marBottom w:val="0"/>
      <w:divBdr>
        <w:top w:val="none" w:sz="0" w:space="0" w:color="auto"/>
        <w:left w:val="none" w:sz="0" w:space="0" w:color="auto"/>
        <w:bottom w:val="none" w:sz="0" w:space="0" w:color="auto"/>
        <w:right w:val="none" w:sz="0" w:space="0" w:color="auto"/>
      </w:divBdr>
    </w:div>
    <w:div w:id="1843811834">
      <w:bodyDiv w:val="1"/>
      <w:marLeft w:val="0"/>
      <w:marRight w:val="0"/>
      <w:marTop w:val="0"/>
      <w:marBottom w:val="0"/>
      <w:divBdr>
        <w:top w:val="none" w:sz="0" w:space="0" w:color="auto"/>
        <w:left w:val="none" w:sz="0" w:space="0" w:color="auto"/>
        <w:bottom w:val="none" w:sz="0" w:space="0" w:color="auto"/>
        <w:right w:val="none" w:sz="0" w:space="0" w:color="auto"/>
      </w:divBdr>
    </w:div>
    <w:div w:id="1893543272">
      <w:bodyDiv w:val="1"/>
      <w:marLeft w:val="0"/>
      <w:marRight w:val="0"/>
      <w:marTop w:val="0"/>
      <w:marBottom w:val="0"/>
      <w:divBdr>
        <w:top w:val="none" w:sz="0" w:space="0" w:color="auto"/>
        <w:left w:val="none" w:sz="0" w:space="0" w:color="auto"/>
        <w:bottom w:val="none" w:sz="0" w:space="0" w:color="auto"/>
        <w:right w:val="none" w:sz="0" w:space="0" w:color="auto"/>
      </w:divBdr>
    </w:div>
    <w:div w:id="1899048765">
      <w:bodyDiv w:val="1"/>
      <w:marLeft w:val="0"/>
      <w:marRight w:val="0"/>
      <w:marTop w:val="0"/>
      <w:marBottom w:val="0"/>
      <w:divBdr>
        <w:top w:val="none" w:sz="0" w:space="0" w:color="auto"/>
        <w:left w:val="none" w:sz="0" w:space="0" w:color="auto"/>
        <w:bottom w:val="none" w:sz="0" w:space="0" w:color="auto"/>
        <w:right w:val="none" w:sz="0" w:space="0" w:color="auto"/>
      </w:divBdr>
    </w:div>
    <w:div w:id="1904020729">
      <w:bodyDiv w:val="1"/>
      <w:marLeft w:val="0"/>
      <w:marRight w:val="0"/>
      <w:marTop w:val="0"/>
      <w:marBottom w:val="0"/>
      <w:divBdr>
        <w:top w:val="none" w:sz="0" w:space="0" w:color="auto"/>
        <w:left w:val="none" w:sz="0" w:space="0" w:color="auto"/>
        <w:bottom w:val="none" w:sz="0" w:space="0" w:color="auto"/>
        <w:right w:val="none" w:sz="0" w:space="0" w:color="auto"/>
      </w:divBdr>
    </w:div>
    <w:div w:id="1919905751">
      <w:bodyDiv w:val="1"/>
      <w:marLeft w:val="0"/>
      <w:marRight w:val="0"/>
      <w:marTop w:val="0"/>
      <w:marBottom w:val="0"/>
      <w:divBdr>
        <w:top w:val="none" w:sz="0" w:space="0" w:color="auto"/>
        <w:left w:val="none" w:sz="0" w:space="0" w:color="auto"/>
        <w:bottom w:val="none" w:sz="0" w:space="0" w:color="auto"/>
        <w:right w:val="none" w:sz="0" w:space="0" w:color="auto"/>
      </w:divBdr>
    </w:div>
    <w:div w:id="1923023633">
      <w:bodyDiv w:val="1"/>
      <w:marLeft w:val="0"/>
      <w:marRight w:val="0"/>
      <w:marTop w:val="0"/>
      <w:marBottom w:val="0"/>
      <w:divBdr>
        <w:top w:val="none" w:sz="0" w:space="0" w:color="auto"/>
        <w:left w:val="none" w:sz="0" w:space="0" w:color="auto"/>
        <w:bottom w:val="none" w:sz="0" w:space="0" w:color="auto"/>
        <w:right w:val="none" w:sz="0" w:space="0" w:color="auto"/>
      </w:divBdr>
    </w:div>
    <w:div w:id="1925189699">
      <w:bodyDiv w:val="1"/>
      <w:marLeft w:val="0"/>
      <w:marRight w:val="0"/>
      <w:marTop w:val="0"/>
      <w:marBottom w:val="0"/>
      <w:divBdr>
        <w:top w:val="none" w:sz="0" w:space="0" w:color="auto"/>
        <w:left w:val="none" w:sz="0" w:space="0" w:color="auto"/>
        <w:bottom w:val="none" w:sz="0" w:space="0" w:color="auto"/>
        <w:right w:val="none" w:sz="0" w:space="0" w:color="auto"/>
      </w:divBdr>
      <w:divsChild>
        <w:div w:id="1749229254">
          <w:marLeft w:val="0"/>
          <w:marRight w:val="0"/>
          <w:marTop w:val="0"/>
          <w:marBottom w:val="0"/>
          <w:divBdr>
            <w:top w:val="none" w:sz="0" w:space="0" w:color="auto"/>
            <w:left w:val="none" w:sz="0" w:space="0" w:color="auto"/>
            <w:bottom w:val="none" w:sz="0" w:space="0" w:color="auto"/>
            <w:right w:val="none" w:sz="0" w:space="0" w:color="auto"/>
          </w:divBdr>
        </w:div>
        <w:div w:id="544759217">
          <w:marLeft w:val="0"/>
          <w:marRight w:val="0"/>
          <w:marTop w:val="0"/>
          <w:marBottom w:val="0"/>
          <w:divBdr>
            <w:top w:val="none" w:sz="0" w:space="0" w:color="auto"/>
            <w:left w:val="none" w:sz="0" w:space="0" w:color="auto"/>
            <w:bottom w:val="none" w:sz="0" w:space="0" w:color="auto"/>
            <w:right w:val="none" w:sz="0" w:space="0" w:color="auto"/>
          </w:divBdr>
        </w:div>
      </w:divsChild>
    </w:div>
    <w:div w:id="1939823590">
      <w:bodyDiv w:val="1"/>
      <w:marLeft w:val="0"/>
      <w:marRight w:val="0"/>
      <w:marTop w:val="0"/>
      <w:marBottom w:val="0"/>
      <w:divBdr>
        <w:top w:val="none" w:sz="0" w:space="0" w:color="auto"/>
        <w:left w:val="none" w:sz="0" w:space="0" w:color="auto"/>
        <w:bottom w:val="none" w:sz="0" w:space="0" w:color="auto"/>
        <w:right w:val="none" w:sz="0" w:space="0" w:color="auto"/>
      </w:divBdr>
    </w:div>
    <w:div w:id="1956671683">
      <w:bodyDiv w:val="1"/>
      <w:marLeft w:val="0"/>
      <w:marRight w:val="0"/>
      <w:marTop w:val="0"/>
      <w:marBottom w:val="0"/>
      <w:divBdr>
        <w:top w:val="none" w:sz="0" w:space="0" w:color="auto"/>
        <w:left w:val="none" w:sz="0" w:space="0" w:color="auto"/>
        <w:bottom w:val="none" w:sz="0" w:space="0" w:color="auto"/>
        <w:right w:val="none" w:sz="0" w:space="0" w:color="auto"/>
      </w:divBdr>
    </w:div>
    <w:div w:id="1965307839">
      <w:bodyDiv w:val="1"/>
      <w:marLeft w:val="0"/>
      <w:marRight w:val="0"/>
      <w:marTop w:val="0"/>
      <w:marBottom w:val="0"/>
      <w:divBdr>
        <w:top w:val="none" w:sz="0" w:space="0" w:color="auto"/>
        <w:left w:val="none" w:sz="0" w:space="0" w:color="auto"/>
        <w:bottom w:val="none" w:sz="0" w:space="0" w:color="auto"/>
        <w:right w:val="none" w:sz="0" w:space="0" w:color="auto"/>
      </w:divBdr>
    </w:div>
    <w:div w:id="1984046616">
      <w:bodyDiv w:val="1"/>
      <w:marLeft w:val="0"/>
      <w:marRight w:val="0"/>
      <w:marTop w:val="0"/>
      <w:marBottom w:val="0"/>
      <w:divBdr>
        <w:top w:val="none" w:sz="0" w:space="0" w:color="auto"/>
        <w:left w:val="none" w:sz="0" w:space="0" w:color="auto"/>
        <w:bottom w:val="none" w:sz="0" w:space="0" w:color="auto"/>
        <w:right w:val="none" w:sz="0" w:space="0" w:color="auto"/>
      </w:divBdr>
    </w:div>
    <w:div w:id="2022124398">
      <w:bodyDiv w:val="1"/>
      <w:marLeft w:val="0"/>
      <w:marRight w:val="0"/>
      <w:marTop w:val="0"/>
      <w:marBottom w:val="0"/>
      <w:divBdr>
        <w:top w:val="none" w:sz="0" w:space="0" w:color="auto"/>
        <w:left w:val="none" w:sz="0" w:space="0" w:color="auto"/>
        <w:bottom w:val="none" w:sz="0" w:space="0" w:color="auto"/>
        <w:right w:val="none" w:sz="0" w:space="0" w:color="auto"/>
      </w:divBdr>
    </w:div>
    <w:div w:id="2022659488">
      <w:bodyDiv w:val="1"/>
      <w:marLeft w:val="0"/>
      <w:marRight w:val="0"/>
      <w:marTop w:val="0"/>
      <w:marBottom w:val="0"/>
      <w:divBdr>
        <w:top w:val="none" w:sz="0" w:space="0" w:color="auto"/>
        <w:left w:val="none" w:sz="0" w:space="0" w:color="auto"/>
        <w:bottom w:val="none" w:sz="0" w:space="0" w:color="auto"/>
        <w:right w:val="none" w:sz="0" w:space="0" w:color="auto"/>
      </w:divBdr>
    </w:div>
    <w:div w:id="2027562307">
      <w:bodyDiv w:val="1"/>
      <w:marLeft w:val="0"/>
      <w:marRight w:val="0"/>
      <w:marTop w:val="0"/>
      <w:marBottom w:val="0"/>
      <w:divBdr>
        <w:top w:val="none" w:sz="0" w:space="0" w:color="auto"/>
        <w:left w:val="none" w:sz="0" w:space="0" w:color="auto"/>
        <w:bottom w:val="none" w:sz="0" w:space="0" w:color="auto"/>
        <w:right w:val="none" w:sz="0" w:space="0" w:color="auto"/>
      </w:divBdr>
    </w:div>
    <w:div w:id="2037274001">
      <w:bodyDiv w:val="1"/>
      <w:marLeft w:val="0"/>
      <w:marRight w:val="0"/>
      <w:marTop w:val="0"/>
      <w:marBottom w:val="0"/>
      <w:divBdr>
        <w:top w:val="none" w:sz="0" w:space="0" w:color="auto"/>
        <w:left w:val="none" w:sz="0" w:space="0" w:color="auto"/>
        <w:bottom w:val="none" w:sz="0" w:space="0" w:color="auto"/>
        <w:right w:val="none" w:sz="0" w:space="0" w:color="auto"/>
      </w:divBdr>
    </w:div>
    <w:div w:id="2070153377">
      <w:bodyDiv w:val="1"/>
      <w:marLeft w:val="0"/>
      <w:marRight w:val="0"/>
      <w:marTop w:val="0"/>
      <w:marBottom w:val="0"/>
      <w:divBdr>
        <w:top w:val="none" w:sz="0" w:space="0" w:color="auto"/>
        <w:left w:val="none" w:sz="0" w:space="0" w:color="auto"/>
        <w:bottom w:val="none" w:sz="0" w:space="0" w:color="auto"/>
        <w:right w:val="none" w:sz="0" w:space="0" w:color="auto"/>
      </w:divBdr>
    </w:div>
    <w:div w:id="2085254213">
      <w:bodyDiv w:val="1"/>
      <w:marLeft w:val="0"/>
      <w:marRight w:val="0"/>
      <w:marTop w:val="0"/>
      <w:marBottom w:val="0"/>
      <w:divBdr>
        <w:top w:val="none" w:sz="0" w:space="0" w:color="auto"/>
        <w:left w:val="none" w:sz="0" w:space="0" w:color="auto"/>
        <w:bottom w:val="none" w:sz="0" w:space="0" w:color="auto"/>
        <w:right w:val="none" w:sz="0" w:space="0" w:color="auto"/>
      </w:divBdr>
    </w:div>
    <w:div w:id="2095395238">
      <w:bodyDiv w:val="1"/>
      <w:marLeft w:val="0"/>
      <w:marRight w:val="0"/>
      <w:marTop w:val="0"/>
      <w:marBottom w:val="0"/>
      <w:divBdr>
        <w:top w:val="none" w:sz="0" w:space="0" w:color="auto"/>
        <w:left w:val="none" w:sz="0" w:space="0" w:color="auto"/>
        <w:bottom w:val="none" w:sz="0" w:space="0" w:color="auto"/>
        <w:right w:val="none" w:sz="0" w:space="0" w:color="auto"/>
      </w:divBdr>
    </w:div>
    <w:div w:id="2109885881">
      <w:bodyDiv w:val="1"/>
      <w:marLeft w:val="0"/>
      <w:marRight w:val="0"/>
      <w:marTop w:val="0"/>
      <w:marBottom w:val="0"/>
      <w:divBdr>
        <w:top w:val="none" w:sz="0" w:space="0" w:color="auto"/>
        <w:left w:val="none" w:sz="0" w:space="0" w:color="auto"/>
        <w:bottom w:val="none" w:sz="0" w:space="0" w:color="auto"/>
        <w:right w:val="none" w:sz="0" w:space="0" w:color="auto"/>
      </w:divBdr>
    </w:div>
    <w:div w:id="2116751590">
      <w:bodyDiv w:val="1"/>
      <w:marLeft w:val="0"/>
      <w:marRight w:val="0"/>
      <w:marTop w:val="0"/>
      <w:marBottom w:val="0"/>
      <w:divBdr>
        <w:top w:val="none" w:sz="0" w:space="0" w:color="auto"/>
        <w:left w:val="none" w:sz="0" w:space="0" w:color="auto"/>
        <w:bottom w:val="none" w:sz="0" w:space="0" w:color="auto"/>
        <w:right w:val="none" w:sz="0" w:space="0" w:color="auto"/>
      </w:divBdr>
    </w:div>
    <w:div w:id="2121145067">
      <w:bodyDiv w:val="1"/>
      <w:marLeft w:val="0"/>
      <w:marRight w:val="0"/>
      <w:marTop w:val="0"/>
      <w:marBottom w:val="0"/>
      <w:divBdr>
        <w:top w:val="none" w:sz="0" w:space="0" w:color="auto"/>
        <w:left w:val="none" w:sz="0" w:space="0" w:color="auto"/>
        <w:bottom w:val="none" w:sz="0" w:space="0" w:color="auto"/>
        <w:right w:val="none" w:sz="0" w:space="0" w:color="auto"/>
      </w:divBdr>
      <w:divsChild>
        <w:div w:id="1276521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020478">
      <w:bodyDiv w:val="1"/>
      <w:marLeft w:val="0"/>
      <w:marRight w:val="0"/>
      <w:marTop w:val="0"/>
      <w:marBottom w:val="0"/>
      <w:divBdr>
        <w:top w:val="none" w:sz="0" w:space="0" w:color="auto"/>
        <w:left w:val="none" w:sz="0" w:space="0" w:color="auto"/>
        <w:bottom w:val="none" w:sz="0" w:space="0" w:color="auto"/>
        <w:right w:val="none" w:sz="0" w:space="0" w:color="auto"/>
      </w:divBdr>
    </w:div>
    <w:div w:id="213879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www.newtifi.com/publishing/journals/restructuring" TargetMode="External"/><Relationship Id="rId10" Type="http://schemas.openxmlformats.org/officeDocument/2006/relationships/image" Target="media/image2.sv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s>
</file>

<file path=word/_rels/footnotes.xml.rels><?xml version="1.0" encoding="UTF-8" standalone="yes"?>
<Relationships xmlns="http://schemas.openxmlformats.org/package/2006/relationships"><Relationship Id="rId8" Type="http://schemas.openxmlformats.org/officeDocument/2006/relationships/hyperlink" Target="https://www.cssf.lu/wp-content/uploads/L_230716_RAIF_eng.pdf" TargetMode="External"/><Relationship Id="rId13" Type="http://schemas.openxmlformats.org/officeDocument/2006/relationships/hyperlink" Target="https://eur-lex.europa.eu/LexUriServ/LexUriServ.do?uri=OJ:L:2003:124:0036:0041:en:PDF" TargetMode="External"/><Relationship Id="rId3" Type="http://schemas.openxmlformats.org/officeDocument/2006/relationships/hyperlink" Target="https://legilux.public.lu/eli/etat/leg/loi/2004/06/15/n1/jo" TargetMode="External"/><Relationship Id="rId7" Type="http://schemas.openxmlformats.org/officeDocument/2006/relationships/hyperlink" Target="https://legilux.public.lu/eli/etat/leg/loi/2023/07/21/a442/jo" TargetMode="External"/><Relationship Id="rId12" Type="http://schemas.openxmlformats.org/officeDocument/2006/relationships/hyperlink" Target="https://www.studocu.com/row/document/universite-du-luxembourg/droit-commercial/lecon-5-notion-de-commercant-en-droit-commercial-bachelor-droit/135456456" TargetMode="External"/><Relationship Id="rId2" Type="http://schemas.openxmlformats.org/officeDocument/2006/relationships/hyperlink" Target="https://www.cssf.lu/wp-content/uploads/L_130207_SIF.pdf" TargetMode="External"/><Relationship Id="rId1" Type="http://schemas.openxmlformats.org/officeDocument/2006/relationships/hyperlink" Target="https://legilux.public.lu/eli/etat/leg/loi/2007/02/13/n1/jo" TargetMode="External"/><Relationship Id="rId6" Type="http://schemas.openxmlformats.org/officeDocument/2006/relationships/hyperlink" Target="https://www.cssf.lu/wp-content/uploads/L_171210_UCI.pdf" TargetMode="External"/><Relationship Id="rId11" Type="http://schemas.openxmlformats.org/officeDocument/2006/relationships/hyperlink" Target="https://legilux.public.lu/filestore/eli/dl/pl/2023/82/doc/dpl/2/fr/pdf/eli-dl-pl-2023-82-doc-dpl-2-fr-pdf.pdf" TargetMode="External"/><Relationship Id="rId5" Type="http://schemas.openxmlformats.org/officeDocument/2006/relationships/hyperlink" Target="https://legilux.public.lu/eli/etat/leg/loi/2010/12/17/n9/jo" TargetMode="External"/><Relationship Id="rId10" Type="http://schemas.openxmlformats.org/officeDocument/2006/relationships/hyperlink" Target="https://legilux.public.lu/filestore/eli/dl/pl/2023/82/doc/dpl/2/fr/pdf/eli-dl-pl-2023-82-doc-dpl-2-fr-pdf.pdf" TargetMode="External"/><Relationship Id="rId4" Type="http://schemas.openxmlformats.org/officeDocument/2006/relationships/hyperlink" Target="https://www.cssf.lu/wp-content/uploads/L_150604_SICAReng.pdf" TargetMode="External"/><Relationship Id="rId9" Type="http://schemas.openxmlformats.org/officeDocument/2006/relationships/hyperlink" Target="https://www.ibanet.org/MediaHandler?id=919A9399-7C92-45D4-9864-FAF657E0F83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F28DA-3E47-4346-8918-36CEFEBFE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3958</TotalTime>
  <Pages>12</Pages>
  <Words>6195</Words>
  <Characters>35315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Ezechiel Havrenne</dc:creator>
  <cp:keywords/>
  <dc:description/>
  <cp:lastModifiedBy>Ezechiel Havrenne</cp:lastModifiedBy>
  <cp:revision>22</cp:revision>
  <cp:lastPrinted>2025-06-28T09:52:00Z</cp:lastPrinted>
  <dcterms:created xsi:type="dcterms:W3CDTF">2025-12-09T18:58:00Z</dcterms:created>
  <dcterms:modified xsi:type="dcterms:W3CDTF">2026-01-07T07:26:00Z</dcterms:modified>
</cp:coreProperties>
</file>