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0F0FD" w14:textId="77777777" w:rsidR="00035CA1" w:rsidRPr="00307D85" w:rsidRDefault="00035CA1" w:rsidP="00437F0B">
      <w:pPr>
        <w:pStyle w:val="BodyText"/>
        <w:spacing w:before="120"/>
        <w:ind w:left="-142"/>
        <w:rPr>
          <w:rFonts w:ascii="Verdana" w:hAnsi="Verdana"/>
          <w:b/>
          <w:sz w:val="10"/>
          <w:szCs w:val="15"/>
          <w:lang w:val="en-GB"/>
        </w:rPr>
      </w:pPr>
      <w:r w:rsidRPr="00307D85">
        <w:rPr>
          <w:rFonts w:ascii="Verdana" w:hAnsi="Verdana"/>
          <w:b/>
          <w:noProof/>
          <w:sz w:val="10"/>
          <w:szCs w:val="15"/>
          <w:lang w:val="en-GB"/>
        </w:rPr>
        <mc:AlternateContent>
          <mc:Choice Requires="wps">
            <w:drawing>
              <wp:anchor distT="0" distB="0" distL="0" distR="0" simplePos="0" relativeHeight="251662336" behindDoc="1" locked="0" layoutInCell="1" allowOverlap="1" wp14:anchorId="034A024A" wp14:editId="49468555">
                <wp:simplePos x="0" y="0"/>
                <wp:positionH relativeFrom="page">
                  <wp:posOffset>443159</wp:posOffset>
                </wp:positionH>
                <wp:positionV relativeFrom="paragraph">
                  <wp:posOffset>165784</wp:posOffset>
                </wp:positionV>
                <wp:extent cx="6668134"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EBCBC" id="Graphic 6" o:spid="_x0000_s1026" style="position:absolute;margin-left:34.9pt;margin-top:13.05pt;width:525.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640"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35CA1" w:rsidRPr="00307D85" w14:paraId="644D8F62" w14:textId="77777777" w:rsidTr="00112270">
        <w:tc>
          <w:tcPr>
            <w:tcW w:w="9640" w:type="dxa"/>
          </w:tcPr>
          <w:p w14:paraId="4774BB98" w14:textId="5C4DA4B2" w:rsidR="004E269A" w:rsidRPr="00307D85" w:rsidRDefault="002531C8" w:rsidP="00437F0B">
            <w:pPr>
              <w:pStyle w:val="NormalWeb"/>
              <w:spacing w:before="120" w:beforeAutospacing="0" w:after="0" w:afterAutospacing="0"/>
              <w:jc w:val="both"/>
              <w:rPr>
                <w:rFonts w:ascii="Verdana" w:hAnsi="Verdana"/>
                <w:b w:val="0"/>
                <w:bCs w:val="0"/>
                <w:color w:val="002060"/>
                <w:sz w:val="32"/>
                <w:szCs w:val="32"/>
                <w:lang w:val="en-GB"/>
              </w:rPr>
            </w:pPr>
            <w:r>
              <w:rPr>
                <w:rFonts w:ascii="Verdana" w:hAnsi="Verdana"/>
                <w:i/>
                <w:iCs/>
                <w:color w:val="002060"/>
                <w:sz w:val="32"/>
                <w:szCs w:val="32"/>
                <w:lang w:val="en-GB"/>
              </w:rPr>
              <w:t xml:space="preserve">Ipso Jure </w:t>
            </w:r>
            <w:r w:rsidR="004A5515" w:rsidRPr="00307D85">
              <w:rPr>
                <w:rFonts w:ascii="Verdana" w:hAnsi="Verdana"/>
                <w:color w:val="002060"/>
                <w:sz w:val="32"/>
                <w:szCs w:val="32"/>
                <w:lang w:val="en-GB"/>
              </w:rPr>
              <w:t>Dissolution</w:t>
            </w:r>
            <w:r w:rsidR="004E269A" w:rsidRPr="00307D85">
              <w:rPr>
                <w:rFonts w:ascii="Verdana" w:hAnsi="Verdana"/>
                <w:color w:val="002060"/>
                <w:sz w:val="32"/>
                <w:szCs w:val="32"/>
                <w:lang w:val="en-GB"/>
              </w:rPr>
              <w:t xml:space="preserve"> </w:t>
            </w:r>
            <w:r>
              <w:rPr>
                <w:rFonts w:ascii="Verdana" w:hAnsi="Verdana"/>
                <w:color w:val="002060"/>
                <w:sz w:val="32"/>
                <w:szCs w:val="32"/>
                <w:lang w:val="en-GB"/>
              </w:rPr>
              <w:t>and Liquidation in</w:t>
            </w:r>
            <w:r w:rsidR="004E269A" w:rsidRPr="00307D85">
              <w:rPr>
                <w:rFonts w:ascii="Verdana" w:hAnsi="Verdana"/>
                <w:color w:val="002060"/>
                <w:sz w:val="32"/>
                <w:szCs w:val="32"/>
                <w:lang w:val="en-GB"/>
              </w:rPr>
              <w:t xml:space="preserve"> Luxembourg</w:t>
            </w:r>
            <w:r w:rsidR="00F44CFD" w:rsidRPr="00307D85">
              <w:rPr>
                <w:rFonts w:ascii="Verdana" w:hAnsi="Verdana"/>
                <w:color w:val="002060"/>
                <w:sz w:val="32"/>
                <w:szCs w:val="32"/>
                <w:lang w:val="en-GB"/>
              </w:rPr>
              <w:t xml:space="preserve"> Investment Funds</w:t>
            </w:r>
          </w:p>
        </w:tc>
      </w:tr>
      <w:tr w:rsidR="00035CA1" w:rsidRPr="00307D85" w14:paraId="3FCD02A3" w14:textId="77777777" w:rsidTr="00112270">
        <w:tc>
          <w:tcPr>
            <w:tcW w:w="9640" w:type="dxa"/>
          </w:tcPr>
          <w:p w14:paraId="0E82824A" w14:textId="32E37CBF" w:rsidR="00035CA1" w:rsidRPr="00307D85" w:rsidRDefault="002531C8" w:rsidP="00437F0B">
            <w:pPr>
              <w:pStyle w:val="NormalWeb"/>
              <w:spacing w:before="120" w:beforeAutospacing="0" w:after="0" w:afterAutospacing="0"/>
              <w:jc w:val="both"/>
              <w:rPr>
                <w:rFonts w:ascii="Verdana" w:hAnsi="Verdana"/>
                <w:b w:val="0"/>
                <w:bCs w:val="0"/>
                <w:color w:val="002060"/>
                <w:sz w:val="28"/>
                <w:szCs w:val="28"/>
                <w:lang w:val="en-GB"/>
              </w:rPr>
            </w:pPr>
            <w:r>
              <w:rPr>
                <w:rFonts w:ascii="Verdana" w:hAnsi="Verdana"/>
                <w:color w:val="002060"/>
                <w:sz w:val="21"/>
                <w:szCs w:val="21"/>
                <w:lang w:val="en-GB"/>
              </w:rPr>
              <w:t>A Doctrinal Analysis of Civil Code and Product Fund Law Triggers</w:t>
            </w:r>
          </w:p>
        </w:tc>
      </w:tr>
      <w:tr w:rsidR="004E269A" w:rsidRPr="00307D85" w14:paraId="6E55619F" w14:textId="77777777" w:rsidTr="00112270">
        <w:trPr>
          <w:trHeight w:val="76"/>
        </w:trPr>
        <w:tc>
          <w:tcPr>
            <w:tcW w:w="9640" w:type="dxa"/>
          </w:tcPr>
          <w:p w14:paraId="36EAF212" w14:textId="300D816E" w:rsidR="004E269A" w:rsidRPr="00307D85" w:rsidRDefault="004E269A" w:rsidP="004E269A">
            <w:pPr>
              <w:pStyle w:val="NormalWeb"/>
              <w:spacing w:before="120" w:beforeAutospacing="0" w:after="0" w:afterAutospacing="0"/>
              <w:jc w:val="both"/>
              <w:rPr>
                <w:rFonts w:ascii="Verdana" w:hAnsi="Verdana"/>
                <w:color w:val="002060"/>
                <w:sz w:val="15"/>
                <w:szCs w:val="15"/>
                <w:lang w:val="en-GB"/>
              </w:rPr>
            </w:pPr>
            <w:r w:rsidRPr="00307D85">
              <w:rPr>
                <w:rFonts w:ascii="Verdana" w:hAnsi="Verdana"/>
                <w:color w:val="002060"/>
                <w:sz w:val="15"/>
                <w:szCs w:val="15"/>
                <w:lang w:val="en-GB"/>
              </w:rPr>
              <w:t xml:space="preserve">| </w:t>
            </w:r>
            <w:r w:rsidRPr="00307D85">
              <w:rPr>
                <w:rFonts w:ascii="Verdana" w:hAnsi="Verdana"/>
                <w:noProof/>
                <w:lang w:val="en-GB"/>
              </w:rPr>
              <w:drawing>
                <wp:inline distT="0" distB="0" distL="0" distR="0" wp14:anchorId="126B0DA7" wp14:editId="2FF78C3F">
                  <wp:extent cx="79022" cy="79022"/>
                  <wp:effectExtent l="0" t="0" r="0" b="0"/>
                  <wp:docPr id="1141235938" name="Graphic 2"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5938" name="Graphic 1141235938" descr="Pencil"/>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89773" cy="89773"/>
                          </a:xfrm>
                          <a:prstGeom prst="rect">
                            <a:avLst/>
                          </a:prstGeom>
                        </pic:spPr>
                      </pic:pic>
                    </a:graphicData>
                  </a:graphic>
                </wp:inline>
              </w:drawing>
            </w:r>
            <w:r w:rsidRPr="00307D85">
              <w:rPr>
                <w:rFonts w:ascii="Verdana" w:hAnsi="Verdana"/>
                <w:color w:val="002060"/>
                <w:sz w:val="15"/>
                <w:szCs w:val="15"/>
                <w:lang w:val="en-GB"/>
              </w:rPr>
              <w:t xml:space="preserve"> | </w:t>
            </w:r>
            <w:proofErr w:type="spellStart"/>
            <w:r w:rsidRPr="00307D85">
              <w:rPr>
                <w:rFonts w:ascii="Verdana" w:hAnsi="Verdana"/>
                <w:color w:val="002060"/>
                <w:sz w:val="15"/>
                <w:szCs w:val="15"/>
                <w:lang w:val="en-GB"/>
              </w:rPr>
              <w:t>Ezechiel</w:t>
            </w:r>
            <w:proofErr w:type="spellEnd"/>
            <w:r w:rsidRPr="00307D85">
              <w:rPr>
                <w:rFonts w:ascii="Verdana" w:hAnsi="Verdana"/>
                <w:color w:val="002060"/>
                <w:sz w:val="15"/>
                <w:szCs w:val="15"/>
                <w:lang w:val="en-GB"/>
              </w:rPr>
              <w:t xml:space="preserve"> </w:t>
            </w:r>
            <w:proofErr w:type="spellStart"/>
            <w:r w:rsidRPr="00307D85">
              <w:rPr>
                <w:rFonts w:ascii="Verdana" w:hAnsi="Verdana"/>
                <w:color w:val="002060"/>
                <w:sz w:val="15"/>
                <w:szCs w:val="15"/>
                <w:lang w:val="en-GB"/>
              </w:rPr>
              <w:t>Havrenne</w:t>
            </w:r>
            <w:proofErr w:type="spellEnd"/>
            <w:r w:rsidRPr="00307D85">
              <w:rPr>
                <w:rFonts w:ascii="Verdana" w:hAnsi="Verdana"/>
                <w:color w:val="002060"/>
                <w:sz w:val="15"/>
                <w:szCs w:val="15"/>
                <w:lang w:val="en-GB"/>
              </w:rPr>
              <w:t xml:space="preserve"> | </w:t>
            </w:r>
            <w:r w:rsidRPr="00307D85">
              <w:rPr>
                <w:rFonts w:ascii="Verdana" w:hAnsi="Verdana"/>
                <w:i/>
                <w:iCs/>
                <w:noProof/>
                <w:color w:val="002060"/>
                <w:sz w:val="15"/>
                <w:szCs w:val="15"/>
                <w:lang w:val="en-GB"/>
              </w:rPr>
              <w:drawing>
                <wp:inline distT="0" distB="0" distL="0" distR="0" wp14:anchorId="46CC18CA" wp14:editId="1EDFD74D">
                  <wp:extent cx="107244" cy="107244"/>
                  <wp:effectExtent l="0" t="0" r="0" b="0"/>
                  <wp:docPr id="933651063" name="Graphic 4" descr="School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1063" name="Graphic 933651063" descr="Schoolhous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flipH="1">
                            <a:off x="0" y="0"/>
                            <a:ext cx="137432" cy="137432"/>
                          </a:xfrm>
                          <a:prstGeom prst="rect">
                            <a:avLst/>
                          </a:prstGeom>
                        </pic:spPr>
                      </pic:pic>
                    </a:graphicData>
                  </a:graphic>
                </wp:inline>
              </w:drawing>
            </w:r>
            <w:r w:rsidRPr="00307D85">
              <w:rPr>
                <w:rFonts w:ascii="Verdana" w:hAnsi="Verdana"/>
                <w:color w:val="002060"/>
                <w:sz w:val="15"/>
                <w:szCs w:val="15"/>
                <w:lang w:val="en-GB"/>
              </w:rPr>
              <w:t xml:space="preserve"> | </w:t>
            </w:r>
            <w:r w:rsidRPr="00307D85">
              <w:rPr>
                <w:rFonts w:ascii="Verdana" w:hAnsi="Verdana"/>
                <w:i/>
                <w:iCs/>
                <w:color w:val="002060"/>
                <w:sz w:val="15"/>
                <w:szCs w:val="15"/>
                <w:lang w:val="en-GB"/>
              </w:rPr>
              <w:t>Lecturer at the Luxembourg School of Business</w:t>
            </w:r>
            <w:r w:rsidRPr="00307D85">
              <w:rPr>
                <w:rFonts w:ascii="Verdana" w:hAnsi="Verdana"/>
                <w:color w:val="002060"/>
                <w:sz w:val="15"/>
                <w:szCs w:val="15"/>
                <w:lang w:val="en-GB"/>
              </w:rPr>
              <w:t xml:space="preserve"> | </w:t>
            </w:r>
            <w:r w:rsidRPr="00307D85">
              <w:rPr>
                <w:rFonts w:ascii="Verdana" w:hAnsi="Verdana"/>
                <w:noProof/>
                <w:color w:val="002060"/>
                <w:sz w:val="15"/>
                <w:szCs w:val="15"/>
                <w:lang w:val="en-GB"/>
              </w:rPr>
              <w:drawing>
                <wp:inline distT="0" distB="0" distL="0" distR="0" wp14:anchorId="0C535741" wp14:editId="74470784">
                  <wp:extent cx="84667" cy="84667"/>
                  <wp:effectExtent l="0" t="0" r="4445" b="4445"/>
                  <wp:docPr id="2109832268" name="Graphic 5" descr="W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32268" name="Graphic 2109832268" descr="Watch"/>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flipV="1">
                            <a:off x="0" y="0"/>
                            <a:ext cx="98109" cy="98109"/>
                          </a:xfrm>
                          <a:prstGeom prst="rect">
                            <a:avLst/>
                          </a:prstGeom>
                        </pic:spPr>
                      </pic:pic>
                    </a:graphicData>
                  </a:graphic>
                </wp:inline>
              </w:drawing>
            </w:r>
            <w:r w:rsidRPr="00307D85">
              <w:rPr>
                <w:rFonts w:ascii="Verdana" w:hAnsi="Verdana"/>
                <w:color w:val="002060"/>
                <w:sz w:val="15"/>
                <w:szCs w:val="15"/>
                <w:lang w:val="en-GB"/>
              </w:rPr>
              <w:t xml:space="preserve"> | </w:t>
            </w:r>
            <w:r w:rsidR="004A5515" w:rsidRPr="00307D85">
              <w:rPr>
                <w:rFonts w:ascii="Verdana" w:hAnsi="Verdana"/>
                <w:color w:val="002060"/>
                <w:sz w:val="15"/>
                <w:szCs w:val="15"/>
                <w:lang w:val="en-GB"/>
              </w:rPr>
              <w:t>3</w:t>
            </w:r>
            <w:r w:rsidRPr="00307D85">
              <w:rPr>
                <w:rFonts w:ascii="Verdana" w:hAnsi="Verdana"/>
                <w:color w:val="002060"/>
                <w:sz w:val="15"/>
                <w:szCs w:val="15"/>
                <w:lang w:val="en-GB"/>
              </w:rPr>
              <w:t>0 min</w:t>
            </w:r>
          </w:p>
        </w:tc>
      </w:tr>
      <w:tr w:rsidR="004E269A" w:rsidRPr="00307D85" w14:paraId="3F152D8C" w14:textId="77777777" w:rsidTr="00112270">
        <w:trPr>
          <w:trHeight w:val="76"/>
        </w:trPr>
        <w:tc>
          <w:tcPr>
            <w:tcW w:w="9640" w:type="dxa"/>
          </w:tcPr>
          <w:p w14:paraId="0F1F4E8D" w14:textId="00FCEDDB" w:rsidR="004E2C67" w:rsidRPr="004E2C67"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307D85">
              <w:rPr>
                <w:rFonts w:ascii="Verdana" w:hAnsi="Verdana"/>
                <w:color w:val="002060"/>
                <w:sz w:val="15"/>
                <w:szCs w:val="15"/>
                <w:lang w:val="en-GB"/>
              </w:rPr>
              <w:t xml:space="preserve">Abstract: </w:t>
            </w:r>
            <w:r w:rsidR="004E2C67" w:rsidRPr="004E2C67">
              <w:rPr>
                <w:rFonts w:ascii="Verdana" w:hAnsi="Verdana"/>
                <w:b w:val="0"/>
                <w:bCs w:val="0"/>
                <w:color w:val="002060"/>
                <w:sz w:val="15"/>
                <w:szCs w:val="15"/>
                <w:lang w:val="en-GB"/>
              </w:rPr>
              <w:t xml:space="preserve">This article analyses </w:t>
            </w:r>
            <w:r w:rsidR="004E2C67" w:rsidRPr="004E2C67">
              <w:rPr>
                <w:rFonts w:ascii="Verdana" w:hAnsi="Verdana"/>
                <w:b w:val="0"/>
                <w:bCs w:val="0"/>
                <w:i/>
                <w:iCs/>
                <w:color w:val="002060"/>
                <w:sz w:val="15"/>
                <w:szCs w:val="15"/>
                <w:lang w:val="en-GB"/>
              </w:rPr>
              <w:t xml:space="preserve">ipso jure </w:t>
            </w:r>
            <w:r w:rsidR="004E2C67" w:rsidRPr="004E2C67">
              <w:rPr>
                <w:rFonts w:ascii="Verdana" w:hAnsi="Verdana"/>
                <w:b w:val="0"/>
                <w:bCs w:val="0"/>
                <w:color w:val="002060"/>
                <w:sz w:val="15"/>
                <w:szCs w:val="15"/>
                <w:lang w:val="en-GB"/>
              </w:rPr>
              <w:t xml:space="preserve">dissolution and liquidation mechanisms applicable to Luxembourg investment fund structures under the Civil Code and the Product Fund Laws. It examines the automatic dissolution events listed in Article 1865 of the Civil Code and their application to investment companies, before turning to the statutory “last-compartment rule” governing umbrella funds. The paper distinguishes between corporate-form funds, where the rule produces an </w:t>
            </w:r>
            <w:r w:rsidR="004E2C67" w:rsidRPr="004E2C67">
              <w:rPr>
                <w:rFonts w:ascii="Verdana" w:hAnsi="Verdana"/>
                <w:b w:val="0"/>
                <w:bCs w:val="0"/>
                <w:i/>
                <w:iCs/>
                <w:color w:val="002060"/>
                <w:sz w:val="15"/>
                <w:szCs w:val="15"/>
                <w:lang w:val="en-GB"/>
              </w:rPr>
              <w:t xml:space="preserve">ipso jure </w:t>
            </w:r>
            <w:r w:rsidR="004E2C67" w:rsidRPr="004E2C67">
              <w:rPr>
                <w:rFonts w:ascii="Verdana" w:hAnsi="Verdana"/>
                <w:b w:val="0"/>
                <w:bCs w:val="0"/>
                <w:color w:val="002060"/>
                <w:sz w:val="15"/>
                <w:szCs w:val="15"/>
                <w:lang w:val="en-GB"/>
              </w:rPr>
              <w:t>dissolution, and contractual funds, where it triggers an automatic entry into liquidation, and clarifies the legally relevant trigger moment in light of fund documentation and supervisory practice.</w:t>
            </w:r>
          </w:p>
        </w:tc>
      </w:tr>
      <w:tr w:rsidR="004E269A" w:rsidRPr="00307D85" w14:paraId="292DFA92" w14:textId="77777777" w:rsidTr="00112270">
        <w:trPr>
          <w:trHeight w:val="76"/>
        </w:trPr>
        <w:tc>
          <w:tcPr>
            <w:tcW w:w="9640" w:type="dxa"/>
          </w:tcPr>
          <w:p w14:paraId="5056B36B" w14:textId="7459AB08" w:rsidR="004E2C67" w:rsidRPr="004E2C67" w:rsidRDefault="004E269A" w:rsidP="004E269A">
            <w:pPr>
              <w:pStyle w:val="NormalWeb"/>
              <w:spacing w:before="120" w:beforeAutospacing="0" w:after="0" w:afterAutospacing="0"/>
              <w:jc w:val="both"/>
              <w:rPr>
                <w:rFonts w:ascii="Verdana" w:hAnsi="Verdana"/>
                <w:b w:val="0"/>
                <w:bCs w:val="0"/>
                <w:color w:val="002060"/>
                <w:sz w:val="15"/>
                <w:szCs w:val="15"/>
                <w:lang w:val="en-GB"/>
              </w:rPr>
            </w:pPr>
            <w:r w:rsidRPr="00307D85">
              <w:rPr>
                <w:rFonts w:ascii="Verdana" w:hAnsi="Verdana"/>
                <w:color w:val="002060"/>
                <w:sz w:val="15"/>
                <w:szCs w:val="15"/>
                <w:lang w:val="en-GB"/>
              </w:rPr>
              <w:t>KEY WORDS:</w:t>
            </w:r>
            <w:r w:rsidRPr="00307D85">
              <w:rPr>
                <w:rFonts w:ascii="Verdana" w:hAnsi="Verdana"/>
                <w:b w:val="0"/>
                <w:bCs w:val="0"/>
                <w:color w:val="002060"/>
                <w:sz w:val="15"/>
                <w:szCs w:val="15"/>
                <w:lang w:val="en-GB"/>
              </w:rPr>
              <w:t xml:space="preserve"> </w:t>
            </w:r>
            <w:r w:rsidR="004E2C67" w:rsidRPr="004E2C67">
              <w:rPr>
                <w:rFonts w:ascii="Verdana" w:hAnsi="Verdana"/>
                <w:b w:val="0"/>
                <w:bCs w:val="0"/>
                <w:i/>
                <w:iCs/>
                <w:color w:val="002060"/>
                <w:sz w:val="15"/>
                <w:szCs w:val="15"/>
                <w:lang w:val="en-GB"/>
              </w:rPr>
              <w:t>IPSO JURE</w:t>
            </w:r>
            <w:r w:rsidR="004E2C67" w:rsidRPr="004E2C67">
              <w:rPr>
                <w:rFonts w:ascii="Verdana" w:hAnsi="Verdana"/>
                <w:b w:val="0"/>
                <w:bCs w:val="0"/>
                <w:color w:val="002060"/>
                <w:sz w:val="15"/>
                <w:szCs w:val="15"/>
                <w:lang w:val="en-GB"/>
              </w:rPr>
              <w:t xml:space="preserve"> DISSOLUTION</w:t>
            </w:r>
            <w:r w:rsidR="004E2C67">
              <w:rPr>
                <w:rFonts w:ascii="Verdana" w:hAnsi="Verdana"/>
                <w:b w:val="0"/>
                <w:bCs w:val="0"/>
                <w:color w:val="002060"/>
                <w:sz w:val="15"/>
                <w:szCs w:val="15"/>
                <w:lang w:val="en-GB"/>
              </w:rPr>
              <w:t xml:space="preserve"> </w:t>
            </w:r>
            <w:r w:rsidR="004E2C67" w:rsidRPr="00FF3996">
              <w:rPr>
                <w:rFonts w:ascii="Verdana" w:hAnsi="Verdana"/>
                <w:b w:val="0"/>
                <w:bCs w:val="0"/>
                <w:color w:val="002060"/>
                <w:sz w:val="15"/>
                <w:szCs w:val="15"/>
                <w:lang w:val="en-GB"/>
              </w:rPr>
              <w:t>·</w:t>
            </w:r>
            <w:r w:rsidR="004E2C67" w:rsidRPr="004E2C67">
              <w:rPr>
                <w:rFonts w:ascii="Verdana" w:hAnsi="Verdana"/>
                <w:b w:val="0"/>
                <w:bCs w:val="0"/>
                <w:color w:val="002060"/>
                <w:sz w:val="15"/>
                <w:szCs w:val="15"/>
                <w:lang w:val="en-GB"/>
              </w:rPr>
              <w:t xml:space="preserve"> AUTOMATIC LIQUIDATION</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LUXEMBOURG INVESTMENT FUNDS</w:t>
            </w:r>
            <w:r w:rsidR="004E2C67" w:rsidRPr="00FF3996">
              <w:rPr>
                <w:rFonts w:ascii="Verdana" w:hAnsi="Verdana"/>
                <w:b w:val="0"/>
                <w:bCs w:val="0"/>
                <w:color w:val="002060"/>
                <w:sz w:val="15"/>
                <w:szCs w:val="15"/>
                <w:lang w:val="en-GB"/>
              </w:rPr>
              <w:t xml:space="preserve"> · SIF · SICAR</w:t>
            </w:r>
            <w:r w:rsidR="004E2C67">
              <w:rPr>
                <w:rFonts w:ascii="Verdana" w:hAnsi="Verdana"/>
                <w:b w:val="0"/>
                <w:bCs w:val="0"/>
                <w:color w:val="002060"/>
                <w:sz w:val="15"/>
                <w:szCs w:val="15"/>
                <w:lang w:val="en-GB"/>
              </w:rPr>
              <w:t xml:space="preserve"> </w:t>
            </w:r>
            <w:r w:rsidR="004E2C67" w:rsidRPr="00FF3996">
              <w:rPr>
                <w:rFonts w:ascii="Verdana" w:hAnsi="Verdana"/>
                <w:b w:val="0"/>
                <w:bCs w:val="0"/>
                <w:color w:val="002060"/>
                <w:sz w:val="15"/>
                <w:szCs w:val="15"/>
                <w:lang w:val="en-GB"/>
              </w:rPr>
              <w:t xml:space="preserve">· </w:t>
            </w:r>
            <w:r w:rsidR="004E2C67">
              <w:rPr>
                <w:rFonts w:ascii="Verdana" w:hAnsi="Verdana"/>
                <w:b w:val="0"/>
                <w:bCs w:val="0"/>
                <w:color w:val="002060"/>
                <w:sz w:val="15"/>
                <w:szCs w:val="15"/>
                <w:lang w:val="en-GB"/>
              </w:rPr>
              <w:t xml:space="preserve">UCITS </w:t>
            </w:r>
            <w:r w:rsidR="004E2C67" w:rsidRPr="00FF3996">
              <w:rPr>
                <w:rFonts w:ascii="Verdana" w:hAnsi="Verdana"/>
                <w:b w:val="0"/>
                <w:bCs w:val="0"/>
                <w:color w:val="002060"/>
                <w:sz w:val="15"/>
                <w:szCs w:val="15"/>
                <w:lang w:val="en-GB"/>
              </w:rPr>
              <w:t xml:space="preserve">· </w:t>
            </w:r>
            <w:r w:rsidR="004E2C67">
              <w:rPr>
                <w:rFonts w:ascii="Verdana" w:hAnsi="Verdana"/>
                <w:b w:val="0"/>
                <w:bCs w:val="0"/>
                <w:color w:val="002060"/>
                <w:sz w:val="15"/>
                <w:szCs w:val="15"/>
                <w:lang w:val="en-GB"/>
              </w:rPr>
              <w:t xml:space="preserve">UCI PART II </w:t>
            </w:r>
            <w:r w:rsidR="004E2C67" w:rsidRPr="00FF3996">
              <w:rPr>
                <w:rFonts w:ascii="Verdana" w:hAnsi="Verdana"/>
                <w:b w:val="0"/>
                <w:bCs w:val="0"/>
                <w:color w:val="002060"/>
                <w:sz w:val="15"/>
                <w:szCs w:val="15"/>
                <w:lang w:val="en-GB"/>
              </w:rPr>
              <w:t xml:space="preserve">· RAIF · </w:t>
            </w:r>
            <w:r w:rsidR="004E2C67" w:rsidRPr="004E2C67">
              <w:rPr>
                <w:rFonts w:ascii="Verdana" w:hAnsi="Verdana"/>
                <w:b w:val="0"/>
                <w:bCs w:val="0"/>
                <w:color w:val="002060"/>
                <w:sz w:val="15"/>
                <w:szCs w:val="15"/>
                <w:lang w:val="en-GB"/>
              </w:rPr>
              <w:t>ARTICLE 1865 CIVIL CODE</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PRODUCT FUND LAWS</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UMBRELLA FUNDS</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COMPARTMENTS</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LAST-COMPARTMENT RULE</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SICAV</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FCP</w:t>
            </w:r>
            <w:r w:rsidR="004E2C67" w:rsidRPr="00FF3996">
              <w:rPr>
                <w:rFonts w:ascii="Verdana" w:hAnsi="Verdana"/>
                <w:b w:val="0"/>
                <w:bCs w:val="0"/>
                <w:color w:val="002060"/>
                <w:sz w:val="15"/>
                <w:szCs w:val="15"/>
                <w:lang w:val="en-GB"/>
              </w:rPr>
              <w:t xml:space="preserve"> · </w:t>
            </w:r>
            <w:r w:rsidR="004E2C67" w:rsidRPr="004E2C67">
              <w:rPr>
                <w:rFonts w:ascii="Verdana" w:hAnsi="Verdana"/>
                <w:b w:val="0"/>
                <w:bCs w:val="0"/>
                <w:color w:val="002060"/>
                <w:sz w:val="15"/>
                <w:szCs w:val="15"/>
                <w:lang w:val="en-GB"/>
              </w:rPr>
              <w:t>CSSF SUPERVISION</w:t>
            </w:r>
            <w:r w:rsidR="004E2C67">
              <w:rPr>
                <w:rFonts w:ascii="Verdana" w:hAnsi="Verdana"/>
                <w:b w:val="0"/>
                <w:bCs w:val="0"/>
                <w:color w:val="002060"/>
                <w:sz w:val="15"/>
                <w:szCs w:val="15"/>
                <w:lang w:val="en-GB"/>
              </w:rPr>
              <w:t>.</w:t>
            </w:r>
          </w:p>
        </w:tc>
      </w:tr>
      <w:tr w:rsidR="004E269A" w:rsidRPr="00307D85" w14:paraId="65471C5F" w14:textId="77777777" w:rsidTr="00112270">
        <w:trPr>
          <w:trHeight w:val="76"/>
        </w:trPr>
        <w:tc>
          <w:tcPr>
            <w:tcW w:w="9640" w:type="dxa"/>
          </w:tcPr>
          <w:p w14:paraId="17885C3C" w14:textId="72DD5278" w:rsidR="004E269A" w:rsidRPr="00307D85" w:rsidRDefault="004E269A" w:rsidP="004E269A">
            <w:pPr>
              <w:pStyle w:val="NormalWeb"/>
              <w:spacing w:before="120" w:beforeAutospacing="0" w:after="0" w:afterAutospacing="0"/>
              <w:jc w:val="both"/>
              <w:rPr>
                <w:rFonts w:ascii="Verdana" w:hAnsi="Verdana"/>
                <w:color w:val="002060"/>
                <w:sz w:val="15"/>
                <w:szCs w:val="15"/>
                <w:lang w:val="en-GB"/>
              </w:rPr>
            </w:pPr>
            <w:r w:rsidRPr="00307D85">
              <w:rPr>
                <w:rFonts w:ascii="Verdana" w:hAnsi="Verdana"/>
                <w:color w:val="002060"/>
                <w:sz w:val="15"/>
                <w:szCs w:val="15"/>
                <w:lang w:val="en-GB"/>
              </w:rPr>
              <w:t>Quick Citation Reference:</w:t>
            </w:r>
          </w:p>
        </w:tc>
      </w:tr>
      <w:tr w:rsidR="004E2C67" w:rsidRPr="00307D85" w14:paraId="351CF349" w14:textId="77777777" w:rsidTr="00112270">
        <w:trPr>
          <w:trHeight w:val="76"/>
        </w:trPr>
        <w:tc>
          <w:tcPr>
            <w:tcW w:w="9640" w:type="dxa"/>
          </w:tcPr>
          <w:p w14:paraId="319ED34D" w14:textId="71B7BA3C" w:rsidR="004E2C67" w:rsidRPr="00307D85" w:rsidRDefault="004E2C67" w:rsidP="004E2C67">
            <w:pPr>
              <w:pStyle w:val="NormalWeb"/>
              <w:spacing w:before="120" w:beforeAutospacing="0" w:after="0" w:afterAutospacing="0"/>
              <w:jc w:val="both"/>
              <w:rPr>
                <w:rFonts w:ascii="Verdana" w:hAnsi="Verdana"/>
                <w:color w:val="002060"/>
                <w:sz w:val="15"/>
                <w:szCs w:val="15"/>
                <w:lang w:val="en-GB"/>
              </w:rPr>
            </w:pPr>
            <w:r w:rsidRPr="00CF1FF3">
              <w:rPr>
                <w:rFonts w:ascii="Verdana" w:hAnsi="Verdana"/>
                <w:b w:val="0"/>
                <w:bCs w:val="0"/>
                <w:i/>
                <w:iCs/>
                <w:color w:val="002060"/>
                <w:sz w:val="15"/>
                <w:szCs w:val="15"/>
                <w:u w:val="single"/>
                <w:lang w:val="en-US"/>
              </w:rPr>
              <w:t>OSCOLA</w:t>
            </w:r>
            <w:r>
              <w:rPr>
                <w:rFonts w:ascii="Verdana" w:hAnsi="Verdana"/>
                <w:b w:val="0"/>
                <w:bCs w:val="0"/>
                <w:color w:val="002060"/>
                <w:sz w:val="15"/>
                <w:szCs w:val="15"/>
                <w:lang w:val="en-US"/>
              </w:rPr>
              <w:t xml:space="preserve">: </w:t>
            </w:r>
            <w:proofErr w:type="spellStart"/>
            <w:r w:rsidRPr="00CF1FF3">
              <w:rPr>
                <w:rFonts w:ascii="Verdana" w:hAnsi="Verdana"/>
                <w:b w:val="0"/>
                <w:bCs w:val="0"/>
                <w:color w:val="002060"/>
                <w:sz w:val="15"/>
                <w:szCs w:val="15"/>
                <w:lang w:val="en-GB"/>
              </w:rPr>
              <w:t>Ezechiel</w:t>
            </w:r>
            <w:proofErr w:type="spellEnd"/>
            <w:r w:rsidRPr="00CF1FF3">
              <w:rPr>
                <w:rFonts w:ascii="Verdana" w:hAnsi="Verdana"/>
                <w:b w:val="0"/>
                <w:bCs w:val="0"/>
                <w:color w:val="002060"/>
                <w:sz w:val="15"/>
                <w:szCs w:val="15"/>
                <w:lang w:val="en-GB"/>
              </w:rPr>
              <w:t xml:space="preserve"> </w:t>
            </w:r>
            <w:proofErr w:type="spellStart"/>
            <w:r w:rsidRPr="00CF1FF3">
              <w:rPr>
                <w:rFonts w:ascii="Verdana" w:hAnsi="Verdana"/>
                <w:b w:val="0"/>
                <w:bCs w:val="0"/>
                <w:color w:val="002060"/>
                <w:sz w:val="15"/>
                <w:szCs w:val="15"/>
                <w:lang w:val="en-GB"/>
              </w:rPr>
              <w:t>Havrenne</w:t>
            </w:r>
            <w:proofErr w:type="spellEnd"/>
            <w:r w:rsidRPr="00CF1FF3">
              <w:rPr>
                <w:rFonts w:ascii="Verdana" w:hAnsi="Verdana"/>
                <w:b w:val="0"/>
                <w:bCs w:val="0"/>
                <w:color w:val="002060"/>
                <w:sz w:val="15"/>
                <w:szCs w:val="15"/>
                <w:lang w:val="en-GB"/>
              </w:rPr>
              <w:t>, ‘</w:t>
            </w:r>
            <w:r>
              <w:rPr>
                <w:rFonts w:ascii="Verdana" w:hAnsi="Verdana"/>
                <w:b w:val="0"/>
                <w:bCs w:val="0"/>
                <w:i/>
                <w:iCs/>
                <w:color w:val="002060"/>
                <w:sz w:val="15"/>
                <w:szCs w:val="15"/>
                <w:lang w:val="en-GB"/>
              </w:rPr>
              <w:t xml:space="preserve">Ipso Jure </w:t>
            </w:r>
            <w:r>
              <w:rPr>
                <w:rFonts w:ascii="Verdana" w:hAnsi="Verdana"/>
                <w:b w:val="0"/>
                <w:bCs w:val="0"/>
                <w:color w:val="002060"/>
                <w:sz w:val="15"/>
                <w:szCs w:val="15"/>
                <w:lang w:val="en-GB"/>
              </w:rPr>
              <w:t>Dissolution and Liquidation in Luxembourg Investment Funds</w:t>
            </w:r>
            <w:r w:rsidRPr="00CF1FF3">
              <w:rPr>
                <w:rFonts w:ascii="Verdana" w:hAnsi="Verdana"/>
                <w:b w:val="0"/>
                <w:bCs w:val="0"/>
                <w:color w:val="002060"/>
                <w:sz w:val="15"/>
                <w:szCs w:val="15"/>
                <w:lang w:val="en-GB"/>
              </w:rPr>
              <w:t>’ (202</w:t>
            </w:r>
            <w:r>
              <w:rPr>
                <w:rFonts w:ascii="Verdana" w:hAnsi="Verdana"/>
                <w:b w:val="0"/>
                <w:bCs w:val="0"/>
                <w:color w:val="002060"/>
                <w:sz w:val="15"/>
                <w:szCs w:val="15"/>
                <w:lang w:val="en-GB"/>
              </w:rPr>
              <w:t>6</w:t>
            </w:r>
            <w:r w:rsidRPr="00CF1FF3">
              <w:rPr>
                <w:rFonts w:ascii="Verdana" w:hAnsi="Verdana"/>
                <w:b w:val="0"/>
                <w:bCs w:val="0"/>
                <w:color w:val="002060"/>
                <w:sz w:val="15"/>
                <w:szCs w:val="15"/>
                <w:lang w:val="en-GB"/>
              </w:rPr>
              <w:t>) 1(</w:t>
            </w:r>
            <w:r>
              <w:rPr>
                <w:rFonts w:ascii="Verdana" w:hAnsi="Verdana"/>
                <w:b w:val="0"/>
                <w:bCs w:val="0"/>
                <w:color w:val="002060"/>
                <w:sz w:val="15"/>
                <w:szCs w:val="15"/>
                <w:lang w:val="en-GB"/>
              </w:rPr>
              <w:t>2</w:t>
            </w:r>
            <w:r w:rsidRPr="00CF1FF3">
              <w:rPr>
                <w:rFonts w:ascii="Verdana" w:hAnsi="Verdana"/>
                <w:b w:val="0"/>
                <w:bCs w:val="0"/>
                <w:color w:val="002060"/>
                <w:sz w:val="15"/>
                <w:szCs w:val="15"/>
                <w:lang w:val="en-GB"/>
              </w:rPr>
              <w:t xml:space="preserve">) </w:t>
            </w:r>
            <w:proofErr w:type="spellStart"/>
            <w:r>
              <w:rPr>
                <w:rFonts w:ascii="Verdana" w:hAnsi="Verdana"/>
                <w:b w:val="0"/>
                <w:bCs w:val="0"/>
                <w:i/>
                <w:iCs/>
                <w:color w:val="002060"/>
                <w:sz w:val="15"/>
                <w:szCs w:val="15"/>
                <w:lang w:val="en-GB"/>
              </w:rPr>
              <w:t>NewTIFI</w:t>
            </w:r>
            <w:proofErr w:type="spellEnd"/>
            <w:r>
              <w:rPr>
                <w:rFonts w:ascii="Verdana" w:hAnsi="Verdana"/>
                <w:b w:val="0"/>
                <w:bCs w:val="0"/>
                <w:i/>
                <w:iCs/>
                <w:color w:val="002060"/>
                <w:sz w:val="15"/>
                <w:szCs w:val="15"/>
                <w:lang w:val="en-GB"/>
              </w:rPr>
              <w:t xml:space="preserve"> Restructuring &amp; Insolvency</w:t>
            </w:r>
            <w:r w:rsidRPr="00CF1FF3">
              <w:rPr>
                <w:rFonts w:ascii="Verdana" w:hAnsi="Verdana"/>
                <w:b w:val="0"/>
                <w:bCs w:val="0"/>
                <w:i/>
                <w:iCs/>
                <w:color w:val="002060"/>
                <w:sz w:val="15"/>
                <w:szCs w:val="15"/>
                <w:lang w:val="en-GB"/>
              </w:rPr>
              <w:t xml:space="preserve"> Journal</w:t>
            </w:r>
            <w:r w:rsidRPr="00CF1FF3">
              <w:rPr>
                <w:rFonts w:ascii="Verdana" w:hAnsi="Verdana"/>
                <w:b w:val="0"/>
                <w:bCs w:val="0"/>
                <w:color w:val="002060"/>
                <w:sz w:val="15"/>
                <w:szCs w:val="15"/>
                <w:lang w:val="en-GB"/>
              </w:rPr>
              <w:t xml:space="preserve">, </w:t>
            </w:r>
            <w:proofErr w:type="spellStart"/>
            <w:r w:rsidRPr="00CF1FF3">
              <w:rPr>
                <w:rFonts w:ascii="Verdana" w:hAnsi="Verdana"/>
                <w:b w:val="0"/>
                <w:bCs w:val="0"/>
                <w:color w:val="002060"/>
                <w:sz w:val="15"/>
                <w:szCs w:val="15"/>
                <w:lang w:val="en-GB"/>
              </w:rPr>
              <w:t>NewTIFI</w:t>
            </w:r>
            <w:proofErr w:type="spellEnd"/>
            <w:r w:rsidRPr="00CF1FF3">
              <w:rPr>
                <w:rFonts w:ascii="Verdana" w:hAnsi="Verdana"/>
                <w:b w:val="0"/>
                <w:bCs w:val="0"/>
                <w:color w:val="002060"/>
                <w:sz w:val="15"/>
                <w:szCs w:val="15"/>
                <w:lang w:val="en-GB"/>
              </w:rPr>
              <w:t xml:space="preserve"> Publishing, The New Technologies &amp; Investment Funds Institute, 1</w:t>
            </w:r>
            <w:r>
              <w:rPr>
                <w:rFonts w:ascii="Verdana" w:hAnsi="Verdana"/>
                <w:b w:val="0"/>
                <w:bCs w:val="0"/>
                <w:color w:val="002060"/>
                <w:sz w:val="15"/>
                <w:szCs w:val="15"/>
                <w:lang w:val="en-GB"/>
              </w:rPr>
              <w:t>3</w:t>
            </w:r>
            <w:r w:rsidRPr="00CF1FF3">
              <w:rPr>
                <w:rFonts w:ascii="Verdana" w:hAnsi="Verdana"/>
                <w:b w:val="0"/>
                <w:bCs w:val="0"/>
                <w:color w:val="002060"/>
                <w:sz w:val="15"/>
                <w:szCs w:val="15"/>
                <w:lang w:val="en-GB"/>
              </w:rPr>
              <w:t>-</w:t>
            </w:r>
            <w:r>
              <w:rPr>
                <w:rFonts w:ascii="Verdana" w:hAnsi="Verdana"/>
                <w:b w:val="0"/>
                <w:bCs w:val="0"/>
                <w:color w:val="002060"/>
                <w:sz w:val="15"/>
                <w:szCs w:val="15"/>
                <w:lang w:val="en-GB"/>
              </w:rPr>
              <w:t>25</w:t>
            </w:r>
            <w:r w:rsidRPr="00CF1FF3">
              <w:rPr>
                <w:rFonts w:ascii="Verdana" w:hAnsi="Verdana"/>
                <w:b w:val="0"/>
                <w:bCs w:val="0"/>
                <w:color w:val="002060"/>
                <w:sz w:val="15"/>
                <w:szCs w:val="15"/>
                <w:lang w:val="en-GB"/>
              </w:rPr>
              <w:t>.</w:t>
            </w:r>
          </w:p>
        </w:tc>
      </w:tr>
      <w:tr w:rsidR="004E2C67" w:rsidRPr="00307D85" w14:paraId="28DE37DD" w14:textId="77777777" w:rsidTr="00112270">
        <w:trPr>
          <w:trHeight w:val="76"/>
        </w:trPr>
        <w:tc>
          <w:tcPr>
            <w:tcW w:w="9640" w:type="dxa"/>
          </w:tcPr>
          <w:p w14:paraId="03532C7C" w14:textId="5F31C8C7" w:rsidR="004E2C67" w:rsidRPr="00307D85" w:rsidRDefault="004E2C67" w:rsidP="004E2C67">
            <w:pPr>
              <w:pStyle w:val="NormalWeb"/>
              <w:spacing w:before="120" w:beforeAutospacing="0" w:after="0" w:afterAutospacing="0"/>
              <w:jc w:val="both"/>
              <w:rPr>
                <w:rFonts w:ascii="Verdana" w:hAnsi="Verdana"/>
                <w:color w:val="002060"/>
                <w:sz w:val="15"/>
                <w:szCs w:val="15"/>
                <w:lang w:val="en-GB"/>
              </w:rPr>
            </w:pPr>
            <w:r w:rsidRPr="00CF1FF3">
              <w:rPr>
                <w:rFonts w:ascii="Verdana" w:hAnsi="Verdana"/>
                <w:b w:val="0"/>
                <w:bCs w:val="0"/>
                <w:i/>
                <w:iCs/>
                <w:color w:val="002060"/>
                <w:sz w:val="15"/>
                <w:szCs w:val="15"/>
                <w:u w:val="single"/>
              </w:rPr>
              <w:t>Blue</w:t>
            </w:r>
            <w:r w:rsidRPr="00CF1FF3">
              <w:rPr>
                <w:rFonts w:ascii="Verdana" w:hAnsi="Verdana"/>
                <w:b w:val="0"/>
                <w:bCs w:val="0"/>
                <w:i/>
                <w:iCs/>
                <w:color w:val="002060"/>
                <w:sz w:val="15"/>
                <w:szCs w:val="15"/>
                <w:u w:val="single"/>
                <w:lang w:val="en-US"/>
              </w:rPr>
              <w:t>b</w:t>
            </w:r>
            <w:r w:rsidRPr="00CF1FF3">
              <w:rPr>
                <w:rFonts w:ascii="Verdana" w:hAnsi="Verdana"/>
                <w:b w:val="0"/>
                <w:bCs w:val="0"/>
                <w:i/>
                <w:iCs/>
                <w:color w:val="002060"/>
                <w:sz w:val="15"/>
                <w:szCs w:val="15"/>
                <w:u w:val="single"/>
              </w:rPr>
              <w:t>ook</w:t>
            </w:r>
            <w:r>
              <w:rPr>
                <w:rFonts w:ascii="Verdana" w:hAnsi="Verdana"/>
                <w:b w:val="0"/>
                <w:bCs w:val="0"/>
                <w:color w:val="002060"/>
                <w:sz w:val="15"/>
                <w:szCs w:val="15"/>
              </w:rPr>
              <w:t>:</w:t>
            </w:r>
            <w:r w:rsidRPr="00CF1FF3">
              <w:rPr>
                <w:rFonts w:ascii="Verdana" w:hAnsi="Verdana"/>
                <w:b w:val="0"/>
                <w:bCs w:val="0"/>
                <w:color w:val="002060"/>
                <w:sz w:val="15"/>
                <w:szCs w:val="15"/>
                <w:lang w:val="en-US"/>
              </w:rPr>
              <w:t xml:space="preserve"> </w:t>
            </w:r>
            <w:r w:rsidRPr="00CF1FF3">
              <w:rPr>
                <w:rFonts w:ascii="Verdana" w:hAnsi="Verdana"/>
                <w:b w:val="0"/>
                <w:bCs w:val="0"/>
                <w:color w:val="002060"/>
                <w:sz w:val="15"/>
                <w:szCs w:val="15"/>
              </w:rPr>
              <w:t>Ezechiel Havrenne,</w:t>
            </w:r>
            <w:r w:rsidRPr="00CF1FF3">
              <w:rPr>
                <w:rFonts w:ascii="Verdana" w:hAnsi="Verdana"/>
                <w:b w:val="0"/>
                <w:bCs w:val="0"/>
                <w:color w:val="002060"/>
                <w:sz w:val="15"/>
                <w:szCs w:val="15"/>
                <w:lang w:val="en-US"/>
              </w:rPr>
              <w:t xml:space="preserve"> </w:t>
            </w:r>
            <w:r w:rsidRPr="004E2C67">
              <w:rPr>
                <w:rFonts w:ascii="Verdana" w:hAnsi="Verdana"/>
                <w:b w:val="0"/>
                <w:bCs w:val="0"/>
                <w:i/>
                <w:iCs/>
                <w:color w:val="002060"/>
                <w:sz w:val="15"/>
                <w:szCs w:val="15"/>
                <w:lang w:val="en-GB"/>
              </w:rPr>
              <w:t>Ipso Jure Dissolution and Liquidation in Luxembourg Investment Funds</w:t>
            </w:r>
            <w:r w:rsidRPr="00CF1FF3">
              <w:rPr>
                <w:rFonts w:ascii="Verdana" w:hAnsi="Verdana"/>
                <w:b w:val="0"/>
                <w:bCs w:val="0"/>
                <w:color w:val="002060"/>
                <w:sz w:val="15"/>
                <w:szCs w:val="15"/>
              </w:rPr>
              <w:t>, 1</w:t>
            </w:r>
            <w:r w:rsidRPr="00CF1FF3">
              <w:rPr>
                <w:rFonts w:ascii="Verdana" w:hAnsi="Verdana"/>
                <w:b w:val="0"/>
                <w:bCs w:val="0"/>
                <w:color w:val="002060"/>
                <w:sz w:val="15"/>
                <w:szCs w:val="15"/>
                <w:lang w:val="en-US"/>
              </w:rPr>
              <w:t xml:space="preserve"> </w:t>
            </w:r>
            <w:proofErr w:type="spellStart"/>
            <w:r>
              <w:rPr>
                <w:rFonts w:ascii="Verdana" w:hAnsi="Verdana"/>
                <w:b w:val="0"/>
                <w:bCs w:val="0"/>
                <w:color w:val="002060"/>
                <w:sz w:val="15"/>
                <w:szCs w:val="15"/>
                <w:lang w:val="en-US"/>
              </w:rPr>
              <w:t>NewTIFI</w:t>
            </w:r>
            <w:proofErr w:type="spellEnd"/>
            <w:r>
              <w:rPr>
                <w:rFonts w:ascii="Verdana" w:hAnsi="Verdana"/>
                <w:b w:val="0"/>
                <w:bCs w:val="0"/>
                <w:color w:val="002060"/>
                <w:sz w:val="15"/>
                <w:szCs w:val="15"/>
                <w:lang w:val="en-US"/>
              </w:rPr>
              <w:t xml:space="preserve"> </w:t>
            </w:r>
            <w:proofErr w:type="spellStart"/>
            <w:r w:rsidRPr="00F61180">
              <w:rPr>
                <w:rFonts w:ascii="Verdana" w:hAnsi="Verdana"/>
                <w:b w:val="0"/>
                <w:bCs w:val="0"/>
                <w:color w:val="002060"/>
                <w:sz w:val="15"/>
                <w:szCs w:val="15"/>
                <w:lang w:val="en-US"/>
              </w:rPr>
              <w:t>Restr</w:t>
            </w:r>
            <w:proofErr w:type="spellEnd"/>
            <w:r w:rsidRPr="00F61180">
              <w:rPr>
                <w:rFonts w:ascii="Verdana" w:hAnsi="Verdana"/>
                <w:b w:val="0"/>
                <w:bCs w:val="0"/>
                <w:color w:val="002060"/>
                <w:sz w:val="15"/>
                <w:szCs w:val="15"/>
                <w:lang w:val="en-US"/>
              </w:rPr>
              <w:t>. Insol.</w:t>
            </w:r>
            <w:r w:rsidRPr="00CF1FF3">
              <w:rPr>
                <w:rStyle w:val="Strong"/>
                <w:rFonts w:ascii="Verdana" w:hAnsi="Verdana"/>
                <w:color w:val="002060"/>
                <w:sz w:val="15"/>
                <w:szCs w:val="15"/>
              </w:rPr>
              <w:t xml:space="preserve"> J.</w:t>
            </w:r>
            <w:r w:rsidRPr="00CF1FF3">
              <w:rPr>
                <w:rStyle w:val="Strong"/>
                <w:rFonts w:ascii="Verdana" w:hAnsi="Verdana"/>
                <w:b/>
                <w:bCs/>
                <w:color w:val="002060"/>
                <w:sz w:val="15"/>
                <w:szCs w:val="15"/>
                <w:lang w:val="en-US"/>
              </w:rPr>
              <w:t xml:space="preserve"> </w:t>
            </w:r>
            <w:r w:rsidRPr="00CF1FF3">
              <w:rPr>
                <w:rFonts w:ascii="Verdana" w:hAnsi="Verdana"/>
                <w:b w:val="0"/>
                <w:bCs w:val="0"/>
                <w:color w:val="002060"/>
                <w:sz w:val="15"/>
                <w:szCs w:val="15"/>
              </w:rPr>
              <w:t xml:space="preserve">(NewTIFI Publ’g, New Techs. &amp; Inv. Funds Inst.) </w:t>
            </w:r>
            <w:r>
              <w:rPr>
                <w:rFonts w:ascii="Verdana" w:hAnsi="Verdana"/>
                <w:b w:val="0"/>
                <w:bCs w:val="0"/>
                <w:color w:val="002060"/>
                <w:sz w:val="15"/>
                <w:szCs w:val="15"/>
                <w:lang w:val="de-DE"/>
              </w:rPr>
              <w:t>2</w:t>
            </w:r>
            <w:r w:rsidRPr="00CF1FF3">
              <w:rPr>
                <w:rFonts w:ascii="Verdana" w:hAnsi="Verdana"/>
                <w:b w:val="0"/>
                <w:bCs w:val="0"/>
                <w:color w:val="002060"/>
                <w:sz w:val="15"/>
                <w:szCs w:val="15"/>
              </w:rPr>
              <w:t>, 1</w:t>
            </w:r>
            <w:r>
              <w:rPr>
                <w:rFonts w:ascii="Verdana" w:hAnsi="Verdana"/>
                <w:b w:val="0"/>
                <w:bCs w:val="0"/>
                <w:color w:val="002060"/>
                <w:sz w:val="15"/>
                <w:szCs w:val="15"/>
                <w:lang w:val="de-DE"/>
              </w:rPr>
              <w:t>3</w:t>
            </w:r>
            <w:r w:rsidRPr="00CF1FF3">
              <w:rPr>
                <w:rFonts w:ascii="Verdana" w:hAnsi="Verdana"/>
                <w:b w:val="0"/>
                <w:bCs w:val="0"/>
                <w:color w:val="002060"/>
                <w:sz w:val="15"/>
                <w:szCs w:val="15"/>
              </w:rPr>
              <w:t>–</w:t>
            </w:r>
            <w:r>
              <w:rPr>
                <w:rFonts w:ascii="Verdana" w:hAnsi="Verdana"/>
                <w:b w:val="0"/>
                <w:bCs w:val="0"/>
                <w:color w:val="002060"/>
                <w:sz w:val="15"/>
                <w:szCs w:val="15"/>
              </w:rPr>
              <w:t>25</w:t>
            </w:r>
            <w:r w:rsidRPr="00CF1FF3">
              <w:rPr>
                <w:rFonts w:ascii="Verdana" w:hAnsi="Verdana"/>
                <w:b w:val="0"/>
                <w:bCs w:val="0"/>
                <w:color w:val="002060"/>
                <w:sz w:val="15"/>
                <w:szCs w:val="15"/>
              </w:rPr>
              <w:t xml:space="preserve"> (202</w:t>
            </w:r>
            <w:r w:rsidRPr="000D0796">
              <w:rPr>
                <w:rFonts w:ascii="Verdana" w:hAnsi="Verdana"/>
                <w:b w:val="0"/>
                <w:bCs w:val="0"/>
                <w:color w:val="002060"/>
                <w:sz w:val="15"/>
                <w:szCs w:val="15"/>
                <w:lang w:val="en-US"/>
              </w:rPr>
              <w:t>6</w:t>
            </w:r>
            <w:r w:rsidRPr="00CF1FF3">
              <w:rPr>
                <w:rFonts w:ascii="Verdana" w:hAnsi="Verdana"/>
                <w:b w:val="0"/>
                <w:bCs w:val="0"/>
                <w:color w:val="002060"/>
                <w:sz w:val="15"/>
                <w:szCs w:val="15"/>
              </w:rPr>
              <w:t>).</w:t>
            </w:r>
          </w:p>
        </w:tc>
      </w:tr>
      <w:tr w:rsidR="004E2C67" w:rsidRPr="00307D85" w14:paraId="0FC77674" w14:textId="77777777" w:rsidTr="00112270">
        <w:trPr>
          <w:trHeight w:val="76"/>
        </w:trPr>
        <w:tc>
          <w:tcPr>
            <w:tcW w:w="9640" w:type="dxa"/>
          </w:tcPr>
          <w:p w14:paraId="199F4FDC" w14:textId="23F9C87C" w:rsidR="004E2C67" w:rsidRPr="00307D85" w:rsidRDefault="004E2C67" w:rsidP="004E2C67">
            <w:pPr>
              <w:pStyle w:val="NormalWeb"/>
              <w:spacing w:before="120" w:beforeAutospacing="0" w:after="0" w:afterAutospacing="0"/>
              <w:jc w:val="both"/>
              <w:rPr>
                <w:rFonts w:ascii="Verdana" w:hAnsi="Verdana"/>
                <w:b w:val="0"/>
                <w:bCs w:val="0"/>
                <w:color w:val="002060"/>
                <w:sz w:val="15"/>
                <w:szCs w:val="15"/>
                <w:lang w:val="en-GB"/>
              </w:rPr>
            </w:pPr>
            <w:r w:rsidRPr="005F6CB8">
              <w:rPr>
                <w:rFonts w:ascii="Verdana" w:hAnsi="Verdana"/>
                <w:color w:val="002060"/>
                <w:sz w:val="15"/>
                <w:szCs w:val="15"/>
                <w:lang w:val="en-GB"/>
              </w:rPr>
              <w:t xml:space="preserve">Journal Home Page: </w:t>
            </w:r>
            <w:hyperlink r:id="rId15" w:history="1">
              <w:r w:rsidRPr="005F6CB8">
                <w:rPr>
                  <w:rStyle w:val="Hyperlink"/>
                  <w:rFonts w:ascii="Verdana" w:hAnsi="Verdana"/>
                  <w:sz w:val="15"/>
                  <w:szCs w:val="15"/>
                  <w:lang w:val="en-GB"/>
                </w:rPr>
                <w:t>www.newtifi.com/publishing/journals/restructuring</w:t>
              </w:r>
            </w:hyperlink>
            <w:r w:rsidRPr="005F6CB8">
              <w:rPr>
                <w:rStyle w:val="Hyperlink"/>
                <w:rFonts w:ascii="Verdana" w:hAnsi="Verdana"/>
                <w:sz w:val="15"/>
                <w:szCs w:val="15"/>
                <w:lang w:val="en-GB"/>
              </w:rPr>
              <w:t xml:space="preserve"> </w:t>
            </w:r>
            <w:r w:rsidRPr="005F6CB8">
              <w:rPr>
                <w:rStyle w:val="Hyperlink"/>
                <w:rFonts w:ascii="Verdana" w:hAnsi="Verdana"/>
                <w:sz w:val="15"/>
                <w:szCs w:val="15"/>
              </w:rPr>
              <w:t>&amp;</w:t>
            </w:r>
            <w:r w:rsidRPr="005F6CB8">
              <w:rPr>
                <w:rStyle w:val="Hyperlink"/>
                <w:rFonts w:ascii="Verdana" w:hAnsi="Verdana"/>
                <w:sz w:val="15"/>
                <w:szCs w:val="15"/>
                <w:lang w:val="en-US"/>
              </w:rPr>
              <w:t xml:space="preserve"> insolvency</w:t>
            </w:r>
          </w:p>
        </w:tc>
      </w:tr>
    </w:tbl>
    <w:p w14:paraId="08D9549D" w14:textId="6A24F5C0" w:rsidR="00035CA1" w:rsidRPr="00307D85" w:rsidRDefault="00035CA1" w:rsidP="00437F0B">
      <w:pPr>
        <w:pStyle w:val="BodyText"/>
        <w:spacing w:before="120"/>
        <w:rPr>
          <w:rFonts w:ascii="Verdana" w:hAnsi="Verdana"/>
          <w:b/>
          <w:sz w:val="19"/>
          <w:lang w:val="en-GB"/>
        </w:rPr>
        <w:sectPr w:rsidR="00035CA1" w:rsidRPr="00307D85" w:rsidSect="004E2C67">
          <w:headerReference w:type="default" r:id="rId16"/>
          <w:footerReference w:type="even" r:id="rId17"/>
          <w:footerReference w:type="default" r:id="rId18"/>
          <w:type w:val="continuous"/>
          <w:pgSz w:w="11906" w:h="16838"/>
          <w:pgMar w:top="1440" w:right="1440" w:bottom="1440" w:left="1440" w:header="708" w:footer="708" w:gutter="0"/>
          <w:pgNumType w:start="13"/>
          <w:cols w:space="708"/>
          <w:docGrid w:linePitch="360"/>
        </w:sectPr>
      </w:pPr>
      <w:r w:rsidRPr="00307D85">
        <w:rPr>
          <w:rFonts w:ascii="Verdana" w:hAnsi="Verdana"/>
          <w:b/>
          <w:noProof/>
          <w:sz w:val="19"/>
          <w:lang w:val="en-GB"/>
        </w:rPr>
        <mc:AlternateContent>
          <mc:Choice Requires="wps">
            <w:drawing>
              <wp:anchor distT="0" distB="0" distL="0" distR="0" simplePos="0" relativeHeight="251660288" behindDoc="1" locked="0" layoutInCell="1" allowOverlap="1" wp14:anchorId="1839A036" wp14:editId="75C3F3B5">
                <wp:simplePos x="0" y="0"/>
                <wp:positionH relativeFrom="page">
                  <wp:posOffset>443159</wp:posOffset>
                </wp:positionH>
                <wp:positionV relativeFrom="paragraph">
                  <wp:posOffset>165784</wp:posOffset>
                </wp:positionV>
                <wp:extent cx="6668134" cy="1270"/>
                <wp:effectExtent l="0" t="0" r="0" b="0"/>
                <wp:wrapTopAndBottom/>
                <wp:docPr id="185731196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8134" cy="1270"/>
                        </a:xfrm>
                        <a:custGeom>
                          <a:avLst/>
                          <a:gdLst/>
                          <a:ahLst/>
                          <a:cxnLst/>
                          <a:rect l="l" t="t" r="r" b="b"/>
                          <a:pathLst>
                            <a:path w="6668134">
                              <a:moveTo>
                                <a:pt x="0" y="0"/>
                              </a:moveTo>
                              <a:lnTo>
                                <a:pt x="6667661"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C9B6A9" id="Graphic 6" o:spid="_x0000_s1026" style="position:absolute;margin-left:34.9pt;margin-top:13.05pt;width:525.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668134,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" path="m,l6667661,e" filled="f">
                <v:path arrowok="t"/>
                <w10:wrap type="topAndBottom" anchorx="page"/>
              </v:shape>
            </w:pict>
          </mc:Fallback>
        </mc:AlternateContent>
      </w:r>
    </w:p>
    <w:tbl>
      <w:tblPr>
        <w:tblStyle w:val="TableGrid"/>
        <w:tblW w:w="971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14"/>
      </w:tblGrid>
      <w:tr w:rsidR="00247CAF" w:rsidRPr="00307D85" w14:paraId="036B0304" w14:textId="77777777" w:rsidTr="00A405B6">
        <w:tc>
          <w:tcPr>
            <w:tcW w:w="9714" w:type="dxa"/>
          </w:tcPr>
          <w:p w14:paraId="4DB3BD1E" w14:textId="59E3533B" w:rsidR="00247CAF" w:rsidRPr="00307D85" w:rsidRDefault="00247CAF" w:rsidP="00437F0B">
            <w:pPr>
              <w:pStyle w:val="NormalWeb"/>
              <w:spacing w:before="0" w:beforeAutospacing="0" w:after="120" w:afterAutospacing="0"/>
              <w:jc w:val="both"/>
              <w:rPr>
                <w:rFonts w:ascii="Verdana" w:hAnsi="Verdana"/>
                <w:color w:val="002060"/>
                <w:sz w:val="18"/>
                <w:szCs w:val="18"/>
                <w:lang w:val="en-GB"/>
              </w:rPr>
            </w:pPr>
            <w:r w:rsidRPr="00307D85">
              <w:rPr>
                <w:rFonts w:ascii="Verdana" w:hAnsi="Verdana"/>
                <w:b w:val="0"/>
                <w:bCs w:val="0"/>
                <w:i/>
                <w:iCs/>
                <w:color w:val="002060"/>
                <w:w w:val="105"/>
                <w:sz w:val="10"/>
                <w:szCs w:val="10"/>
                <w:lang w:val="en-GB"/>
              </w:rPr>
              <w:t xml:space="preserve">This article was authored by </w:t>
            </w:r>
            <w:proofErr w:type="spellStart"/>
            <w:r w:rsidRPr="00307D85">
              <w:rPr>
                <w:rFonts w:ascii="Verdana" w:hAnsi="Verdana"/>
                <w:b w:val="0"/>
                <w:bCs w:val="0"/>
                <w:i/>
                <w:iCs/>
                <w:color w:val="002060"/>
                <w:w w:val="105"/>
                <w:sz w:val="10"/>
                <w:szCs w:val="10"/>
                <w:lang w:val="en-GB"/>
              </w:rPr>
              <w:t>Ezechiel</w:t>
            </w:r>
            <w:proofErr w:type="spellEnd"/>
            <w:r w:rsidRPr="00307D85">
              <w:rPr>
                <w:rFonts w:ascii="Verdana" w:hAnsi="Verdana"/>
                <w:b w:val="0"/>
                <w:bCs w:val="0"/>
                <w:i/>
                <w:iCs/>
                <w:color w:val="002060"/>
                <w:w w:val="105"/>
                <w:sz w:val="10"/>
                <w:szCs w:val="10"/>
                <w:lang w:val="en-GB"/>
              </w:rPr>
              <w:t xml:space="preserve"> </w:t>
            </w:r>
            <w:proofErr w:type="spellStart"/>
            <w:r w:rsidRPr="00307D85">
              <w:rPr>
                <w:rFonts w:ascii="Verdana" w:hAnsi="Verdana"/>
                <w:b w:val="0"/>
                <w:bCs w:val="0"/>
                <w:i/>
                <w:iCs/>
                <w:color w:val="002060"/>
                <w:w w:val="105"/>
                <w:sz w:val="10"/>
                <w:szCs w:val="10"/>
                <w:lang w:val="en-GB"/>
              </w:rPr>
              <w:t>Havrenne</w:t>
            </w:r>
            <w:proofErr w:type="spellEnd"/>
            <w:r w:rsidR="004E269A" w:rsidRPr="00307D85">
              <w:rPr>
                <w:rFonts w:ascii="Verdana" w:hAnsi="Verdana"/>
                <w:b w:val="0"/>
                <w:bCs w:val="0"/>
                <w:i/>
                <w:iCs/>
                <w:color w:val="002060"/>
                <w:w w:val="105"/>
                <w:sz w:val="10"/>
                <w:szCs w:val="10"/>
                <w:lang w:val="en-GB"/>
              </w:rPr>
              <w:t xml:space="preserve"> </w:t>
            </w:r>
            <w:r w:rsidRPr="00307D85">
              <w:rPr>
                <w:rFonts w:ascii="Verdana" w:hAnsi="Verdana"/>
                <w:b w:val="0"/>
                <w:bCs w:val="0"/>
                <w:i/>
                <w:iCs/>
                <w:color w:val="002060"/>
                <w:w w:val="105"/>
                <w:sz w:val="10"/>
                <w:szCs w:val="10"/>
                <w:lang w:val="en-GB"/>
              </w:rPr>
              <w:t xml:space="preserve">and has been subject to </w:t>
            </w:r>
            <w:r w:rsidR="004E269A" w:rsidRPr="00307D85">
              <w:rPr>
                <w:rFonts w:ascii="Verdana" w:hAnsi="Verdana"/>
                <w:b w:val="0"/>
                <w:bCs w:val="0"/>
                <w:i/>
                <w:iCs/>
                <w:color w:val="002060"/>
                <w:w w:val="105"/>
                <w:sz w:val="10"/>
                <w:szCs w:val="10"/>
                <w:lang w:val="en-GB"/>
              </w:rPr>
              <w:t xml:space="preserve">a double </w:t>
            </w:r>
            <w:r w:rsidRPr="00307D85">
              <w:rPr>
                <w:rFonts w:ascii="Verdana" w:hAnsi="Verdana"/>
                <w:b w:val="0"/>
                <w:bCs w:val="0"/>
                <w:i/>
                <w:iCs/>
                <w:color w:val="002060"/>
                <w:w w:val="105"/>
                <w:sz w:val="10"/>
                <w:szCs w:val="10"/>
                <w:lang w:val="en-GB"/>
              </w:rPr>
              <w:t>peer review. The views expressed herein reflect the author</w:t>
            </w:r>
            <w:r w:rsidR="004E269A" w:rsidRPr="00307D85">
              <w:rPr>
                <w:rFonts w:ascii="Verdana" w:hAnsi="Verdana"/>
                <w:b w:val="0"/>
                <w:bCs w:val="0"/>
                <w:i/>
                <w:iCs/>
                <w:color w:val="002060"/>
                <w:w w:val="105"/>
                <w:sz w:val="10"/>
                <w:szCs w:val="10"/>
                <w:lang w:val="en-GB"/>
              </w:rPr>
              <w:t>’</w:t>
            </w:r>
            <w:r w:rsidR="004E2C67">
              <w:rPr>
                <w:rFonts w:ascii="Verdana" w:hAnsi="Verdana"/>
                <w:b w:val="0"/>
                <w:bCs w:val="0"/>
                <w:i/>
                <w:iCs/>
                <w:color w:val="002060"/>
                <w:w w:val="105"/>
                <w:sz w:val="10"/>
                <w:szCs w:val="10"/>
                <w:lang w:val="en-GB"/>
              </w:rPr>
              <w:t>s</w:t>
            </w:r>
            <w:r w:rsidRPr="00307D85">
              <w:rPr>
                <w:rFonts w:ascii="Verdana" w:hAnsi="Verdana"/>
                <w:b w:val="0"/>
                <w:bCs w:val="0"/>
                <w:i/>
                <w:iCs/>
                <w:color w:val="002060"/>
                <w:w w:val="105"/>
                <w:sz w:val="10"/>
                <w:szCs w:val="10"/>
                <w:lang w:val="en-GB"/>
              </w:rPr>
              <w:t xml:space="preserve"> experience and understanding of the subject matter at the time of writing. Given the dynamic nature of the investment management sector, these views may evolve over time. This publication is intended solely for academic and informational purposes. It does not constitute, and should not be relied upon as legal, tax, investment, or structuring advice from the author, the peer-</w:t>
            </w:r>
            <w:r w:rsidR="004E269A" w:rsidRPr="00307D85">
              <w:rPr>
                <w:rFonts w:ascii="Verdana" w:hAnsi="Verdana"/>
                <w:b w:val="0"/>
                <w:bCs w:val="0"/>
                <w:i/>
                <w:iCs/>
                <w:color w:val="002060"/>
                <w:w w:val="105"/>
                <w:sz w:val="10"/>
                <w:szCs w:val="10"/>
                <w:lang w:val="en-GB"/>
              </w:rPr>
              <w:t>reviewers</w:t>
            </w:r>
            <w:r w:rsidRPr="00307D85">
              <w:rPr>
                <w:rFonts w:ascii="Verdana" w:hAnsi="Verdana"/>
                <w:b w:val="0"/>
                <w:bCs w:val="0"/>
                <w:i/>
                <w:iCs/>
                <w:color w:val="002060"/>
                <w:w w:val="105"/>
                <w:sz w:val="10"/>
                <w:szCs w:val="10"/>
                <w:lang w:val="en-GB"/>
              </w:rPr>
              <w:t>, or any affiliated individual or organisation. Furthermore, the content thereof does not necessarily reflect the official position of any entity with which the author or peer-</w:t>
            </w:r>
            <w:r w:rsidR="004E269A" w:rsidRPr="00307D85">
              <w:rPr>
                <w:rFonts w:ascii="Verdana" w:hAnsi="Verdana"/>
                <w:b w:val="0"/>
                <w:bCs w:val="0"/>
                <w:i/>
                <w:iCs/>
                <w:color w:val="002060"/>
                <w:w w:val="105"/>
                <w:sz w:val="10"/>
                <w:szCs w:val="10"/>
                <w:lang w:val="en-GB"/>
              </w:rPr>
              <w:t>reviewers</w:t>
            </w:r>
            <w:r w:rsidRPr="00307D85">
              <w:rPr>
                <w:rFonts w:ascii="Verdana" w:hAnsi="Verdana"/>
                <w:b w:val="0"/>
                <w:bCs w:val="0"/>
                <w:i/>
                <w:iCs/>
                <w:color w:val="002060"/>
                <w:w w:val="105"/>
                <w:sz w:val="10"/>
                <w:szCs w:val="10"/>
                <w:lang w:val="en-GB"/>
              </w:rPr>
              <w:t xml:space="preserve"> may be affiliated and or the one of the New Technologies &amp; Investment Funds Institute. The New Technologies &amp; Investment Funds Institute, the author, and the peer-</w:t>
            </w:r>
            <w:r w:rsidR="004E269A" w:rsidRPr="00307D85">
              <w:rPr>
                <w:rFonts w:ascii="Verdana" w:hAnsi="Verdana"/>
                <w:b w:val="0"/>
                <w:bCs w:val="0"/>
                <w:i/>
                <w:iCs/>
                <w:color w:val="002060"/>
                <w:w w:val="105"/>
                <w:sz w:val="10"/>
                <w:szCs w:val="10"/>
                <w:lang w:val="en-GB"/>
              </w:rPr>
              <w:t>reviewers</w:t>
            </w:r>
            <w:r w:rsidRPr="00307D85">
              <w:rPr>
                <w:rFonts w:ascii="Verdana" w:hAnsi="Verdana"/>
                <w:b w:val="0"/>
                <w:bCs w:val="0"/>
                <w:i/>
                <w:iCs/>
                <w:color w:val="002060"/>
                <w:w w:val="105"/>
                <w:sz w:val="10"/>
                <w:szCs w:val="10"/>
                <w:lang w:val="en-GB"/>
              </w:rPr>
              <w:t xml:space="preserve"> expressly disclaim any and all liability arising from reliance on the information contained in this article. Readers are advised to seek independent professional advice on any of the matters discussed herein.</w:t>
            </w:r>
          </w:p>
        </w:tc>
      </w:tr>
      <w:tr w:rsidR="00E81C2E" w:rsidRPr="00307D85" w14:paraId="2CB9751A" w14:textId="77777777" w:rsidTr="00A405B6">
        <w:tc>
          <w:tcPr>
            <w:tcW w:w="9714" w:type="dxa"/>
          </w:tcPr>
          <w:p w14:paraId="0482E5E0" w14:textId="77777777" w:rsidR="00E81C2E" w:rsidRPr="00307D85" w:rsidRDefault="00E81C2E" w:rsidP="00437F0B">
            <w:pPr>
              <w:pStyle w:val="NormalWeb"/>
              <w:spacing w:before="0" w:beforeAutospacing="0" w:after="120" w:afterAutospacing="0"/>
              <w:jc w:val="both"/>
              <w:rPr>
                <w:rFonts w:ascii="Verdana" w:hAnsi="Verdana"/>
                <w:color w:val="002060"/>
                <w:sz w:val="18"/>
                <w:szCs w:val="18"/>
                <w:lang w:val="en-GB"/>
              </w:rPr>
            </w:pPr>
            <w:r w:rsidRPr="00307D85">
              <w:rPr>
                <w:rFonts w:ascii="Verdana" w:hAnsi="Verdana"/>
                <w:color w:val="002060"/>
                <w:sz w:val="18"/>
                <w:szCs w:val="18"/>
                <w:lang w:val="en-GB"/>
              </w:rPr>
              <w:t>Introduction</w:t>
            </w:r>
          </w:p>
        </w:tc>
      </w:tr>
      <w:tr w:rsidR="00ED2283" w:rsidRPr="00307D85" w14:paraId="659039FB" w14:textId="77777777" w:rsidTr="00A405B6">
        <w:tc>
          <w:tcPr>
            <w:tcW w:w="9714" w:type="dxa"/>
          </w:tcPr>
          <w:p w14:paraId="22EC7D50" w14:textId="6FA15959"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t xml:space="preserve">Luxembourg investment fund vehicles sit at the intersection of general </w:t>
            </w:r>
            <w:r>
              <w:rPr>
                <w:rFonts w:ascii="Verdana" w:hAnsi="Verdana"/>
                <w:b w:val="0"/>
                <w:bCs w:val="0"/>
                <w:color w:val="000000" w:themeColor="text1"/>
                <w:sz w:val="18"/>
                <w:szCs w:val="18"/>
                <w:lang w:val="en-GB"/>
              </w:rPr>
              <w:t>c</w:t>
            </w:r>
            <w:r w:rsidRPr="00824F60">
              <w:rPr>
                <w:rFonts w:ascii="Verdana" w:hAnsi="Verdana"/>
                <w:b w:val="0"/>
                <w:bCs w:val="0"/>
                <w:color w:val="000000" w:themeColor="text1"/>
                <w:sz w:val="18"/>
                <w:szCs w:val="18"/>
                <w:lang w:val="en-GB"/>
              </w:rPr>
              <w:t xml:space="preserve">ivil law and specialised product regimes. While the </w:t>
            </w:r>
            <w:r w:rsidRPr="00307D85">
              <w:rPr>
                <w:rFonts w:ascii="Verdana" w:hAnsi="Verdana"/>
                <w:b w:val="0"/>
                <w:bCs w:val="0"/>
                <w:color w:val="000000" w:themeColor="text1"/>
                <w:sz w:val="18"/>
                <w:szCs w:val="18"/>
                <w:lang w:val="en-GB"/>
              </w:rPr>
              <w:t>SICAR Act 2004,</w:t>
            </w:r>
            <w:r w:rsidRPr="00307D85">
              <w:rPr>
                <w:rStyle w:val="FootnoteReference"/>
                <w:rFonts w:ascii="Verdana" w:hAnsi="Verdana"/>
                <w:b w:val="0"/>
                <w:bCs w:val="0"/>
                <w:color w:val="002060"/>
                <w:sz w:val="18"/>
                <w:szCs w:val="18"/>
                <w:lang w:val="en-GB"/>
              </w:rPr>
              <w:footnoteReference w:id="1"/>
            </w:r>
            <w:r w:rsidRPr="00307D85">
              <w:rPr>
                <w:rFonts w:ascii="Verdana" w:hAnsi="Verdana"/>
                <w:b w:val="0"/>
                <w:bCs w:val="0"/>
                <w:color w:val="000000" w:themeColor="text1"/>
                <w:sz w:val="18"/>
                <w:szCs w:val="18"/>
                <w:lang w:val="en-GB"/>
              </w:rPr>
              <w:t xml:space="preserve"> the SIF Act 2007,</w:t>
            </w:r>
            <w:r w:rsidRPr="00307D85">
              <w:rPr>
                <w:rStyle w:val="FootnoteReference"/>
                <w:rFonts w:ascii="Verdana" w:hAnsi="Verdana"/>
                <w:b w:val="0"/>
                <w:bCs w:val="0"/>
                <w:color w:val="002060"/>
                <w:sz w:val="18"/>
                <w:szCs w:val="18"/>
                <w:lang w:val="en-GB"/>
              </w:rPr>
              <w:footnoteReference w:id="2"/>
            </w:r>
            <w:r w:rsidRPr="00307D85">
              <w:rPr>
                <w:rFonts w:ascii="Verdana" w:hAnsi="Verdana"/>
                <w:b w:val="0"/>
                <w:bCs w:val="0"/>
                <w:color w:val="000000" w:themeColor="text1"/>
                <w:sz w:val="18"/>
                <w:szCs w:val="18"/>
                <w:lang w:val="en-GB"/>
              </w:rPr>
              <w:t xml:space="preserve"> the UCI Act 2010</w:t>
            </w:r>
            <w:r w:rsidRPr="00307D85">
              <w:rPr>
                <w:rStyle w:val="FootnoteReference"/>
                <w:rFonts w:ascii="Verdana" w:hAnsi="Verdana"/>
                <w:b w:val="0"/>
                <w:bCs w:val="0"/>
                <w:color w:val="000000" w:themeColor="text1"/>
                <w:sz w:val="18"/>
                <w:szCs w:val="18"/>
                <w:lang w:val="en-GB"/>
              </w:rPr>
              <w:footnoteReference w:id="3"/>
            </w:r>
            <w:r w:rsidRPr="00307D85">
              <w:rPr>
                <w:rFonts w:ascii="Verdana" w:hAnsi="Verdana"/>
                <w:b w:val="0"/>
                <w:bCs w:val="0"/>
                <w:color w:val="000000" w:themeColor="text1"/>
                <w:sz w:val="18"/>
                <w:szCs w:val="18"/>
                <w:lang w:val="en-GB"/>
              </w:rPr>
              <w:t xml:space="preserve"> or the RAIF </w:t>
            </w:r>
            <w:r w:rsidRPr="00307D85">
              <w:rPr>
                <w:rFonts w:ascii="Verdana" w:hAnsi="Verdana"/>
                <w:b w:val="0"/>
                <w:bCs w:val="0"/>
                <w:color w:val="000000" w:themeColor="text1"/>
                <w:sz w:val="18"/>
                <w:szCs w:val="18"/>
                <w:lang w:val="en-GB"/>
              </w:rPr>
              <w:lastRenderedPageBreak/>
              <w:t>Act 2016</w:t>
            </w:r>
            <w:r w:rsidRPr="00307D85">
              <w:rPr>
                <w:rStyle w:val="FootnoteReference"/>
                <w:rFonts w:ascii="Verdana" w:hAnsi="Verdana"/>
                <w:b w:val="0"/>
                <w:bCs w:val="0"/>
                <w:color w:val="002060"/>
                <w:sz w:val="18"/>
                <w:szCs w:val="18"/>
                <w:lang w:val="en-GB"/>
              </w:rPr>
              <w:footnoteReference w:id="4"/>
            </w:r>
            <w:r w:rsidRPr="00307D85">
              <w:rPr>
                <w:rFonts w:ascii="Verdana" w:hAnsi="Verdana"/>
                <w:b w:val="0"/>
                <w:bCs w:val="0"/>
                <w:color w:val="000000" w:themeColor="text1"/>
                <w:sz w:val="18"/>
                <w:szCs w:val="18"/>
                <w:lang w:val="en-GB"/>
              </w:rPr>
              <w:t xml:space="preserve"> (together, the “</w:t>
            </w:r>
            <w:r w:rsidRPr="00307D85">
              <w:rPr>
                <w:rFonts w:ascii="Verdana" w:hAnsi="Verdana"/>
                <w:color w:val="002060"/>
                <w:sz w:val="18"/>
                <w:szCs w:val="18"/>
                <w:lang w:val="en-GB"/>
              </w:rPr>
              <w:t>Product Fund Laws</w:t>
            </w:r>
            <w:r w:rsidRPr="00307D85">
              <w:rPr>
                <w:rFonts w:ascii="Verdana" w:hAnsi="Verdana"/>
                <w:b w:val="0"/>
                <w:bCs w:val="0"/>
                <w:color w:val="000000" w:themeColor="text1"/>
                <w:sz w:val="18"/>
                <w:szCs w:val="18"/>
                <w:lang w:val="en-GB"/>
              </w:rPr>
              <w:t>”)</w:t>
            </w:r>
            <w:r w:rsidRPr="00824F60">
              <w:rPr>
                <w:rFonts w:ascii="Verdana" w:hAnsi="Verdana"/>
                <w:b w:val="0"/>
                <w:bCs w:val="0"/>
                <w:color w:val="000000" w:themeColor="text1"/>
                <w:sz w:val="18"/>
                <w:szCs w:val="18"/>
                <w:lang w:val="en-GB"/>
              </w:rPr>
              <w:t xml:space="preserve"> build detailed frameworks for authorisation, governance and investor protection, they do not displace the foundational proposition that an investment company remains, in principle, a company or partnership governed </w:t>
            </w:r>
            <w:r w:rsidR="00E96C13" w:rsidRPr="00824F60">
              <w:rPr>
                <w:rFonts w:ascii="Verdana" w:hAnsi="Verdana"/>
                <w:b w:val="0"/>
                <w:bCs w:val="0"/>
                <w:color w:val="000000" w:themeColor="text1"/>
                <w:sz w:val="18"/>
                <w:szCs w:val="18"/>
                <w:lang w:val="en-GB"/>
              </w:rPr>
              <w:t xml:space="preserve">where applicable </w:t>
            </w:r>
            <w:r w:rsidRPr="00824F60">
              <w:rPr>
                <w:rFonts w:ascii="Verdana" w:hAnsi="Verdana"/>
                <w:b w:val="0"/>
                <w:bCs w:val="0"/>
                <w:color w:val="000000" w:themeColor="text1"/>
                <w:sz w:val="18"/>
                <w:szCs w:val="18"/>
                <w:lang w:val="en-GB"/>
              </w:rPr>
              <w:t>by the Civil Code and the Law of 10 August 1915 on Commercial Companies.</w:t>
            </w:r>
          </w:p>
        </w:tc>
      </w:tr>
      <w:tr w:rsidR="00ED2283" w:rsidRPr="00307D85" w14:paraId="3BE296E2" w14:textId="77777777" w:rsidTr="00A405B6">
        <w:tc>
          <w:tcPr>
            <w:tcW w:w="9714" w:type="dxa"/>
          </w:tcPr>
          <w:p w14:paraId="690D3CCE" w14:textId="0707B11D"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lastRenderedPageBreak/>
              <w:t xml:space="preserve">This interaction becomes particularly salient in the context of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dissolution. Luxembourg law recognises situations in which dissolution follows automatically from the occurrence of a legally defined event, without any contemporaneous constitutive act. In the ordinary corporate setting, such automaticity raises limited conceptual difficulty. In the product-fund setting – where vehicles are supervised, serviced by regulated intermediaries, and often structured with compartments – it raises a more acute question: how can the legal existence of a fund vehicle, or the continuity of a compartmentalised umbrella, be brought to an end by operation of law alone?</w:t>
            </w:r>
          </w:p>
        </w:tc>
      </w:tr>
      <w:tr w:rsidR="00ED2283" w:rsidRPr="00307D85" w14:paraId="218BF524" w14:textId="77777777" w:rsidTr="00A405B6">
        <w:tc>
          <w:tcPr>
            <w:tcW w:w="9714" w:type="dxa"/>
          </w:tcPr>
          <w:p w14:paraId="7EC33317" w14:textId="59818C6E"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t xml:space="preserve">The issue is not merely theoretical. Automatic dissolution or liquidation may affect the validity of new issues, the continuity of mandates, the allocation of powers between governing bodies and liquidators, and the timing of regulatory steps and investor communications. It may also generate friction between the logic of legal certainty – central to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 xml:space="preserve">triggers – and the practical reality of fund operations, which often presupposes orderly implementation through service providers and, in regulated cases, supervisory interaction with the </w:t>
            </w:r>
            <w:r w:rsidR="00E96C13" w:rsidRPr="00307D85">
              <w:rPr>
                <w:rFonts w:ascii="Verdana" w:hAnsi="Verdana"/>
                <w:b w:val="0"/>
                <w:bCs w:val="0"/>
                <w:color w:val="000000" w:themeColor="text1"/>
                <w:sz w:val="18"/>
                <w:szCs w:val="18"/>
                <w:lang w:val="en-GB"/>
              </w:rPr>
              <w:t xml:space="preserve">Luxembourg financial supervisory authority (the </w:t>
            </w:r>
            <w:r w:rsidR="00E96C13" w:rsidRPr="00307D85">
              <w:rPr>
                <w:rFonts w:ascii="Verdana" w:hAnsi="Verdana"/>
                <w:b w:val="0"/>
                <w:bCs w:val="0"/>
                <w:i/>
                <w:iCs/>
                <w:color w:val="000000" w:themeColor="text1"/>
                <w:sz w:val="18"/>
                <w:szCs w:val="18"/>
                <w:lang w:val="en-GB"/>
              </w:rPr>
              <w:t xml:space="preserve">Commission de Surveillance du </w:t>
            </w:r>
            <w:proofErr w:type="spellStart"/>
            <w:r w:rsidR="00E96C13" w:rsidRPr="00307D85">
              <w:rPr>
                <w:rFonts w:ascii="Verdana" w:hAnsi="Verdana"/>
                <w:b w:val="0"/>
                <w:bCs w:val="0"/>
                <w:i/>
                <w:iCs/>
                <w:color w:val="000000" w:themeColor="text1"/>
                <w:sz w:val="18"/>
                <w:szCs w:val="18"/>
                <w:lang w:val="en-GB"/>
              </w:rPr>
              <w:t>Secteur</w:t>
            </w:r>
            <w:proofErr w:type="spellEnd"/>
            <w:r w:rsidR="00E96C13" w:rsidRPr="00307D85">
              <w:rPr>
                <w:rFonts w:ascii="Verdana" w:hAnsi="Verdana"/>
                <w:b w:val="0"/>
                <w:bCs w:val="0"/>
                <w:i/>
                <w:iCs/>
                <w:color w:val="000000" w:themeColor="text1"/>
                <w:sz w:val="18"/>
                <w:szCs w:val="18"/>
                <w:lang w:val="en-GB"/>
              </w:rPr>
              <w:t xml:space="preserve"> Financer</w:t>
            </w:r>
            <w:r w:rsidR="00E96C13" w:rsidRPr="00307D85">
              <w:rPr>
                <w:rFonts w:ascii="Verdana" w:hAnsi="Verdana"/>
                <w:b w:val="0"/>
                <w:bCs w:val="0"/>
                <w:color w:val="000000" w:themeColor="text1"/>
                <w:sz w:val="18"/>
                <w:szCs w:val="18"/>
                <w:lang w:val="en-GB"/>
              </w:rPr>
              <w:t xml:space="preserve"> or “</w:t>
            </w:r>
            <w:r w:rsidR="00E96C13" w:rsidRPr="00307D85">
              <w:rPr>
                <w:rFonts w:ascii="Verdana" w:hAnsi="Verdana"/>
                <w:color w:val="002060"/>
                <w:sz w:val="18"/>
                <w:szCs w:val="18"/>
                <w:lang w:val="en-GB"/>
              </w:rPr>
              <w:t>CSSF</w:t>
            </w:r>
            <w:r w:rsidR="00E96C13" w:rsidRPr="00307D85">
              <w:rPr>
                <w:rFonts w:ascii="Verdana" w:hAnsi="Verdana"/>
                <w:b w:val="0"/>
                <w:bCs w:val="0"/>
                <w:color w:val="000000" w:themeColor="text1"/>
                <w:sz w:val="18"/>
                <w:szCs w:val="18"/>
                <w:lang w:val="en-GB"/>
              </w:rPr>
              <w:t>”)</w:t>
            </w:r>
            <w:r w:rsidRPr="00824F60">
              <w:rPr>
                <w:rFonts w:ascii="Verdana" w:hAnsi="Verdana"/>
                <w:b w:val="0"/>
                <w:bCs w:val="0"/>
                <w:color w:val="000000" w:themeColor="text1"/>
                <w:sz w:val="18"/>
                <w:szCs w:val="18"/>
                <w:lang w:val="en-GB"/>
              </w:rPr>
              <w:t>.</w:t>
            </w:r>
          </w:p>
        </w:tc>
      </w:tr>
      <w:tr w:rsidR="00ED2283" w:rsidRPr="00307D85" w14:paraId="1670A99B" w14:textId="77777777" w:rsidTr="00A405B6">
        <w:tc>
          <w:tcPr>
            <w:tcW w:w="9714" w:type="dxa"/>
          </w:tcPr>
          <w:p w14:paraId="11481C41" w14:textId="19033C56"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t xml:space="preserve">This paper examines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 xml:space="preserve">dissolution and liquidation mechanisms applicable to Luxembourg product-fund structures through two lenses. First, it analyses the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 xml:space="preserve">dissolution events listed in Article 1865 of the Civil Code as they apply to investment companies and partnerships used as product-fund vehicles, focusing in particular on expiry of term and extinction or frustration of corporate object. Second, it addresses the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trigger embedded in the Product Fund Laws themselves for umbrella structures: the “last-compartment rule”, pursuant to which the disappearance of the final remaining compartment entails the liquidation of the umbrella.</w:t>
            </w:r>
          </w:p>
        </w:tc>
      </w:tr>
      <w:tr w:rsidR="00ED2283" w:rsidRPr="00307D85" w14:paraId="2F51F2AD" w14:textId="77777777" w:rsidTr="00A405B6">
        <w:tc>
          <w:tcPr>
            <w:tcW w:w="9714" w:type="dxa"/>
          </w:tcPr>
          <w:p w14:paraId="7B27576D" w14:textId="2C796D63"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t>A central aim is to clarify the conceptual boundary between dissolution and liquidation, and to identify the legally relevant “trigger moment” in each configuration. This includes the distinction between the opening and the closing of liquidation, the functional interpretation of the “liquidation of the last remaining compartment” (including merger-equivalent reorganisations), and the consequences that follow immediately by operation of law, as distinct from the operational and supervisory steps required to implement liquidation in practice.</w:t>
            </w:r>
          </w:p>
        </w:tc>
      </w:tr>
      <w:tr w:rsidR="00ED2283" w:rsidRPr="00307D85" w14:paraId="6AC54E18" w14:textId="77777777" w:rsidTr="00A405B6">
        <w:tc>
          <w:tcPr>
            <w:tcW w:w="9714" w:type="dxa"/>
          </w:tcPr>
          <w:p w14:paraId="75D796E9" w14:textId="2DCFADAB" w:rsidR="00ED2283" w:rsidRPr="00824F60" w:rsidRDefault="00824F60" w:rsidP="00437F0B">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824F60">
              <w:rPr>
                <w:rFonts w:ascii="Verdana" w:hAnsi="Verdana"/>
                <w:b w:val="0"/>
                <w:bCs w:val="0"/>
                <w:color w:val="000000" w:themeColor="text1"/>
                <w:sz w:val="18"/>
                <w:szCs w:val="18"/>
                <w:lang w:val="en-GB"/>
              </w:rPr>
              <w:t xml:space="preserve">The analysis proceeds in a deliberately comparative manner across corporate-form umbrellas (notably </w:t>
            </w:r>
            <w:r w:rsidR="00E96C13" w:rsidRPr="00307D85">
              <w:rPr>
                <w:rFonts w:ascii="Verdana" w:hAnsi="Verdana"/>
                <w:b w:val="0"/>
                <w:bCs w:val="0"/>
                <w:color w:val="000000" w:themeColor="text1"/>
                <w:sz w:val="18"/>
                <w:szCs w:val="18"/>
                <w:lang w:val="en-GB"/>
              </w:rPr>
              <w:t>investment company with variable capital (the “</w:t>
            </w:r>
            <w:r w:rsidR="00E96C13" w:rsidRPr="00307D85">
              <w:rPr>
                <w:rFonts w:ascii="Verdana" w:hAnsi="Verdana"/>
                <w:color w:val="002060"/>
                <w:sz w:val="18"/>
                <w:szCs w:val="18"/>
                <w:lang w:val="en-GB"/>
              </w:rPr>
              <w:t>SICAVs</w:t>
            </w:r>
            <w:r w:rsidR="00E96C13" w:rsidRPr="00307D85">
              <w:rPr>
                <w:rFonts w:ascii="Verdana" w:hAnsi="Verdana"/>
                <w:b w:val="0"/>
                <w:bCs w:val="0"/>
                <w:color w:val="000000" w:themeColor="text1"/>
                <w:sz w:val="18"/>
                <w:szCs w:val="18"/>
                <w:lang w:val="en-GB"/>
              </w:rPr>
              <w:t>”)</w:t>
            </w:r>
            <w:r w:rsidRPr="00824F60">
              <w:rPr>
                <w:rFonts w:ascii="Verdana" w:hAnsi="Verdana"/>
                <w:b w:val="0"/>
                <w:bCs w:val="0"/>
                <w:color w:val="000000" w:themeColor="text1"/>
                <w:sz w:val="18"/>
                <w:szCs w:val="18"/>
                <w:lang w:val="en-GB"/>
              </w:rPr>
              <w:t>) and contractual funds (</w:t>
            </w:r>
            <w:r w:rsidR="00E96C13">
              <w:rPr>
                <w:rFonts w:ascii="Verdana" w:hAnsi="Verdana"/>
                <w:b w:val="0"/>
                <w:bCs w:val="0"/>
                <w:i/>
                <w:iCs/>
                <w:color w:val="000000" w:themeColor="text1"/>
                <w:sz w:val="18"/>
                <w:szCs w:val="18"/>
                <w:lang w:val="en-GB"/>
              </w:rPr>
              <w:t>i.e.</w:t>
            </w:r>
            <w:r w:rsidR="00E96C13">
              <w:rPr>
                <w:rFonts w:ascii="Verdana" w:hAnsi="Verdana"/>
                <w:b w:val="0"/>
                <w:bCs w:val="0"/>
                <w:color w:val="000000" w:themeColor="text1"/>
                <w:sz w:val="18"/>
                <w:szCs w:val="18"/>
                <w:lang w:val="en-GB"/>
              </w:rPr>
              <w:t xml:space="preserve">, </w:t>
            </w:r>
            <w:r w:rsidR="00E96C13" w:rsidRPr="00307D85">
              <w:rPr>
                <w:rFonts w:ascii="Verdana" w:hAnsi="Verdana"/>
                <w:b w:val="0"/>
                <w:bCs w:val="0"/>
                <w:color w:val="000000" w:themeColor="text1"/>
                <w:sz w:val="18"/>
                <w:szCs w:val="18"/>
                <w:lang w:val="en-GB"/>
              </w:rPr>
              <w:t>common funds (the “</w:t>
            </w:r>
            <w:r w:rsidR="00E96C13" w:rsidRPr="00307D85">
              <w:rPr>
                <w:rFonts w:ascii="Verdana" w:hAnsi="Verdana"/>
                <w:color w:val="002060"/>
                <w:sz w:val="18"/>
                <w:szCs w:val="18"/>
                <w:lang w:val="en-GB"/>
              </w:rPr>
              <w:t>FCPs</w:t>
            </w:r>
            <w:r w:rsidR="00E96C13" w:rsidRPr="00307D85">
              <w:rPr>
                <w:rFonts w:ascii="Verdana" w:hAnsi="Verdana"/>
                <w:b w:val="0"/>
                <w:bCs w:val="0"/>
                <w:color w:val="000000" w:themeColor="text1"/>
                <w:sz w:val="18"/>
                <w:szCs w:val="18"/>
                <w:lang w:val="en-GB"/>
              </w:rPr>
              <w:t>”)</w:t>
            </w:r>
            <w:r w:rsidRPr="00824F60">
              <w:rPr>
                <w:rFonts w:ascii="Verdana" w:hAnsi="Verdana"/>
                <w:b w:val="0"/>
                <w:bCs w:val="0"/>
                <w:color w:val="000000" w:themeColor="text1"/>
                <w:sz w:val="18"/>
                <w:szCs w:val="18"/>
                <w:lang w:val="en-GB"/>
              </w:rPr>
              <w:t xml:space="preserve">). While the last-compartment rule produces an </w:t>
            </w:r>
            <w:r w:rsidRPr="00824F60">
              <w:rPr>
                <w:rFonts w:ascii="Verdana" w:hAnsi="Verdana"/>
                <w:b w:val="0"/>
                <w:bCs w:val="0"/>
                <w:i/>
                <w:iCs/>
                <w:color w:val="000000" w:themeColor="text1"/>
                <w:sz w:val="18"/>
                <w:szCs w:val="18"/>
                <w:lang w:val="en-GB"/>
              </w:rPr>
              <w:t xml:space="preserve">ipso jure </w:t>
            </w:r>
            <w:r w:rsidRPr="00824F60">
              <w:rPr>
                <w:rFonts w:ascii="Verdana" w:hAnsi="Verdana"/>
                <w:b w:val="0"/>
                <w:bCs w:val="0"/>
                <w:color w:val="000000" w:themeColor="text1"/>
                <w:sz w:val="18"/>
                <w:szCs w:val="18"/>
                <w:lang w:val="en-GB"/>
              </w:rPr>
              <w:t xml:space="preserve">dissolution for corporate umbrellas, it operates for FCPs as an automatic entry into liquidation within a contractual and statutory framework centred on the management company and depositary. The paper therefore seeks to articulate a coherent account of automaticity that remains faithful to Luxembourg </w:t>
            </w:r>
            <w:r w:rsidR="00E96C13">
              <w:rPr>
                <w:rFonts w:ascii="Verdana" w:hAnsi="Verdana"/>
                <w:b w:val="0"/>
                <w:bCs w:val="0"/>
                <w:color w:val="000000" w:themeColor="text1"/>
                <w:sz w:val="18"/>
                <w:szCs w:val="18"/>
                <w:lang w:val="en-GB"/>
              </w:rPr>
              <w:t>civil</w:t>
            </w:r>
            <w:r w:rsidRPr="00824F60">
              <w:rPr>
                <w:rFonts w:ascii="Verdana" w:hAnsi="Verdana"/>
                <w:b w:val="0"/>
                <w:bCs w:val="0"/>
                <w:color w:val="000000" w:themeColor="text1"/>
                <w:sz w:val="18"/>
                <w:szCs w:val="18"/>
                <w:lang w:val="en-GB"/>
              </w:rPr>
              <w:t xml:space="preserve"> law foundations while reflecting the structural and supervisory particularities of product-fund vehicles.</w:t>
            </w:r>
          </w:p>
        </w:tc>
      </w:tr>
      <w:tr w:rsidR="00ED2283" w:rsidRPr="00307D85" w14:paraId="17F1695D" w14:textId="77777777" w:rsidTr="00A405B6">
        <w:tc>
          <w:tcPr>
            <w:tcW w:w="9714" w:type="dxa"/>
          </w:tcPr>
          <w:p w14:paraId="2E51ECAD" w14:textId="6CACC41F" w:rsidR="00ED2283" w:rsidRPr="00307D85" w:rsidRDefault="00F67A3B" w:rsidP="00437F0B">
            <w:pPr>
              <w:pStyle w:val="NormalWeb"/>
              <w:numPr>
                <w:ilvl w:val="0"/>
                <w:numId w:val="63"/>
              </w:numPr>
              <w:spacing w:before="0" w:beforeAutospacing="0" w:after="120" w:afterAutospacing="0"/>
              <w:jc w:val="both"/>
              <w:rPr>
                <w:rFonts w:ascii="Verdana" w:hAnsi="Verdana"/>
                <w:color w:val="002060"/>
                <w:sz w:val="18"/>
                <w:szCs w:val="18"/>
                <w:lang w:val="en-GB"/>
              </w:rPr>
            </w:pPr>
            <w:r w:rsidRPr="00307D85">
              <w:rPr>
                <w:rFonts w:ascii="Verdana" w:hAnsi="Verdana"/>
                <w:i/>
                <w:iCs/>
                <w:color w:val="002060"/>
                <w:sz w:val="18"/>
                <w:szCs w:val="18"/>
                <w:lang w:val="en-GB"/>
              </w:rPr>
              <w:t>I</w:t>
            </w:r>
            <w:r w:rsidR="004A5515" w:rsidRPr="00307D85">
              <w:rPr>
                <w:rFonts w:ascii="Verdana" w:hAnsi="Verdana"/>
                <w:i/>
                <w:iCs/>
                <w:color w:val="002060"/>
                <w:sz w:val="18"/>
                <w:szCs w:val="18"/>
                <w:lang w:val="en-GB"/>
              </w:rPr>
              <w:t>pso jure</w:t>
            </w:r>
            <w:r w:rsidR="004A5515" w:rsidRPr="00307D85">
              <w:rPr>
                <w:rFonts w:ascii="Verdana" w:hAnsi="Verdana"/>
                <w:color w:val="002060"/>
                <w:sz w:val="18"/>
                <w:szCs w:val="18"/>
                <w:lang w:val="en-GB"/>
              </w:rPr>
              <w:t xml:space="preserve"> Dissolution</w:t>
            </w:r>
            <w:r w:rsidR="00E963F4">
              <w:rPr>
                <w:rFonts w:ascii="Verdana" w:hAnsi="Verdana"/>
                <w:color w:val="002060"/>
                <w:sz w:val="18"/>
                <w:szCs w:val="18"/>
                <w:lang w:val="en-GB"/>
              </w:rPr>
              <w:t xml:space="preserve"> Events Under Article 1865 of the </w:t>
            </w:r>
            <w:r w:rsidR="00E963F4" w:rsidRPr="00307D85">
              <w:rPr>
                <w:rFonts w:ascii="Verdana" w:hAnsi="Verdana"/>
                <w:color w:val="002060"/>
                <w:sz w:val="18"/>
                <w:szCs w:val="18"/>
                <w:lang w:val="en-GB"/>
              </w:rPr>
              <w:t xml:space="preserve">Civil Code </w:t>
            </w:r>
            <w:r w:rsidR="00E963F4">
              <w:rPr>
                <w:rFonts w:ascii="Verdana" w:hAnsi="Verdana"/>
                <w:color w:val="002060"/>
                <w:sz w:val="18"/>
                <w:szCs w:val="18"/>
                <w:lang w:val="en-GB"/>
              </w:rPr>
              <w:t>as Applied to Investment Companies</w:t>
            </w:r>
          </w:p>
        </w:tc>
      </w:tr>
      <w:tr w:rsidR="00FC48CF" w:rsidRPr="00307D85" w14:paraId="5BD166BE" w14:textId="77777777" w:rsidTr="00A405B6">
        <w:tc>
          <w:tcPr>
            <w:tcW w:w="9714" w:type="dxa"/>
          </w:tcPr>
          <w:p w14:paraId="0595B870" w14:textId="39AEEC73" w:rsidR="00FC48CF" w:rsidRPr="00307D85" w:rsidRDefault="0064505B" w:rsidP="000F0ED6">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sidRPr="00307D85">
              <w:rPr>
                <w:rFonts w:ascii="Verdana" w:hAnsi="Verdana"/>
                <w:b w:val="0"/>
                <w:bCs w:val="0"/>
                <w:color w:val="002060"/>
                <w:sz w:val="18"/>
                <w:szCs w:val="18"/>
                <w:lang w:val="en-GB"/>
              </w:rPr>
              <w:t>Trigger</w:t>
            </w:r>
            <w:r w:rsidR="000F0ED6" w:rsidRPr="00307D85">
              <w:rPr>
                <w:rFonts w:ascii="Verdana" w:hAnsi="Verdana"/>
                <w:b w:val="0"/>
                <w:bCs w:val="0"/>
                <w:color w:val="002060"/>
                <w:sz w:val="18"/>
                <w:szCs w:val="18"/>
                <w:lang w:val="en-GB"/>
              </w:rPr>
              <w:t>s</w:t>
            </w:r>
            <w:r w:rsidRPr="00307D85">
              <w:rPr>
                <w:rFonts w:ascii="Verdana" w:hAnsi="Verdana"/>
                <w:b w:val="0"/>
                <w:bCs w:val="0"/>
                <w:color w:val="002060"/>
                <w:sz w:val="18"/>
                <w:szCs w:val="18"/>
                <w:lang w:val="en-GB"/>
              </w:rPr>
              <w:t xml:space="preserve"> </w:t>
            </w:r>
            <w:r w:rsidR="00E963F4">
              <w:rPr>
                <w:rFonts w:ascii="Verdana" w:hAnsi="Verdana"/>
                <w:b w:val="0"/>
                <w:bCs w:val="0"/>
                <w:color w:val="002060"/>
                <w:sz w:val="18"/>
                <w:szCs w:val="18"/>
                <w:lang w:val="en-GB"/>
              </w:rPr>
              <w:t>U</w:t>
            </w:r>
            <w:r w:rsidRPr="00307D85">
              <w:rPr>
                <w:rFonts w:ascii="Verdana" w:hAnsi="Verdana"/>
                <w:b w:val="0"/>
                <w:bCs w:val="0"/>
                <w:color w:val="002060"/>
                <w:sz w:val="18"/>
                <w:szCs w:val="18"/>
                <w:lang w:val="en-GB"/>
              </w:rPr>
              <w:t>nder Article 1865 of the Civil Code</w:t>
            </w:r>
          </w:p>
        </w:tc>
      </w:tr>
      <w:tr w:rsidR="000F0ED6" w:rsidRPr="00307D85" w14:paraId="07596415" w14:textId="77777777" w:rsidTr="00A405B6">
        <w:tc>
          <w:tcPr>
            <w:tcW w:w="9714" w:type="dxa"/>
          </w:tcPr>
          <w:p w14:paraId="7C37E501" w14:textId="3A82AE06" w:rsidR="000F0ED6" w:rsidRPr="00307D85" w:rsidRDefault="000F0ED6" w:rsidP="000F0ED6">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 xml:space="preserve">Expiry of the </w:t>
            </w:r>
            <w:r w:rsidR="00E963F4">
              <w:rPr>
                <w:rFonts w:ascii="Verdana" w:hAnsi="Verdana"/>
                <w:b w:val="0"/>
                <w:bCs w:val="0"/>
                <w:i/>
                <w:iCs/>
                <w:color w:val="002060"/>
                <w:sz w:val="18"/>
                <w:szCs w:val="18"/>
                <w:lang w:val="en-GB"/>
              </w:rPr>
              <w:t>Fixed Term</w:t>
            </w:r>
          </w:p>
        </w:tc>
      </w:tr>
      <w:tr w:rsidR="004E269A" w:rsidRPr="00307D85" w14:paraId="0BBD8599" w14:textId="77777777" w:rsidTr="00A405B6">
        <w:tc>
          <w:tcPr>
            <w:tcW w:w="9714" w:type="dxa"/>
          </w:tcPr>
          <w:p w14:paraId="7CEF8490" w14:textId="1BE3CBB2" w:rsidR="004E269A" w:rsidRPr="00307D85" w:rsidRDefault="004E269A"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Article 1865 of the </w:t>
            </w:r>
            <w:r w:rsidR="00714DB3" w:rsidRPr="00307D85">
              <w:rPr>
                <w:rFonts w:ascii="Verdana" w:hAnsi="Verdana"/>
                <w:b w:val="0"/>
                <w:bCs w:val="0"/>
                <w:color w:val="000000" w:themeColor="text1"/>
                <w:sz w:val="18"/>
                <w:szCs w:val="18"/>
                <w:lang w:val="en-GB"/>
              </w:rPr>
              <w:t xml:space="preserve">Luxembourg </w:t>
            </w:r>
            <w:r w:rsidRPr="00307D85">
              <w:rPr>
                <w:rFonts w:ascii="Verdana" w:hAnsi="Verdana"/>
                <w:b w:val="0"/>
                <w:bCs w:val="0"/>
                <w:color w:val="000000" w:themeColor="text1"/>
                <w:sz w:val="18"/>
                <w:szCs w:val="18"/>
                <w:lang w:val="en-GB"/>
              </w:rPr>
              <w:t xml:space="preserve">Civil Code provides that </w:t>
            </w:r>
            <w:r w:rsidR="00F67A3B" w:rsidRPr="00307D85">
              <w:rPr>
                <w:rFonts w:ascii="Verdana" w:hAnsi="Verdana"/>
                <w:b w:val="0"/>
                <w:bCs w:val="0"/>
                <w:color w:val="000000" w:themeColor="text1"/>
                <w:sz w:val="18"/>
                <w:szCs w:val="18"/>
                <w:lang w:val="en-GB"/>
              </w:rPr>
              <w:t xml:space="preserve">a </w:t>
            </w:r>
            <w:r w:rsidRPr="00307D85">
              <w:rPr>
                <w:rFonts w:ascii="Verdana" w:hAnsi="Verdana"/>
                <w:b w:val="0"/>
                <w:bCs w:val="0"/>
                <w:color w:val="000000" w:themeColor="text1"/>
                <w:sz w:val="18"/>
                <w:szCs w:val="18"/>
                <w:lang w:val="en-GB"/>
              </w:rPr>
              <w:t>compan</w:t>
            </w:r>
            <w:r w:rsidR="00F67A3B" w:rsidRPr="00307D85">
              <w:rPr>
                <w:rFonts w:ascii="Verdana" w:hAnsi="Verdana"/>
                <w:b w:val="0"/>
                <w:bCs w:val="0"/>
                <w:color w:val="000000" w:themeColor="text1"/>
                <w:sz w:val="18"/>
                <w:szCs w:val="18"/>
                <w:lang w:val="en-GB"/>
              </w:rPr>
              <w:t>y</w:t>
            </w:r>
            <w:r w:rsidRPr="00307D85">
              <w:rPr>
                <w:rFonts w:ascii="Verdana" w:hAnsi="Verdana"/>
                <w:b w:val="0"/>
                <w:bCs w:val="0"/>
                <w:color w:val="000000" w:themeColor="text1"/>
                <w:sz w:val="18"/>
                <w:szCs w:val="18"/>
                <w:lang w:val="en-GB"/>
              </w:rPr>
              <w:t xml:space="preserve"> </w:t>
            </w:r>
            <w:r w:rsidR="00F67A3B" w:rsidRPr="00307D85">
              <w:rPr>
                <w:rFonts w:ascii="Verdana" w:hAnsi="Verdana"/>
                <w:b w:val="0"/>
                <w:bCs w:val="0"/>
                <w:color w:val="000000" w:themeColor="text1"/>
                <w:sz w:val="18"/>
                <w:szCs w:val="18"/>
                <w:lang w:val="en-GB"/>
              </w:rPr>
              <w:t>or</w:t>
            </w:r>
            <w:r w:rsidRPr="00307D85">
              <w:rPr>
                <w:rFonts w:ascii="Verdana" w:hAnsi="Verdana"/>
                <w:b w:val="0"/>
                <w:bCs w:val="0"/>
                <w:color w:val="000000" w:themeColor="text1"/>
                <w:sz w:val="18"/>
                <w:szCs w:val="18"/>
                <w:lang w:val="en-GB"/>
              </w:rPr>
              <w:t xml:space="preserve"> partnership</w:t>
            </w:r>
            <w:r w:rsidR="00F67A3B" w:rsidRPr="00307D85">
              <w:rPr>
                <w:rFonts w:ascii="Verdana" w:hAnsi="Verdana"/>
                <w:b w:val="0"/>
                <w:bCs w:val="0"/>
                <w:color w:val="000000" w:themeColor="text1"/>
                <w:sz w:val="18"/>
                <w:szCs w:val="18"/>
                <w:lang w:val="en-GB"/>
              </w:rPr>
              <w:t xml:space="preserve"> is</w:t>
            </w:r>
            <w:r w:rsidRPr="00307D85">
              <w:rPr>
                <w:rFonts w:ascii="Verdana" w:hAnsi="Verdana"/>
                <w:b w:val="0"/>
                <w:bCs w:val="0"/>
                <w:color w:val="000000" w:themeColor="text1"/>
                <w:sz w:val="18"/>
                <w:szCs w:val="18"/>
                <w:lang w:val="en-GB"/>
              </w:rPr>
              <w:t xml:space="preserve"> dissolved by operation of law </w:t>
            </w:r>
            <w:r w:rsidR="00F67A3B" w:rsidRPr="00307D85">
              <w:rPr>
                <w:rFonts w:ascii="Verdana" w:hAnsi="Verdana"/>
                <w:b w:val="0"/>
                <w:bCs w:val="0"/>
                <w:color w:val="000000" w:themeColor="text1"/>
                <w:sz w:val="18"/>
                <w:szCs w:val="18"/>
                <w:lang w:val="en-GB"/>
              </w:rPr>
              <w:t>upon the occurrence of certain exhaustively listed</w:t>
            </w:r>
            <w:r w:rsidRPr="00307D85">
              <w:rPr>
                <w:rFonts w:ascii="Verdana" w:hAnsi="Verdana"/>
                <w:b w:val="0"/>
                <w:bCs w:val="0"/>
                <w:color w:val="000000" w:themeColor="text1"/>
                <w:sz w:val="18"/>
                <w:szCs w:val="18"/>
                <w:lang w:val="en-GB"/>
              </w:rPr>
              <w:t xml:space="preserve"> events, </w:t>
            </w:r>
            <w:r w:rsidR="00F67A3B" w:rsidRPr="00307D85">
              <w:rPr>
                <w:rFonts w:ascii="Verdana" w:hAnsi="Verdana"/>
                <w:b w:val="0"/>
                <w:bCs w:val="0"/>
                <w:color w:val="000000" w:themeColor="text1"/>
                <w:sz w:val="18"/>
                <w:szCs w:val="18"/>
                <w:lang w:val="en-GB"/>
              </w:rPr>
              <w:t xml:space="preserve">including the expiry </w:t>
            </w:r>
            <w:r w:rsidRPr="00307D85">
              <w:rPr>
                <w:rFonts w:ascii="Verdana" w:hAnsi="Verdana"/>
                <w:b w:val="0"/>
                <w:bCs w:val="0"/>
                <w:color w:val="000000" w:themeColor="text1"/>
                <w:sz w:val="18"/>
                <w:szCs w:val="18"/>
                <w:lang w:val="en-GB"/>
              </w:rPr>
              <w:t xml:space="preserve">of the duration fixed in </w:t>
            </w:r>
            <w:r w:rsidR="00F67A3B" w:rsidRPr="00307D85">
              <w:rPr>
                <w:rFonts w:ascii="Verdana" w:hAnsi="Verdana"/>
                <w:b w:val="0"/>
                <w:bCs w:val="0"/>
                <w:color w:val="000000" w:themeColor="text1"/>
                <w:sz w:val="18"/>
                <w:szCs w:val="18"/>
                <w:lang w:val="en-GB"/>
              </w:rPr>
              <w:t>its</w:t>
            </w:r>
            <w:r w:rsidRPr="00307D85">
              <w:rPr>
                <w:rFonts w:ascii="Verdana" w:hAnsi="Verdana"/>
                <w:b w:val="0"/>
                <w:bCs w:val="0"/>
                <w:color w:val="000000" w:themeColor="text1"/>
                <w:sz w:val="18"/>
                <w:szCs w:val="18"/>
                <w:lang w:val="en-GB"/>
              </w:rPr>
              <w:t xml:space="preserve"> constitutive documents. </w:t>
            </w:r>
            <w:r w:rsidR="00E251D8" w:rsidRPr="00307D85">
              <w:rPr>
                <w:rFonts w:ascii="Verdana" w:hAnsi="Verdana"/>
                <w:b w:val="0"/>
                <w:bCs w:val="0"/>
                <w:color w:val="000000" w:themeColor="text1"/>
                <w:sz w:val="18"/>
                <w:szCs w:val="18"/>
                <w:lang w:val="en-GB"/>
              </w:rPr>
              <w:t>When a</w:t>
            </w:r>
            <w:r w:rsidR="00F67A3B" w:rsidRPr="00307D85">
              <w:rPr>
                <w:rFonts w:ascii="Verdana" w:hAnsi="Verdana"/>
                <w:b w:val="0"/>
                <w:bCs w:val="0"/>
                <w:color w:val="000000" w:themeColor="text1"/>
                <w:sz w:val="18"/>
                <w:szCs w:val="18"/>
                <w:lang w:val="en-GB"/>
              </w:rPr>
              <w:t xml:space="preserve">pplied to </w:t>
            </w:r>
            <w:r w:rsidRPr="00307D85">
              <w:rPr>
                <w:rFonts w:ascii="Verdana" w:hAnsi="Verdana"/>
                <w:b w:val="0"/>
                <w:bCs w:val="0"/>
                <w:color w:val="000000" w:themeColor="text1"/>
                <w:sz w:val="18"/>
                <w:szCs w:val="18"/>
                <w:lang w:val="en-GB"/>
              </w:rPr>
              <w:t xml:space="preserve">investment companies </w:t>
            </w:r>
            <w:r w:rsidR="00F67A3B" w:rsidRPr="00307D85">
              <w:rPr>
                <w:rFonts w:ascii="Verdana" w:hAnsi="Verdana"/>
                <w:b w:val="0"/>
                <w:bCs w:val="0"/>
                <w:color w:val="000000" w:themeColor="text1"/>
                <w:sz w:val="18"/>
                <w:szCs w:val="18"/>
                <w:lang w:val="en-GB"/>
              </w:rPr>
              <w:t xml:space="preserve">governed </w:t>
            </w:r>
            <w:r w:rsidR="00F67A3B" w:rsidRPr="00307D85">
              <w:rPr>
                <w:rFonts w:ascii="Verdana" w:hAnsi="Verdana"/>
                <w:b w:val="0"/>
                <w:bCs w:val="0"/>
                <w:color w:val="000000" w:themeColor="text1"/>
                <w:sz w:val="18"/>
                <w:szCs w:val="18"/>
                <w:lang w:val="en-GB"/>
              </w:rPr>
              <w:lastRenderedPageBreak/>
              <w:t xml:space="preserve">by the </w:t>
            </w:r>
            <w:r w:rsidR="00F67A3B" w:rsidRPr="00824F60">
              <w:rPr>
                <w:rFonts w:ascii="Verdana" w:hAnsi="Verdana"/>
                <w:b w:val="0"/>
                <w:bCs w:val="0"/>
                <w:color w:val="000000" w:themeColor="text1"/>
                <w:sz w:val="18"/>
                <w:szCs w:val="18"/>
                <w:lang w:val="en-GB"/>
              </w:rPr>
              <w:t>Product Fund Laws</w:t>
            </w:r>
            <w:r w:rsidR="00F67A3B" w:rsidRPr="00307D85">
              <w:rPr>
                <w:rFonts w:ascii="Verdana" w:hAnsi="Verdana"/>
                <w:b w:val="0"/>
                <w:bCs w:val="0"/>
                <w:color w:val="000000" w:themeColor="text1"/>
                <w:sz w:val="18"/>
                <w:szCs w:val="18"/>
                <w:lang w:val="en-GB"/>
              </w:rPr>
              <w:t>,</w:t>
            </w:r>
            <w:r w:rsidRPr="00307D85">
              <w:rPr>
                <w:rFonts w:ascii="Verdana" w:hAnsi="Verdana"/>
                <w:b w:val="0"/>
                <w:bCs w:val="0"/>
                <w:color w:val="000000" w:themeColor="text1"/>
                <w:sz w:val="18"/>
                <w:szCs w:val="18"/>
                <w:lang w:val="en-GB"/>
              </w:rPr>
              <w:t xml:space="preserve"> </w:t>
            </w:r>
            <w:r w:rsidR="00F67A3B" w:rsidRPr="00307D85">
              <w:rPr>
                <w:rFonts w:ascii="Verdana" w:hAnsi="Verdana"/>
                <w:b w:val="0"/>
                <w:bCs w:val="0"/>
                <w:color w:val="000000" w:themeColor="text1"/>
                <w:sz w:val="18"/>
                <w:szCs w:val="18"/>
                <w:lang w:val="en-GB"/>
              </w:rPr>
              <w:t xml:space="preserve">this rule </w:t>
            </w:r>
            <w:r w:rsidRPr="00307D85">
              <w:rPr>
                <w:rFonts w:ascii="Verdana" w:hAnsi="Verdana"/>
                <w:b w:val="0"/>
                <w:bCs w:val="0"/>
                <w:color w:val="000000" w:themeColor="text1"/>
                <w:sz w:val="18"/>
                <w:szCs w:val="18"/>
                <w:lang w:val="en-GB"/>
              </w:rPr>
              <w:t xml:space="preserve">raises an </w:t>
            </w:r>
            <w:r w:rsidR="00F67A3B" w:rsidRPr="00307D85">
              <w:rPr>
                <w:rFonts w:ascii="Verdana" w:hAnsi="Verdana"/>
                <w:b w:val="0"/>
                <w:bCs w:val="0"/>
                <w:color w:val="000000" w:themeColor="text1"/>
                <w:sz w:val="18"/>
                <w:szCs w:val="18"/>
                <w:lang w:val="en-GB"/>
              </w:rPr>
              <w:t>immediate</w:t>
            </w:r>
            <w:r w:rsidRPr="00307D85">
              <w:rPr>
                <w:rFonts w:ascii="Verdana" w:hAnsi="Verdana"/>
                <w:b w:val="0"/>
                <w:bCs w:val="0"/>
                <w:color w:val="000000" w:themeColor="text1"/>
                <w:sz w:val="18"/>
                <w:szCs w:val="18"/>
                <w:lang w:val="en-GB"/>
              </w:rPr>
              <w:t xml:space="preserve"> conceptual question: </w:t>
            </w:r>
            <w:r w:rsidR="00F67A3B" w:rsidRPr="00307D85">
              <w:rPr>
                <w:rFonts w:ascii="Verdana" w:hAnsi="Verdana"/>
                <w:b w:val="0"/>
                <w:bCs w:val="0"/>
                <w:color w:val="000000" w:themeColor="text1"/>
                <w:sz w:val="18"/>
                <w:szCs w:val="18"/>
                <w:lang w:val="en-GB"/>
              </w:rPr>
              <w:t xml:space="preserve">how can the mere arrival of a predetermined calendar date suffice to </w:t>
            </w:r>
            <w:r w:rsidR="00E251D8" w:rsidRPr="00307D85">
              <w:rPr>
                <w:rFonts w:ascii="Verdana" w:hAnsi="Verdana"/>
                <w:b w:val="0"/>
                <w:bCs w:val="0"/>
                <w:color w:val="000000" w:themeColor="text1"/>
                <w:sz w:val="18"/>
                <w:szCs w:val="18"/>
                <w:lang w:val="en-GB"/>
              </w:rPr>
              <w:t>terminate</w:t>
            </w:r>
            <w:r w:rsidR="00F67A3B" w:rsidRPr="00307D85">
              <w:rPr>
                <w:rFonts w:ascii="Verdana" w:hAnsi="Verdana"/>
                <w:b w:val="0"/>
                <w:bCs w:val="0"/>
                <w:color w:val="000000" w:themeColor="text1"/>
                <w:sz w:val="18"/>
                <w:szCs w:val="18"/>
                <w:lang w:val="en-GB"/>
              </w:rPr>
              <w:t xml:space="preserve"> the legal existence of a regulated investment vehicle, without any contemporaneous intervention by its</w:t>
            </w:r>
            <w:r w:rsidRPr="00307D85">
              <w:rPr>
                <w:rFonts w:ascii="Verdana" w:hAnsi="Verdana"/>
                <w:b w:val="0"/>
                <w:bCs w:val="0"/>
                <w:color w:val="000000" w:themeColor="text1"/>
                <w:sz w:val="18"/>
                <w:szCs w:val="18"/>
                <w:lang w:val="en-GB"/>
              </w:rPr>
              <w:t xml:space="preserve"> shareholders</w:t>
            </w:r>
            <w:r w:rsidR="00F67A3B" w:rsidRPr="00307D85">
              <w:rPr>
                <w:rFonts w:ascii="Verdana" w:hAnsi="Verdana"/>
                <w:b w:val="0"/>
                <w:bCs w:val="0"/>
                <w:color w:val="000000" w:themeColor="text1"/>
                <w:sz w:val="18"/>
                <w:szCs w:val="18"/>
                <w:lang w:val="en-GB"/>
              </w:rPr>
              <w:t xml:space="preserve"> or partners</w:t>
            </w:r>
            <w:r w:rsidRPr="00307D85">
              <w:rPr>
                <w:rFonts w:ascii="Verdana" w:hAnsi="Verdana"/>
                <w:b w:val="0"/>
                <w:bCs w:val="0"/>
                <w:color w:val="000000" w:themeColor="text1"/>
                <w:sz w:val="18"/>
                <w:szCs w:val="18"/>
                <w:lang w:val="en-GB"/>
              </w:rPr>
              <w:t>,</w:t>
            </w:r>
            <w:r w:rsidR="00F67A3B" w:rsidRPr="00307D85">
              <w:rPr>
                <w:rFonts w:ascii="Verdana" w:hAnsi="Verdana"/>
                <w:b w:val="0"/>
                <w:bCs w:val="0"/>
                <w:color w:val="000000" w:themeColor="text1"/>
                <w:sz w:val="18"/>
                <w:szCs w:val="18"/>
                <w:lang w:val="en-GB"/>
              </w:rPr>
              <w:t xml:space="preserve"> its governing bodies</w:t>
            </w:r>
            <w:r w:rsidRPr="00307D85">
              <w:rPr>
                <w:rFonts w:ascii="Verdana" w:hAnsi="Verdana"/>
                <w:b w:val="0"/>
                <w:bCs w:val="0"/>
                <w:color w:val="000000" w:themeColor="text1"/>
                <w:sz w:val="18"/>
                <w:szCs w:val="18"/>
                <w:lang w:val="en-GB"/>
              </w:rPr>
              <w:t xml:space="preserve">, the </w:t>
            </w:r>
            <w:r w:rsidR="00714DB3" w:rsidRPr="00307D85">
              <w:rPr>
                <w:rFonts w:ascii="Verdana" w:hAnsi="Verdana"/>
                <w:b w:val="0"/>
                <w:bCs w:val="0"/>
                <w:color w:val="000000" w:themeColor="text1"/>
                <w:sz w:val="18"/>
                <w:szCs w:val="18"/>
                <w:lang w:val="en-GB"/>
              </w:rPr>
              <w:t>alternative investment fund manager (the “</w:t>
            </w:r>
            <w:r w:rsidRPr="00307D85">
              <w:rPr>
                <w:rFonts w:ascii="Verdana" w:hAnsi="Verdana"/>
                <w:color w:val="002060"/>
                <w:sz w:val="18"/>
                <w:szCs w:val="18"/>
                <w:lang w:val="en-GB"/>
              </w:rPr>
              <w:t>AIFM</w:t>
            </w:r>
            <w:r w:rsidR="00714DB3" w:rsidRPr="00307D85">
              <w:rPr>
                <w:rFonts w:ascii="Verdana" w:hAnsi="Verdana"/>
                <w:b w:val="0"/>
                <w:bCs w:val="0"/>
                <w:color w:val="000000" w:themeColor="text1"/>
                <w:sz w:val="18"/>
                <w:szCs w:val="18"/>
                <w:lang w:val="en-GB"/>
              </w:rPr>
              <w:t>”)</w:t>
            </w:r>
            <w:r w:rsidRPr="00307D85">
              <w:rPr>
                <w:rFonts w:ascii="Verdana" w:hAnsi="Verdana"/>
                <w:b w:val="0"/>
                <w:bCs w:val="0"/>
                <w:color w:val="000000" w:themeColor="text1"/>
                <w:sz w:val="18"/>
                <w:szCs w:val="18"/>
                <w:lang w:val="en-GB"/>
              </w:rPr>
              <w:t xml:space="preserve"> or </w:t>
            </w:r>
            <w:r w:rsidR="00F67A3B" w:rsidRPr="00307D85">
              <w:rPr>
                <w:rFonts w:ascii="Verdana" w:hAnsi="Verdana"/>
                <w:b w:val="0"/>
                <w:bCs w:val="0"/>
                <w:color w:val="000000" w:themeColor="text1"/>
                <w:sz w:val="18"/>
                <w:szCs w:val="18"/>
                <w:lang w:val="en-GB"/>
              </w:rPr>
              <w:t xml:space="preserve">– where applicable – </w:t>
            </w:r>
            <w:r w:rsidRPr="00307D85">
              <w:rPr>
                <w:rFonts w:ascii="Verdana" w:hAnsi="Verdana"/>
                <w:b w:val="0"/>
                <w:bCs w:val="0"/>
                <w:color w:val="000000" w:themeColor="text1"/>
                <w:sz w:val="18"/>
                <w:szCs w:val="18"/>
                <w:lang w:val="en-GB"/>
              </w:rPr>
              <w:t>the</w:t>
            </w:r>
            <w:r w:rsidR="00E96C13">
              <w:rPr>
                <w:rFonts w:ascii="Verdana" w:hAnsi="Verdana"/>
                <w:b w:val="0"/>
                <w:bCs w:val="0"/>
                <w:color w:val="000000" w:themeColor="text1"/>
                <w:sz w:val="18"/>
                <w:szCs w:val="18"/>
                <w:lang w:val="en-GB"/>
              </w:rPr>
              <w:t xml:space="preserve"> CSSF</w:t>
            </w:r>
            <w:r w:rsidRPr="00307D85">
              <w:rPr>
                <w:rFonts w:ascii="Verdana" w:hAnsi="Verdana"/>
                <w:b w:val="0"/>
                <w:bCs w:val="0"/>
                <w:color w:val="000000" w:themeColor="text1"/>
                <w:sz w:val="18"/>
                <w:szCs w:val="18"/>
                <w:lang w:val="en-GB"/>
              </w:rPr>
              <w:t>?</w:t>
            </w:r>
          </w:p>
        </w:tc>
      </w:tr>
      <w:tr w:rsidR="004E269A" w:rsidRPr="00307D85" w14:paraId="242C583D" w14:textId="77777777" w:rsidTr="00A405B6">
        <w:tc>
          <w:tcPr>
            <w:tcW w:w="9714" w:type="dxa"/>
          </w:tcPr>
          <w:p w14:paraId="5FC1AD90" w14:textId="258077F6" w:rsidR="004E269A" w:rsidRPr="00307D85" w:rsidRDefault="00F67A3B"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lastRenderedPageBreak/>
              <w:t xml:space="preserve">The </w:t>
            </w:r>
            <w:r w:rsidR="00E251D8" w:rsidRPr="00307D85">
              <w:rPr>
                <w:rFonts w:ascii="Verdana" w:hAnsi="Verdana"/>
                <w:b w:val="0"/>
                <w:bCs w:val="0"/>
                <w:color w:val="000000" w:themeColor="text1"/>
                <w:sz w:val="18"/>
                <w:szCs w:val="18"/>
                <w:lang w:val="en-GB"/>
              </w:rPr>
              <w:t>answer</w:t>
            </w:r>
            <w:r w:rsidRPr="00307D85">
              <w:rPr>
                <w:rFonts w:ascii="Verdana" w:hAnsi="Verdana"/>
                <w:b w:val="0"/>
                <w:bCs w:val="0"/>
                <w:color w:val="000000" w:themeColor="text1"/>
                <w:sz w:val="18"/>
                <w:szCs w:val="18"/>
                <w:lang w:val="en-GB"/>
              </w:rPr>
              <w:t xml:space="preserve"> lies in the contractual conception of the company or partnership underpinning Article 1865. Under Luxembourg law, duration is not treated as a peripheral or aspirational element of the constitutive framework, but as an essential term of the corporate or partnership contract. By fixing a finite duration, the parties define </w:t>
            </w:r>
            <w:r w:rsidRPr="00307D85">
              <w:rPr>
                <w:rFonts w:ascii="Verdana" w:hAnsi="Verdana"/>
                <w:b w:val="0"/>
                <w:bCs w:val="0"/>
                <w:i/>
                <w:iCs/>
                <w:color w:val="000000" w:themeColor="text1"/>
                <w:sz w:val="18"/>
                <w:szCs w:val="18"/>
                <w:lang w:val="en-GB"/>
              </w:rPr>
              <w:t>ex ante</w:t>
            </w:r>
            <w:r w:rsidRPr="00307D85">
              <w:rPr>
                <w:rFonts w:ascii="Verdana" w:hAnsi="Verdana"/>
                <w:b w:val="0"/>
                <w:bCs w:val="0"/>
                <w:color w:val="000000" w:themeColor="text1"/>
                <w:sz w:val="18"/>
                <w:szCs w:val="18"/>
                <w:lang w:val="en-GB"/>
              </w:rPr>
              <w:t xml:space="preserve"> the temporal limits of their joint enterprise</w:t>
            </w:r>
            <w:r w:rsidR="00E251D8" w:rsidRPr="00307D85">
              <w:rPr>
                <w:rFonts w:ascii="Verdana" w:hAnsi="Verdana"/>
                <w:b w:val="0"/>
                <w:bCs w:val="0"/>
                <w:color w:val="000000" w:themeColor="text1"/>
                <w:sz w:val="18"/>
                <w:szCs w:val="18"/>
                <w:lang w:val="en-GB"/>
              </w:rPr>
              <w:t>, a choice to which</w:t>
            </w:r>
            <w:r w:rsidRPr="00307D85">
              <w:rPr>
                <w:rFonts w:ascii="Verdana" w:hAnsi="Verdana"/>
                <w:b w:val="0"/>
                <w:bCs w:val="0"/>
                <w:color w:val="000000" w:themeColor="text1"/>
                <w:sz w:val="18"/>
                <w:szCs w:val="18"/>
                <w:lang w:val="en-GB"/>
              </w:rPr>
              <w:t xml:space="preserve"> </w:t>
            </w:r>
            <w:r w:rsidR="00E251D8" w:rsidRPr="00307D85">
              <w:rPr>
                <w:rFonts w:ascii="Verdana" w:hAnsi="Verdana"/>
                <w:b w:val="0"/>
                <w:bCs w:val="0"/>
                <w:color w:val="000000" w:themeColor="text1"/>
                <w:sz w:val="18"/>
                <w:szCs w:val="18"/>
                <w:lang w:val="en-GB"/>
              </w:rPr>
              <w:t>t</w:t>
            </w:r>
            <w:r w:rsidRPr="00307D85">
              <w:rPr>
                <w:rFonts w:ascii="Verdana" w:hAnsi="Verdana"/>
                <w:b w:val="0"/>
                <w:bCs w:val="0"/>
                <w:color w:val="000000" w:themeColor="text1"/>
                <w:sz w:val="18"/>
                <w:szCs w:val="18"/>
                <w:lang w:val="en-GB"/>
              </w:rPr>
              <w:t xml:space="preserve">he legislator accords </w:t>
            </w:r>
            <w:r w:rsidR="00E251D8" w:rsidRPr="00307D85">
              <w:rPr>
                <w:rFonts w:ascii="Verdana" w:hAnsi="Verdana"/>
                <w:b w:val="0"/>
                <w:bCs w:val="0"/>
                <w:color w:val="000000" w:themeColor="text1"/>
                <w:sz w:val="18"/>
                <w:szCs w:val="18"/>
                <w:lang w:val="en-GB"/>
              </w:rPr>
              <w:t>binding legal</w:t>
            </w:r>
            <w:r w:rsidRPr="00307D85">
              <w:rPr>
                <w:rFonts w:ascii="Verdana" w:hAnsi="Verdana"/>
                <w:b w:val="0"/>
                <w:bCs w:val="0"/>
                <w:color w:val="000000" w:themeColor="text1"/>
                <w:sz w:val="18"/>
                <w:szCs w:val="18"/>
                <w:lang w:val="en-GB"/>
              </w:rPr>
              <w:t xml:space="preserve"> </w:t>
            </w:r>
            <w:r w:rsidR="00E251D8" w:rsidRPr="00307D85">
              <w:rPr>
                <w:rFonts w:ascii="Verdana" w:hAnsi="Verdana"/>
                <w:b w:val="0"/>
                <w:bCs w:val="0"/>
                <w:color w:val="000000" w:themeColor="text1"/>
                <w:sz w:val="18"/>
                <w:szCs w:val="18"/>
                <w:lang w:val="en-GB"/>
              </w:rPr>
              <w:t>effect</w:t>
            </w:r>
            <w:r w:rsidRPr="00307D85">
              <w:rPr>
                <w:rFonts w:ascii="Verdana" w:hAnsi="Verdana"/>
                <w:b w:val="0"/>
                <w:bCs w:val="0"/>
                <w:color w:val="000000" w:themeColor="text1"/>
                <w:sz w:val="18"/>
                <w:szCs w:val="18"/>
                <w:lang w:val="en-GB"/>
              </w:rPr>
              <w:t xml:space="preserve"> in the interest of legal certainty.</w:t>
            </w:r>
          </w:p>
        </w:tc>
      </w:tr>
      <w:tr w:rsidR="00FC48CF" w:rsidRPr="00307D85" w14:paraId="3E4CC0B3" w14:textId="77777777" w:rsidTr="00A405B6">
        <w:tc>
          <w:tcPr>
            <w:tcW w:w="9714" w:type="dxa"/>
          </w:tcPr>
          <w:p w14:paraId="01448FC9" w14:textId="482E3001" w:rsidR="00FC48CF" w:rsidRPr="00307D85" w:rsidRDefault="00E251D8"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Accordingly, w</w:t>
            </w:r>
            <w:r w:rsidR="00F67A3B" w:rsidRPr="00307D85">
              <w:rPr>
                <w:rFonts w:ascii="Verdana" w:hAnsi="Verdana"/>
                <w:b w:val="0"/>
                <w:bCs w:val="0"/>
                <w:color w:val="000000" w:themeColor="text1"/>
                <w:sz w:val="18"/>
                <w:szCs w:val="18"/>
                <w:lang w:val="en-GB"/>
              </w:rPr>
              <w:t>here the articles of association or partnership agreement of a</w:t>
            </w:r>
            <w:r w:rsidR="0093484A" w:rsidRPr="00307D85">
              <w:rPr>
                <w:rFonts w:ascii="Verdana" w:hAnsi="Verdana"/>
                <w:b w:val="0"/>
                <w:bCs w:val="0"/>
                <w:color w:val="000000" w:themeColor="text1"/>
                <w:sz w:val="18"/>
                <w:szCs w:val="18"/>
                <w:lang w:val="en-GB"/>
              </w:rPr>
              <w:t>n investment company subject to a Product</w:t>
            </w:r>
            <w:r w:rsidR="00F67A3B" w:rsidRPr="00307D85">
              <w:rPr>
                <w:rFonts w:ascii="Verdana" w:hAnsi="Verdana"/>
                <w:b w:val="0"/>
                <w:bCs w:val="0"/>
                <w:color w:val="000000" w:themeColor="text1"/>
                <w:sz w:val="18"/>
                <w:szCs w:val="18"/>
                <w:lang w:val="en-GB"/>
              </w:rPr>
              <w:t xml:space="preserve"> Fund</w:t>
            </w:r>
            <w:r w:rsidR="0093484A" w:rsidRPr="00307D85">
              <w:rPr>
                <w:rFonts w:ascii="Verdana" w:hAnsi="Verdana"/>
                <w:b w:val="0"/>
                <w:bCs w:val="0"/>
                <w:color w:val="000000" w:themeColor="text1"/>
                <w:sz w:val="18"/>
                <w:szCs w:val="18"/>
                <w:lang w:val="en-GB"/>
              </w:rPr>
              <w:t xml:space="preserve"> Law</w:t>
            </w:r>
            <w:r w:rsidR="00F67A3B" w:rsidRPr="00307D85">
              <w:rPr>
                <w:rFonts w:ascii="Verdana" w:hAnsi="Verdana"/>
                <w:b w:val="0"/>
                <w:bCs w:val="0"/>
                <w:color w:val="000000" w:themeColor="text1"/>
                <w:sz w:val="18"/>
                <w:szCs w:val="18"/>
                <w:lang w:val="en-GB"/>
              </w:rPr>
              <w:t xml:space="preserve"> </w:t>
            </w:r>
            <w:r w:rsidRPr="00307D85">
              <w:rPr>
                <w:rFonts w:ascii="Verdana" w:hAnsi="Verdana"/>
                <w:b w:val="0"/>
                <w:bCs w:val="0"/>
                <w:color w:val="000000" w:themeColor="text1"/>
                <w:sz w:val="18"/>
                <w:szCs w:val="18"/>
                <w:lang w:val="en-GB"/>
              </w:rPr>
              <w:t>provide for</w:t>
            </w:r>
            <w:r w:rsidR="00F67A3B" w:rsidRPr="00307D85">
              <w:rPr>
                <w:rFonts w:ascii="Verdana" w:hAnsi="Verdana"/>
                <w:b w:val="0"/>
                <w:bCs w:val="0"/>
                <w:color w:val="000000" w:themeColor="text1"/>
                <w:sz w:val="18"/>
                <w:szCs w:val="18"/>
                <w:lang w:val="en-GB"/>
              </w:rPr>
              <w:t xml:space="preserve"> a limited duration ending on a defined date, they do not merely express an intention that the vehicle be wound up by that point in time. Rather, they incorporate a resolutory mechanism into the constitutive documents themselves, pursuant to which the investment company ceases to exist as a going concern upon expiry of the term, unless that term has been validly extended beforehand in accordance with applicable law and the constitutive documents.</w:t>
            </w:r>
          </w:p>
        </w:tc>
      </w:tr>
      <w:tr w:rsidR="00FC48CF" w:rsidRPr="00307D85" w14:paraId="3110F30D" w14:textId="77777777" w:rsidTr="00A405B6">
        <w:tc>
          <w:tcPr>
            <w:tcW w:w="9714" w:type="dxa"/>
          </w:tcPr>
          <w:p w14:paraId="21897317" w14:textId="491F0BF7" w:rsidR="00FC48CF" w:rsidRPr="00307D85" w:rsidRDefault="0093484A" w:rsidP="0093484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Article 1865 thus operates on the premise that the decisive corporate act has already occurred. The “decision” to dissolve the investment company at the end of the stated term is taken at the moment of incorporation – or at the moment the duration is amended – and is formalised in a notarised instrument (except the case being for common or special limited partnerships (hereinafter the “</w:t>
            </w:r>
            <w:r w:rsidRPr="00307D85">
              <w:rPr>
                <w:rFonts w:ascii="Verdana" w:hAnsi="Verdana"/>
                <w:color w:val="002060"/>
                <w:sz w:val="18"/>
                <w:szCs w:val="18"/>
                <w:lang w:val="en-GB"/>
              </w:rPr>
              <w:t>SCS</w:t>
            </w:r>
            <w:r w:rsidRPr="00307D85">
              <w:rPr>
                <w:rFonts w:ascii="Verdana" w:hAnsi="Verdana"/>
                <w:b w:val="0"/>
                <w:bCs w:val="0"/>
                <w:color w:val="000000" w:themeColor="text1"/>
                <w:sz w:val="18"/>
                <w:szCs w:val="18"/>
                <w:lang w:val="en-GB"/>
              </w:rPr>
              <w:t>” and “</w:t>
            </w:r>
            <w:r w:rsidRPr="00307D85">
              <w:rPr>
                <w:rFonts w:ascii="Verdana" w:hAnsi="Verdana"/>
                <w:color w:val="002060"/>
                <w:sz w:val="18"/>
                <w:szCs w:val="18"/>
                <w:lang w:val="en-GB"/>
              </w:rPr>
              <w:t>SCSp</w:t>
            </w:r>
            <w:r w:rsidRPr="00307D85">
              <w:rPr>
                <w:rFonts w:ascii="Verdana" w:hAnsi="Verdana"/>
                <w:b w:val="0"/>
                <w:bCs w:val="0"/>
                <w:color w:val="000000" w:themeColor="text1"/>
                <w:sz w:val="18"/>
                <w:szCs w:val="18"/>
                <w:lang w:val="en-GB"/>
              </w:rPr>
              <w:t>”)) subject to registration and publication.</w:t>
            </w:r>
          </w:p>
        </w:tc>
      </w:tr>
      <w:tr w:rsidR="004E269A" w:rsidRPr="00307D85" w14:paraId="12640347" w14:textId="77777777" w:rsidTr="00A405B6">
        <w:tc>
          <w:tcPr>
            <w:tcW w:w="9714" w:type="dxa"/>
          </w:tcPr>
          <w:p w14:paraId="1ED2A72C" w14:textId="7960427E" w:rsidR="004E269A" w:rsidRPr="00307D85" w:rsidRDefault="00E251D8"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The absence of any requirement for a further resolution or declaration at the end of the term is explained by the nature of the triggering event itself. The expiry date is objectively determined and ascertainable from publicly available constitutive documents (or published extracts thereof in the case of SCS and SCSp), filed with the Luxembourg Trade and Companies Register and accessible to shareholders or partners, creditors, and third parties alike.</w:t>
            </w:r>
          </w:p>
        </w:tc>
      </w:tr>
      <w:tr w:rsidR="00FC48CF" w:rsidRPr="00307D85" w14:paraId="77B71609" w14:textId="77777777" w:rsidTr="00A405B6">
        <w:tc>
          <w:tcPr>
            <w:tcW w:w="9714" w:type="dxa"/>
          </w:tcPr>
          <w:p w14:paraId="72490E50" w14:textId="10900823" w:rsidR="004E269A" w:rsidRPr="00307D85" w:rsidRDefault="004E269A" w:rsidP="004A5515">
            <w:pPr>
              <w:pStyle w:val="NormalWeb"/>
              <w:numPr>
                <w:ilvl w:val="0"/>
                <w:numId w:val="103"/>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 xml:space="preserve">Extinction or Frustration of the </w:t>
            </w:r>
            <w:r w:rsidR="00E963F4">
              <w:rPr>
                <w:rFonts w:ascii="Verdana" w:hAnsi="Verdana"/>
                <w:b w:val="0"/>
                <w:bCs w:val="0"/>
                <w:i/>
                <w:iCs/>
                <w:color w:val="002060"/>
                <w:sz w:val="18"/>
                <w:szCs w:val="18"/>
                <w:lang w:val="en-GB"/>
              </w:rPr>
              <w:t>Corporate Object</w:t>
            </w:r>
          </w:p>
        </w:tc>
      </w:tr>
      <w:tr w:rsidR="00FC48CF" w:rsidRPr="00307D85" w14:paraId="21B52F4C" w14:textId="77777777" w:rsidTr="00A405B6">
        <w:tc>
          <w:tcPr>
            <w:tcW w:w="9714" w:type="dxa"/>
          </w:tcPr>
          <w:p w14:paraId="45D54497" w14:textId="2E3012BA" w:rsidR="004E269A" w:rsidRPr="00307D85" w:rsidRDefault="004E269A"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Article 1865 of the Civil Code lists, alongside expiry of the term, a second category of events leading to the dissolution of a company or partnership: the extinction of its subject matter or the completion – or frustration – of the transaction for which it was formed. In classical legal doctrine, including contract law, this provision is often understood as giving effect to the idea that a joint enterprise whose underlying cause has disappeared, and which therefore no longer has any object to pursue, comes to an automatic end.</w:t>
            </w:r>
          </w:p>
        </w:tc>
      </w:tr>
      <w:tr w:rsidR="004E269A" w:rsidRPr="00307D85" w14:paraId="025A8650" w14:textId="77777777" w:rsidTr="00A405B6">
        <w:tc>
          <w:tcPr>
            <w:tcW w:w="9714" w:type="dxa"/>
          </w:tcPr>
          <w:p w14:paraId="35E3E1CF" w14:textId="769AA703" w:rsidR="004E269A" w:rsidRPr="00307D85" w:rsidRDefault="004E269A" w:rsidP="00315B3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The provision thus targets entities formed for a very specific, concrete purpose. In this </w:t>
            </w:r>
            <w:r w:rsidR="00907B8A" w:rsidRPr="00307D85">
              <w:rPr>
                <w:rFonts w:ascii="Verdana" w:hAnsi="Verdana"/>
                <w:b w:val="0"/>
                <w:bCs w:val="0"/>
                <w:color w:val="000000" w:themeColor="text1"/>
                <w:sz w:val="18"/>
                <w:szCs w:val="18"/>
                <w:lang w:val="en-GB"/>
              </w:rPr>
              <w:t>configuration</w:t>
            </w:r>
            <w:r w:rsidRPr="00307D85">
              <w:rPr>
                <w:rFonts w:ascii="Verdana" w:hAnsi="Verdana"/>
                <w:b w:val="0"/>
                <w:bCs w:val="0"/>
                <w:color w:val="000000" w:themeColor="text1"/>
                <w:sz w:val="18"/>
                <w:szCs w:val="18"/>
                <w:lang w:val="en-GB"/>
              </w:rPr>
              <w:t xml:space="preserve">, the company or partnership is almost a contractual envelope wrapped around a single economic operation. Once the operation is accomplished, or becomes objectively impossible, the envelope </w:t>
            </w:r>
            <w:r w:rsidR="00315B32" w:rsidRPr="00307D85">
              <w:rPr>
                <w:rFonts w:ascii="Verdana" w:hAnsi="Verdana"/>
                <w:b w:val="0"/>
                <w:bCs w:val="0"/>
                <w:color w:val="000000" w:themeColor="text1"/>
                <w:sz w:val="18"/>
                <w:szCs w:val="18"/>
                <w:lang w:val="en-GB"/>
              </w:rPr>
              <w:t>is</w:t>
            </w:r>
            <w:r w:rsidRPr="00307D85">
              <w:rPr>
                <w:rFonts w:ascii="Verdana" w:hAnsi="Verdana"/>
                <w:b w:val="0"/>
                <w:bCs w:val="0"/>
                <w:color w:val="000000" w:themeColor="text1"/>
                <w:sz w:val="18"/>
                <w:szCs w:val="18"/>
                <w:lang w:val="en-GB"/>
              </w:rPr>
              <w:t xml:space="preserve"> empt</w:t>
            </w:r>
            <w:r w:rsidR="00315B32" w:rsidRPr="00307D85">
              <w:rPr>
                <w:rFonts w:ascii="Verdana" w:hAnsi="Verdana"/>
                <w:b w:val="0"/>
                <w:bCs w:val="0"/>
                <w:color w:val="000000" w:themeColor="text1"/>
                <w:sz w:val="18"/>
                <w:szCs w:val="18"/>
                <w:lang w:val="en-GB"/>
              </w:rPr>
              <w:t>ied of substance</w:t>
            </w:r>
            <w:r w:rsidRPr="00307D85">
              <w:rPr>
                <w:rFonts w:ascii="Verdana" w:hAnsi="Verdana"/>
                <w:b w:val="0"/>
                <w:bCs w:val="0"/>
                <w:color w:val="000000" w:themeColor="text1"/>
                <w:sz w:val="18"/>
                <w:szCs w:val="18"/>
                <w:lang w:val="en-GB"/>
              </w:rPr>
              <w:t xml:space="preserve">. </w:t>
            </w:r>
            <w:r w:rsidR="00315B32" w:rsidRPr="00307D85">
              <w:rPr>
                <w:rFonts w:ascii="Verdana" w:hAnsi="Verdana"/>
                <w:b w:val="0"/>
                <w:bCs w:val="0"/>
                <w:color w:val="000000" w:themeColor="text1"/>
                <w:sz w:val="18"/>
                <w:szCs w:val="18"/>
                <w:lang w:val="en-GB"/>
              </w:rPr>
              <w:t xml:space="preserve">Dissolution is characterised as </w:t>
            </w:r>
            <w:r w:rsidR="00315B32" w:rsidRPr="00307D85">
              <w:rPr>
                <w:rFonts w:ascii="Verdana" w:hAnsi="Verdana"/>
                <w:b w:val="0"/>
                <w:bCs w:val="0"/>
                <w:i/>
                <w:iCs/>
                <w:color w:val="000000" w:themeColor="text1"/>
                <w:sz w:val="18"/>
                <w:szCs w:val="18"/>
                <w:lang w:val="en-GB"/>
              </w:rPr>
              <w:t>ipso jure</w:t>
            </w:r>
            <w:r w:rsidR="00315B32" w:rsidRPr="00307D85">
              <w:rPr>
                <w:rFonts w:ascii="Verdana" w:hAnsi="Verdana"/>
                <w:b w:val="0"/>
                <w:bCs w:val="0"/>
                <w:color w:val="000000" w:themeColor="text1"/>
                <w:sz w:val="18"/>
                <w:szCs w:val="18"/>
                <w:lang w:val="en-GB"/>
              </w:rPr>
              <w:t xml:space="preserve"> because the law attaches a legal consequence – the termination of the legal entity – to a clearly identifiable factual situation, without requiring an additional decision by the parties.</w:t>
            </w:r>
          </w:p>
        </w:tc>
      </w:tr>
      <w:tr w:rsidR="00FC48CF" w:rsidRPr="00307D85" w14:paraId="5390EFC2" w14:textId="77777777" w:rsidTr="00A405B6">
        <w:tc>
          <w:tcPr>
            <w:tcW w:w="9714" w:type="dxa"/>
          </w:tcPr>
          <w:p w14:paraId="3EE4334D" w14:textId="4C3F2067" w:rsidR="00FC48CF" w:rsidRPr="00307D85" w:rsidRDefault="00315B32"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Even within this traditional paradigm, however, the automatic character of dissolution is less self-evident than in the case of a fixed-term expiry. It presupposes that the corporate object was defined with sufficient narrowness that no meaningful activity remains once the contemplated transaction has been accomplished or frustrated, and that the parties did not reserve the possibility of redirecting or expanding that object in response to changing circumstances.</w:t>
            </w:r>
          </w:p>
        </w:tc>
      </w:tr>
      <w:tr w:rsidR="004E269A" w:rsidRPr="00307D85" w14:paraId="5A5F6175" w14:textId="77777777" w:rsidTr="00A405B6">
        <w:tc>
          <w:tcPr>
            <w:tcW w:w="9714" w:type="dxa"/>
          </w:tcPr>
          <w:p w14:paraId="72D7C2F7" w14:textId="2D9E0774" w:rsidR="004E269A" w:rsidRPr="00307D85" w:rsidRDefault="00315B32"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When transposed to investment companies governed by the Product Fund Laws, this logic finds its clearest expression in vehicles formed to pursue one or more clearly identified, non-fungible investments. This is most commonly encountered in SICARs or SICAR-type RAIFs, which are not subject to diversification requirements and may be established to carry out a single transaction, such as the acquisition, restructuring, and disposal of a specific company or property. In such cases, the private placement memorandum and constitutive documents typically make explicit that the investment company exists for the purpose of acquiring, developing, and ultimately exiting that asset.</w:t>
            </w:r>
          </w:p>
        </w:tc>
      </w:tr>
      <w:tr w:rsidR="004E269A" w:rsidRPr="00307D85" w14:paraId="3D69C61C" w14:textId="77777777" w:rsidTr="00A405B6">
        <w:tc>
          <w:tcPr>
            <w:tcW w:w="9714" w:type="dxa"/>
          </w:tcPr>
          <w:p w14:paraId="3A9691F2" w14:textId="53438C40" w:rsidR="004E269A" w:rsidRPr="00307D85" w:rsidRDefault="004E269A" w:rsidP="004E269A">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lastRenderedPageBreak/>
              <w:t xml:space="preserve">In such a scenario, the extinction or frustration of the subject matter may arise, for example, where the vehicle fails to secure the asset because it loses a competitive bidding process, </w:t>
            </w:r>
            <w:r w:rsidR="00315B32" w:rsidRPr="00307D85">
              <w:rPr>
                <w:rFonts w:ascii="Verdana" w:hAnsi="Verdana"/>
                <w:b w:val="0"/>
                <w:bCs w:val="0"/>
                <w:color w:val="000000" w:themeColor="text1"/>
                <w:sz w:val="18"/>
                <w:szCs w:val="18"/>
                <w:lang w:val="en-GB"/>
              </w:rPr>
              <w:t>or where the transaction becomes economically irrational prior to closing due to defects revealed during the due diligence process</w:t>
            </w:r>
            <w:r w:rsidRPr="00307D85">
              <w:rPr>
                <w:rFonts w:ascii="Verdana" w:hAnsi="Verdana"/>
                <w:b w:val="0"/>
                <w:bCs w:val="0"/>
                <w:color w:val="000000" w:themeColor="text1"/>
                <w:sz w:val="18"/>
                <w:szCs w:val="18"/>
                <w:lang w:val="en-GB"/>
              </w:rPr>
              <w:t>. On a purely abstract reading of Article 1865, one could then argue that the investment company’s object has become impossible and that dissolution follows by operation of law.</w:t>
            </w:r>
          </w:p>
        </w:tc>
      </w:tr>
      <w:tr w:rsidR="0064505B" w:rsidRPr="00307D85" w14:paraId="60E9517E" w14:textId="77777777" w:rsidTr="00A405B6">
        <w:tc>
          <w:tcPr>
            <w:tcW w:w="9714" w:type="dxa"/>
          </w:tcPr>
          <w:p w14:paraId="727DD88B" w14:textId="7D400A7D" w:rsidR="0064505B" w:rsidRPr="00307D85" w:rsidRDefault="00E963F4" w:rsidP="004F0290">
            <w:pPr>
              <w:pStyle w:val="NormalWeb"/>
              <w:numPr>
                <w:ilvl w:val="0"/>
                <w:numId w:val="155"/>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Effects</w:t>
            </w:r>
            <w:r w:rsidR="004F0290" w:rsidRPr="00307D85">
              <w:rPr>
                <w:rFonts w:ascii="Verdana" w:hAnsi="Verdana"/>
                <w:b w:val="0"/>
                <w:bCs w:val="0"/>
                <w:color w:val="002060"/>
                <w:sz w:val="18"/>
                <w:szCs w:val="18"/>
                <w:lang w:val="en-GB"/>
              </w:rPr>
              <w:t xml:space="preserve"> of </w:t>
            </w:r>
            <w:r w:rsidR="004F0290" w:rsidRPr="00307D85">
              <w:rPr>
                <w:rFonts w:ascii="Verdana" w:hAnsi="Verdana"/>
                <w:b w:val="0"/>
                <w:bCs w:val="0"/>
                <w:i/>
                <w:iCs/>
                <w:color w:val="002060"/>
                <w:sz w:val="18"/>
                <w:szCs w:val="18"/>
                <w:lang w:val="en-GB"/>
              </w:rPr>
              <w:t>Ipso jure</w:t>
            </w:r>
            <w:r w:rsidR="004F0290" w:rsidRPr="00307D85">
              <w:rPr>
                <w:rFonts w:ascii="Verdana" w:hAnsi="Verdana"/>
                <w:b w:val="0"/>
                <w:bCs w:val="0"/>
                <w:color w:val="002060"/>
                <w:sz w:val="18"/>
                <w:szCs w:val="18"/>
                <w:lang w:val="en-GB"/>
              </w:rPr>
              <w:t xml:space="preserve"> Dissolution in the Investment Fund Context</w:t>
            </w:r>
          </w:p>
        </w:tc>
      </w:tr>
      <w:tr w:rsidR="004F0290" w:rsidRPr="00307D85" w14:paraId="6D925B02" w14:textId="77777777" w:rsidTr="00A405B6">
        <w:tc>
          <w:tcPr>
            <w:tcW w:w="9714" w:type="dxa"/>
          </w:tcPr>
          <w:p w14:paraId="6F1401B4" w14:textId="3D725595" w:rsidR="004F0290" w:rsidRPr="00307D85" w:rsidRDefault="00A405B6" w:rsidP="00042BC0">
            <w:pPr>
              <w:pStyle w:val="NormalWeb"/>
              <w:numPr>
                <w:ilvl w:val="0"/>
                <w:numId w:val="162"/>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Automaticity</w:t>
            </w:r>
            <w:r w:rsidR="00E963F4">
              <w:rPr>
                <w:rFonts w:ascii="Verdana" w:hAnsi="Verdana"/>
                <w:b w:val="0"/>
                <w:bCs w:val="0"/>
                <w:i/>
                <w:iCs/>
                <w:color w:val="002060"/>
                <w:sz w:val="18"/>
                <w:szCs w:val="18"/>
                <w:lang w:val="en-GB"/>
              </w:rPr>
              <w:t xml:space="preserve"> </w:t>
            </w:r>
            <w:r w:rsidRPr="00307D85">
              <w:rPr>
                <w:rFonts w:ascii="Verdana" w:hAnsi="Verdana"/>
                <w:b w:val="0"/>
                <w:bCs w:val="0"/>
                <w:i/>
                <w:iCs/>
                <w:color w:val="002060"/>
                <w:sz w:val="18"/>
                <w:szCs w:val="18"/>
                <w:lang w:val="en-GB"/>
              </w:rPr>
              <w:t>and the Absence of Constitutive Acts</w:t>
            </w:r>
          </w:p>
        </w:tc>
      </w:tr>
      <w:tr w:rsidR="00A405B6" w:rsidRPr="00307D85" w14:paraId="12AF0F8A" w14:textId="77777777" w:rsidTr="00A405B6">
        <w:tc>
          <w:tcPr>
            <w:tcW w:w="9714" w:type="dxa"/>
          </w:tcPr>
          <w:p w14:paraId="5E66393F" w14:textId="4555E6DB" w:rsidR="00A405B6" w:rsidRPr="00307D85" w:rsidRDefault="00042BC0" w:rsidP="00A405B6">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The legal consequences flowing from the occurrence of an </w:t>
            </w:r>
            <w:r w:rsidRPr="00307D85">
              <w:rPr>
                <w:rFonts w:ascii="Verdana" w:hAnsi="Verdana"/>
                <w:b w:val="0"/>
                <w:bCs w:val="0"/>
                <w:i/>
                <w:iCs/>
                <w:color w:val="000000" w:themeColor="text1"/>
                <w:sz w:val="18"/>
                <w:szCs w:val="18"/>
                <w:lang w:val="en-GB"/>
              </w:rPr>
              <w:t>ipso jure</w:t>
            </w:r>
            <w:r w:rsidRPr="00307D85">
              <w:rPr>
                <w:rFonts w:ascii="Verdana" w:hAnsi="Verdana"/>
                <w:b w:val="0"/>
                <w:bCs w:val="0"/>
                <w:color w:val="000000" w:themeColor="text1"/>
                <w:sz w:val="18"/>
                <w:szCs w:val="18"/>
                <w:lang w:val="en-GB"/>
              </w:rPr>
              <w:t xml:space="preserve"> dissolution event differ markedly depending on the nature of the trigger. </w:t>
            </w:r>
          </w:p>
        </w:tc>
      </w:tr>
      <w:tr w:rsidR="00246B82" w:rsidRPr="00307D85" w14:paraId="2F061F3D" w14:textId="77777777" w:rsidTr="00A405B6">
        <w:tc>
          <w:tcPr>
            <w:tcW w:w="9714" w:type="dxa"/>
          </w:tcPr>
          <w:p w14:paraId="28570FCE" w14:textId="5B1B9FCE" w:rsidR="00246B82" w:rsidRPr="00307D85" w:rsidRDefault="00246B82" w:rsidP="00A405B6">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Where dissolution results from the expiry of a fixed contractual term, the trigger is objective and self-executing. The end date is predetermined in the constitutive documents and ascertainable without evaluation or discretion. Once the contractual duration has elapsed, the dissolving effect arises directly from the law, without the need for any resolution, declaration, or intervention by a corporate body, court, or administrative authority. This mechanism is of particular significance in the context of closed-ended investment funds where investors commit capital on the basis of a defined or capped investment horizon forming an integral part of their economic and risk assessment. The expiry of the term therefore constitutes therefore a core element of the fund’s structural bargain vis-à-vis both investors and counterparties.</w:t>
            </w:r>
          </w:p>
        </w:tc>
      </w:tr>
      <w:tr w:rsidR="00A405B6" w:rsidRPr="00307D85" w14:paraId="47DCE907" w14:textId="77777777" w:rsidTr="00A405B6">
        <w:tc>
          <w:tcPr>
            <w:tcW w:w="9714" w:type="dxa"/>
          </w:tcPr>
          <w:p w14:paraId="32A39020" w14:textId="5B41D1FB" w:rsidR="00A405B6" w:rsidRPr="00307D85" w:rsidRDefault="00042BC0" w:rsidP="00A405B6">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By contrast, the completion or frustration of the corporate object does not operate as a purely mechanical trigger. Its application necessarily presupposes an assessment of factual circumstances and, in practice, of the initial intentions of the parties in light of the fund documentation and surrounding context.</w:t>
            </w:r>
          </w:p>
        </w:tc>
      </w:tr>
      <w:tr w:rsidR="00042BC0" w:rsidRPr="00307D85" w14:paraId="1EDBFD45" w14:textId="77777777" w:rsidTr="00A405B6">
        <w:tc>
          <w:tcPr>
            <w:tcW w:w="9714" w:type="dxa"/>
          </w:tcPr>
          <w:p w14:paraId="58AA7875" w14:textId="204EA99A" w:rsidR="00042BC0" w:rsidRPr="00307D85" w:rsidRDefault="00042BC0" w:rsidP="00042BC0">
            <w:pPr>
              <w:pStyle w:val="NormalWeb"/>
              <w:numPr>
                <w:ilvl w:val="0"/>
                <w:numId w:val="162"/>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Unanimity</w:t>
            </w:r>
            <w:r w:rsidR="00E963F4">
              <w:rPr>
                <w:rFonts w:ascii="Verdana" w:hAnsi="Verdana"/>
                <w:b w:val="0"/>
                <w:bCs w:val="0"/>
                <w:i/>
                <w:iCs/>
                <w:color w:val="002060"/>
                <w:sz w:val="18"/>
                <w:szCs w:val="18"/>
                <w:lang w:val="en-GB"/>
              </w:rPr>
              <w:t xml:space="preserve"> </w:t>
            </w:r>
            <w:r w:rsidRPr="00307D85">
              <w:rPr>
                <w:rFonts w:ascii="Verdana" w:hAnsi="Verdana"/>
                <w:b w:val="0"/>
                <w:bCs w:val="0"/>
                <w:i/>
                <w:iCs/>
                <w:color w:val="002060"/>
                <w:sz w:val="18"/>
                <w:szCs w:val="18"/>
                <w:lang w:val="en-GB"/>
              </w:rPr>
              <w:t xml:space="preserve">and </w:t>
            </w:r>
            <w:r w:rsidR="00E963F4">
              <w:rPr>
                <w:rFonts w:ascii="Verdana" w:hAnsi="Verdana"/>
                <w:b w:val="0"/>
                <w:bCs w:val="0"/>
                <w:i/>
                <w:iCs/>
                <w:color w:val="002060"/>
                <w:sz w:val="18"/>
                <w:szCs w:val="18"/>
                <w:lang w:val="en-GB"/>
              </w:rPr>
              <w:t xml:space="preserve">the </w:t>
            </w:r>
            <w:r w:rsidRPr="00307D85">
              <w:rPr>
                <w:rFonts w:ascii="Verdana" w:hAnsi="Verdana"/>
                <w:b w:val="0"/>
                <w:bCs w:val="0"/>
                <w:i/>
                <w:iCs/>
                <w:color w:val="002060"/>
                <w:sz w:val="18"/>
                <w:szCs w:val="18"/>
                <w:lang w:val="en-GB"/>
              </w:rPr>
              <w:t>Possibility of Neutralisation</w:t>
            </w:r>
          </w:p>
        </w:tc>
      </w:tr>
      <w:tr w:rsidR="00F56818" w:rsidRPr="00307D85" w14:paraId="11243FA1" w14:textId="77777777" w:rsidTr="00A405B6">
        <w:tc>
          <w:tcPr>
            <w:tcW w:w="9714" w:type="dxa"/>
          </w:tcPr>
          <w:p w14:paraId="3A5CB1F8" w14:textId="6D535F14" w:rsidR="00F56818" w:rsidRPr="00307D85" w:rsidRDefault="00D154FC" w:rsidP="00042BC0">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A coherent reconciliation of Article 1865 with investment fund practice is to treat the extinction or frustration of the corporate object as a default dissolution ground, the operation of which depends both on the drafting of the corporate object and on the conduct of stakeholders once frustration must be assessed. Where the object is defined in particularly narrow terms and unanimity to repurpose the investment company is absent, extinction or frustration of the subject matter should indeed lead to dissolution by operation of law, even if, for reasons of legal certainty and publicity, such dissolution is typically confirmed through a declaratory act.</w:t>
            </w:r>
          </w:p>
        </w:tc>
      </w:tr>
      <w:tr w:rsidR="00F56818" w:rsidRPr="00307D85" w14:paraId="26DFFEC9" w14:textId="77777777" w:rsidTr="00A405B6">
        <w:tc>
          <w:tcPr>
            <w:tcW w:w="9714" w:type="dxa"/>
          </w:tcPr>
          <w:p w14:paraId="36A9B05F" w14:textId="67EB80AF"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By contrast, where the fund documentation permits amendment and unanimity is duly secured to revise the investment policy and, where necessary, the corporate object, it is more faithful to party autonomy to conclude that the second dissolution event under Article 1865 has not been triggered. In such circumstances, the unanimous consent on amendments to the private placement memorandum and constitutive documents operates as a collective rearticulation of the corporate cause and renewed </w:t>
            </w:r>
            <w:proofErr w:type="spellStart"/>
            <w:r w:rsidRPr="00307D85">
              <w:rPr>
                <w:rFonts w:ascii="Verdana" w:hAnsi="Verdana"/>
                <w:b w:val="0"/>
                <w:bCs w:val="0"/>
                <w:i/>
                <w:iCs/>
                <w:color w:val="000000" w:themeColor="text1"/>
                <w:sz w:val="18"/>
                <w:szCs w:val="18"/>
                <w:lang w:val="en-GB"/>
              </w:rPr>
              <w:t>affectio</w:t>
            </w:r>
            <w:proofErr w:type="spellEnd"/>
            <w:r w:rsidRPr="00307D85">
              <w:rPr>
                <w:rFonts w:ascii="Verdana" w:hAnsi="Verdana"/>
                <w:b w:val="0"/>
                <w:bCs w:val="0"/>
                <w:i/>
                <w:iCs/>
                <w:color w:val="000000" w:themeColor="text1"/>
                <w:sz w:val="18"/>
                <w:szCs w:val="18"/>
                <w:lang w:val="en-GB"/>
              </w:rPr>
              <w:t xml:space="preserve"> </w:t>
            </w:r>
            <w:proofErr w:type="spellStart"/>
            <w:r w:rsidRPr="00307D85">
              <w:rPr>
                <w:rFonts w:ascii="Verdana" w:hAnsi="Verdana"/>
                <w:b w:val="0"/>
                <w:bCs w:val="0"/>
                <w:i/>
                <w:iCs/>
                <w:color w:val="000000" w:themeColor="text1"/>
                <w:sz w:val="18"/>
                <w:szCs w:val="18"/>
                <w:lang w:val="en-GB"/>
              </w:rPr>
              <w:t>societatis</w:t>
            </w:r>
            <w:proofErr w:type="spellEnd"/>
            <w:r w:rsidRPr="00307D85">
              <w:rPr>
                <w:rFonts w:ascii="Verdana" w:hAnsi="Verdana"/>
                <w:b w:val="0"/>
                <w:bCs w:val="0"/>
                <w:i/>
                <w:iCs/>
                <w:color w:val="000000" w:themeColor="text1"/>
                <w:sz w:val="18"/>
                <w:szCs w:val="18"/>
                <w:lang w:val="en-GB"/>
              </w:rPr>
              <w:t xml:space="preserve"> </w:t>
            </w:r>
            <w:r w:rsidRPr="00307D85">
              <w:rPr>
                <w:rFonts w:ascii="Verdana" w:hAnsi="Verdana"/>
                <w:b w:val="0"/>
                <w:bCs w:val="0"/>
                <w:color w:val="000000" w:themeColor="text1"/>
                <w:sz w:val="18"/>
                <w:szCs w:val="18"/>
                <w:lang w:val="en-GB"/>
              </w:rPr>
              <w:t>demonstrating that the parties do not regard the investment company’s existence as having been irrevocably tied to the fate of a single transaction, and thereby preventing the default dissolution mechanism from crystallising.</w:t>
            </w:r>
          </w:p>
        </w:tc>
      </w:tr>
      <w:tr w:rsidR="00D154FC" w:rsidRPr="00307D85" w14:paraId="3DC83495" w14:textId="77777777" w:rsidTr="00A405B6">
        <w:tc>
          <w:tcPr>
            <w:tcW w:w="9714" w:type="dxa"/>
          </w:tcPr>
          <w:p w14:paraId="7A3E296D" w14:textId="6D5141F3"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This conditional structure places the extinction or frustration of the object in a fundamentally different position from the expiry of a fixed term. While the latter operates as an irrevocable and purely automatic trigger, the former lies at the intersection of factual assessment and collective will and may, in appropriate circumstances, be neutralised ex post through unanimous (</w:t>
            </w:r>
            <w:proofErr w:type="spellStart"/>
            <w:r w:rsidRPr="00307D85">
              <w:rPr>
                <w:rFonts w:ascii="Verdana" w:hAnsi="Verdana"/>
                <w:b w:val="0"/>
                <w:bCs w:val="0"/>
                <w:color w:val="000000" w:themeColor="text1"/>
                <w:sz w:val="18"/>
                <w:szCs w:val="18"/>
                <w:lang w:val="en-GB"/>
              </w:rPr>
              <w:t>i</w:t>
            </w:r>
            <w:proofErr w:type="spellEnd"/>
            <w:r w:rsidRPr="00307D85">
              <w:rPr>
                <w:rFonts w:ascii="Verdana" w:hAnsi="Verdana"/>
                <w:b w:val="0"/>
                <w:bCs w:val="0"/>
                <w:color w:val="000000" w:themeColor="text1"/>
                <w:sz w:val="18"/>
                <w:szCs w:val="18"/>
                <w:lang w:val="en-GB"/>
              </w:rPr>
              <w:t>) agreement on the assessment and (ii) consent on the reconfiguration of the corporate purpose.</w:t>
            </w:r>
          </w:p>
        </w:tc>
      </w:tr>
      <w:tr w:rsidR="00D154FC" w:rsidRPr="00307D85" w14:paraId="33B63A9C" w14:textId="77777777" w:rsidTr="00A405B6">
        <w:tc>
          <w:tcPr>
            <w:tcW w:w="9714" w:type="dxa"/>
          </w:tcPr>
          <w:p w14:paraId="3AFDBFDC" w14:textId="4DC180D6" w:rsidR="00D154FC" w:rsidRPr="00307D85" w:rsidRDefault="00D154FC" w:rsidP="00D154FC">
            <w:pPr>
              <w:pStyle w:val="NormalWeb"/>
              <w:numPr>
                <w:ilvl w:val="0"/>
                <w:numId w:val="162"/>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Dissent, Declaratory Acts and Legal Certainty</w:t>
            </w:r>
          </w:p>
        </w:tc>
      </w:tr>
      <w:tr w:rsidR="00D154FC" w:rsidRPr="00307D85" w14:paraId="64E01B12" w14:textId="77777777" w:rsidTr="00A405B6">
        <w:tc>
          <w:tcPr>
            <w:tcW w:w="9714" w:type="dxa"/>
          </w:tcPr>
          <w:p w14:paraId="2D565AA4" w14:textId="17A5D7C6"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Conversely, where unanimity is lacking following the failure or frustration of the initial transaction, the </w:t>
            </w:r>
            <w:r w:rsidRPr="00307D85">
              <w:rPr>
                <w:rFonts w:ascii="Verdana" w:hAnsi="Verdana"/>
                <w:b w:val="0"/>
                <w:bCs w:val="0"/>
                <w:i/>
                <w:iCs/>
                <w:color w:val="000000" w:themeColor="text1"/>
                <w:sz w:val="18"/>
                <w:szCs w:val="18"/>
                <w:lang w:val="en-GB"/>
              </w:rPr>
              <w:t>ipso jure</w:t>
            </w:r>
            <w:r w:rsidRPr="00307D85">
              <w:rPr>
                <w:rFonts w:ascii="Verdana" w:hAnsi="Verdana"/>
                <w:b w:val="0"/>
                <w:bCs w:val="0"/>
                <w:color w:val="000000" w:themeColor="text1"/>
                <w:sz w:val="18"/>
                <w:szCs w:val="18"/>
                <w:lang w:val="en-GB"/>
              </w:rPr>
              <w:t xml:space="preserve"> character of the dissolution resurfaces. Because this dissolution ground turns on the legal characterisation of the corporate object as completed or frustrated, the dissent of even a single shareholder or partner preserves the possibility of invoking Article 1865.</w:t>
            </w:r>
          </w:p>
        </w:tc>
      </w:tr>
      <w:tr w:rsidR="00D154FC" w:rsidRPr="00307D85" w14:paraId="0CE0393B" w14:textId="77777777" w:rsidTr="00A405B6">
        <w:tc>
          <w:tcPr>
            <w:tcW w:w="9714" w:type="dxa"/>
          </w:tcPr>
          <w:p w14:paraId="047B650C" w14:textId="7F490C5E"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In such circumstances, a dissenting investor may seek formal recognition that the object has been exhausted and that the investment company has entered into dissolution, whether through a notarial or regulatory (in the event of a regulated investment company) declaration supported by the fund documentation and factual record, or also through judicial proceedings. For creditors, </w:t>
            </w:r>
            <w:r w:rsidRPr="00307D85">
              <w:rPr>
                <w:rFonts w:ascii="Verdana" w:hAnsi="Verdana"/>
                <w:b w:val="0"/>
                <w:bCs w:val="0"/>
                <w:color w:val="000000" w:themeColor="text1"/>
                <w:sz w:val="18"/>
                <w:szCs w:val="18"/>
                <w:lang w:val="en-GB"/>
              </w:rPr>
              <w:lastRenderedPageBreak/>
              <w:t>regulators, and other third parties, such formal acts serve as focal points around which legal certainty can be organised.</w:t>
            </w:r>
          </w:p>
        </w:tc>
      </w:tr>
      <w:tr w:rsidR="00D154FC" w:rsidRPr="00307D85" w14:paraId="526136A7" w14:textId="77777777" w:rsidTr="00A405B6">
        <w:tc>
          <w:tcPr>
            <w:tcW w:w="9714" w:type="dxa"/>
          </w:tcPr>
          <w:p w14:paraId="110044EF" w14:textId="2F5D45F2"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lastRenderedPageBreak/>
              <w:t>These dynamics explain why, in practice, the extinction or frustration of the corporate object is rarely treated as a purely self-executing event. Even where dissolution is said to occur by operation of law, the factual complexity and contestability of the underlying assessment typically lead market participants to seek a formal act either to confirm dissolution or to record the continuation of the investment company on a revised basis.</w:t>
            </w:r>
          </w:p>
        </w:tc>
      </w:tr>
      <w:tr w:rsidR="00246B82" w:rsidRPr="00307D85" w14:paraId="4A5A93D3" w14:textId="77777777" w:rsidTr="00A405B6">
        <w:tc>
          <w:tcPr>
            <w:tcW w:w="9714" w:type="dxa"/>
          </w:tcPr>
          <w:p w14:paraId="3671E492" w14:textId="2C40526C" w:rsidR="00246B82" w:rsidRPr="00307D85" w:rsidRDefault="00246B82" w:rsidP="00246B82">
            <w:pPr>
              <w:pStyle w:val="NormalWeb"/>
              <w:numPr>
                <w:ilvl w:val="0"/>
                <w:numId w:val="162"/>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 xml:space="preserve">Irreversibility </w:t>
            </w:r>
            <w:r w:rsidR="00E963F4">
              <w:rPr>
                <w:rFonts w:ascii="Verdana" w:hAnsi="Verdana"/>
                <w:b w:val="0"/>
                <w:bCs w:val="0"/>
                <w:i/>
                <w:iCs/>
                <w:color w:val="002060"/>
                <w:sz w:val="18"/>
                <w:szCs w:val="18"/>
                <w:lang w:val="en-GB"/>
              </w:rPr>
              <w:t>Possibilities</w:t>
            </w:r>
          </w:p>
        </w:tc>
      </w:tr>
      <w:tr w:rsidR="00D154FC" w:rsidRPr="00307D85" w14:paraId="532080BC" w14:textId="77777777" w:rsidTr="00A405B6">
        <w:tc>
          <w:tcPr>
            <w:tcW w:w="9714" w:type="dxa"/>
          </w:tcPr>
          <w:p w14:paraId="767A767D" w14:textId="589FD7FA" w:rsidR="00D154FC" w:rsidRPr="00307D85" w:rsidRDefault="00D154FC" w:rsidP="00D154FC">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Once dissolution has occurred by operation of law following the expiry of the contractual duration, the temporal framework of the investment company is exhausted. The duration cannot be extended retroactively, nor can the corporate purpose or investment objective be amended so as to revive a legal existence that has already terminated.</w:t>
            </w:r>
          </w:p>
        </w:tc>
      </w:tr>
      <w:tr w:rsidR="00246B82" w:rsidRPr="00307D85" w14:paraId="3DACD987" w14:textId="77777777" w:rsidTr="00A405B6">
        <w:tc>
          <w:tcPr>
            <w:tcW w:w="9714" w:type="dxa"/>
          </w:tcPr>
          <w:p w14:paraId="0CB9598B" w14:textId="3B661CE9" w:rsidR="00246B82" w:rsidRPr="00307D85" w:rsidRDefault="00246B82" w:rsidP="00246B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By contrast, the extinction or frustration of the corporate object occupies a more nuanced position. Its </w:t>
            </w:r>
            <w:r w:rsidRPr="00307D85">
              <w:rPr>
                <w:rFonts w:ascii="Verdana" w:hAnsi="Verdana"/>
                <w:b w:val="0"/>
                <w:bCs w:val="0"/>
                <w:i/>
                <w:iCs/>
                <w:color w:val="000000" w:themeColor="text1"/>
                <w:sz w:val="18"/>
                <w:szCs w:val="18"/>
                <w:lang w:val="en-GB"/>
              </w:rPr>
              <w:t>ipso jure</w:t>
            </w:r>
            <w:r w:rsidRPr="00307D85">
              <w:rPr>
                <w:rFonts w:ascii="Verdana" w:hAnsi="Verdana"/>
                <w:b w:val="0"/>
                <w:bCs w:val="0"/>
                <w:color w:val="000000" w:themeColor="text1"/>
                <w:sz w:val="18"/>
                <w:szCs w:val="18"/>
                <w:lang w:val="en-GB"/>
              </w:rPr>
              <w:t xml:space="preserve"> nature cannot be denied as a matter of principle, since any stakeholder may, in the absence of unanimity, seek to have the dissolution recognised. Yet where unanimity is present and duly formalised through amendments to the fund documentation, the parties may effectively neutralise the operation of this dissolution ground and preserve the life of the investment vehicle beyond the failure of its initial transaction. This asymmetry marks in practice a fundamental distinction between the two </w:t>
            </w:r>
            <w:r w:rsidRPr="00307D85">
              <w:rPr>
                <w:rFonts w:ascii="Verdana" w:hAnsi="Verdana"/>
                <w:b w:val="0"/>
                <w:bCs w:val="0"/>
                <w:i/>
                <w:iCs/>
                <w:color w:val="000000" w:themeColor="text1"/>
                <w:sz w:val="18"/>
                <w:szCs w:val="18"/>
                <w:lang w:val="en-GB"/>
              </w:rPr>
              <w:t>ipso jure</w:t>
            </w:r>
            <w:r w:rsidRPr="00307D85">
              <w:rPr>
                <w:rFonts w:ascii="Verdana" w:hAnsi="Verdana"/>
                <w:b w:val="0"/>
                <w:bCs w:val="0"/>
                <w:color w:val="000000" w:themeColor="text1"/>
                <w:sz w:val="18"/>
                <w:szCs w:val="18"/>
                <w:lang w:val="en-GB"/>
              </w:rPr>
              <w:t xml:space="preserve"> dissolution events recognised under Article 1865 of the Civil Code.</w:t>
            </w:r>
          </w:p>
        </w:tc>
      </w:tr>
      <w:tr w:rsidR="00246B82" w:rsidRPr="00307D85" w14:paraId="61BADBB1" w14:textId="77777777" w:rsidTr="00A405B6">
        <w:tc>
          <w:tcPr>
            <w:tcW w:w="9714" w:type="dxa"/>
          </w:tcPr>
          <w:p w14:paraId="3C714D9A" w14:textId="21CE173F" w:rsidR="00246B82" w:rsidRPr="00307D85" w:rsidRDefault="00246B82" w:rsidP="00246B82">
            <w:pPr>
              <w:pStyle w:val="NormalWeb"/>
              <w:numPr>
                <w:ilvl w:val="0"/>
                <w:numId w:val="63"/>
              </w:numPr>
              <w:spacing w:before="0" w:beforeAutospacing="0" w:after="120" w:afterAutospacing="0"/>
              <w:jc w:val="both"/>
              <w:rPr>
                <w:rFonts w:ascii="Verdana" w:hAnsi="Verdana"/>
                <w:b w:val="0"/>
                <w:bCs w:val="0"/>
                <w:i/>
                <w:iCs/>
                <w:color w:val="002060"/>
                <w:sz w:val="18"/>
                <w:szCs w:val="18"/>
                <w:lang w:val="en-GB"/>
              </w:rPr>
            </w:pPr>
            <w:r w:rsidRPr="00307D85">
              <w:rPr>
                <w:rFonts w:ascii="Verdana" w:hAnsi="Verdana"/>
                <w:i/>
                <w:iCs/>
                <w:color w:val="002060"/>
                <w:sz w:val="18"/>
                <w:szCs w:val="18"/>
                <w:lang w:val="en-GB"/>
              </w:rPr>
              <w:t>Ipso jure</w:t>
            </w:r>
            <w:r w:rsidRPr="00307D85">
              <w:rPr>
                <w:rFonts w:ascii="Verdana" w:hAnsi="Verdana"/>
                <w:color w:val="002060"/>
                <w:sz w:val="18"/>
                <w:szCs w:val="18"/>
                <w:lang w:val="en-GB"/>
              </w:rPr>
              <w:t xml:space="preserve"> </w:t>
            </w:r>
            <w:r w:rsidR="00E963F4">
              <w:rPr>
                <w:rFonts w:ascii="Verdana" w:hAnsi="Verdana"/>
                <w:color w:val="002060"/>
                <w:sz w:val="18"/>
                <w:szCs w:val="18"/>
                <w:lang w:val="en-GB"/>
              </w:rPr>
              <w:t>Triggers</w:t>
            </w:r>
            <w:r w:rsidRPr="00307D85">
              <w:rPr>
                <w:rFonts w:ascii="Verdana" w:hAnsi="Verdana"/>
                <w:color w:val="002060"/>
                <w:sz w:val="18"/>
                <w:szCs w:val="18"/>
                <w:lang w:val="en-GB"/>
              </w:rPr>
              <w:t xml:space="preserve"> </w:t>
            </w:r>
            <w:r w:rsidR="002536BE" w:rsidRPr="00307D85">
              <w:rPr>
                <w:rFonts w:ascii="Verdana" w:hAnsi="Verdana"/>
                <w:color w:val="002060"/>
                <w:sz w:val="18"/>
                <w:szCs w:val="18"/>
                <w:lang w:val="en-GB"/>
              </w:rPr>
              <w:t>under</w:t>
            </w:r>
            <w:r w:rsidRPr="00307D85">
              <w:rPr>
                <w:rFonts w:ascii="Verdana" w:hAnsi="Verdana"/>
                <w:color w:val="002060"/>
                <w:sz w:val="18"/>
                <w:szCs w:val="18"/>
                <w:lang w:val="en-GB"/>
              </w:rPr>
              <w:t xml:space="preserve"> Product </w:t>
            </w:r>
            <w:r w:rsidR="00F44CFD" w:rsidRPr="00307D85">
              <w:rPr>
                <w:rFonts w:ascii="Verdana" w:hAnsi="Verdana"/>
                <w:color w:val="002060"/>
                <w:sz w:val="18"/>
                <w:szCs w:val="18"/>
                <w:lang w:val="en-GB"/>
              </w:rPr>
              <w:t xml:space="preserve">Fund </w:t>
            </w:r>
            <w:r w:rsidRPr="00307D85">
              <w:rPr>
                <w:rFonts w:ascii="Verdana" w:hAnsi="Verdana"/>
                <w:color w:val="002060"/>
                <w:sz w:val="18"/>
                <w:szCs w:val="18"/>
                <w:lang w:val="en-GB"/>
              </w:rPr>
              <w:t>Laws</w:t>
            </w:r>
            <w:r w:rsidR="00E963F4">
              <w:rPr>
                <w:rFonts w:ascii="Verdana" w:hAnsi="Verdana"/>
                <w:color w:val="002060"/>
                <w:sz w:val="18"/>
                <w:szCs w:val="18"/>
                <w:lang w:val="en-GB"/>
              </w:rPr>
              <w:t>: The Last-Compartment Rule</w:t>
            </w:r>
          </w:p>
        </w:tc>
      </w:tr>
      <w:tr w:rsidR="00246B82" w:rsidRPr="00307D85" w14:paraId="6BC57FBB" w14:textId="77777777" w:rsidTr="00A405B6">
        <w:tc>
          <w:tcPr>
            <w:tcW w:w="9714" w:type="dxa"/>
          </w:tcPr>
          <w:p w14:paraId="41F193F2" w14:textId="3D75388C" w:rsidR="00246B82" w:rsidRPr="00307D85" w:rsidRDefault="00246B82" w:rsidP="00246B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 xml:space="preserve">All Luxembourg Product </w:t>
            </w:r>
            <w:r w:rsidR="009144E3" w:rsidRPr="00307D85">
              <w:rPr>
                <w:rFonts w:ascii="Verdana" w:hAnsi="Verdana"/>
                <w:b w:val="0"/>
                <w:bCs w:val="0"/>
                <w:color w:val="000000" w:themeColor="text1"/>
                <w:sz w:val="18"/>
                <w:szCs w:val="18"/>
                <w:lang w:val="en-GB"/>
              </w:rPr>
              <w:t xml:space="preserve">Fund </w:t>
            </w:r>
            <w:r w:rsidRPr="00307D85">
              <w:rPr>
                <w:rFonts w:ascii="Verdana" w:hAnsi="Verdana"/>
                <w:b w:val="0"/>
                <w:bCs w:val="0"/>
                <w:color w:val="000000" w:themeColor="text1"/>
                <w:sz w:val="18"/>
                <w:szCs w:val="18"/>
                <w:lang w:val="en-GB"/>
              </w:rPr>
              <w:t>Laws permit the creation of umbrella funds with multiple compartments. These laws also share a core feature: each compartment may be liquidated separately without affecting the existence of the umbrella, but the liquidation of the last remaining compartment automatically entails the liquidation of the umbrella fund.</w:t>
            </w:r>
          </w:p>
        </w:tc>
      </w:tr>
      <w:tr w:rsidR="00246B82" w:rsidRPr="00307D85" w14:paraId="3B7D8ECF" w14:textId="77777777" w:rsidTr="00A405B6">
        <w:tc>
          <w:tcPr>
            <w:tcW w:w="9714" w:type="dxa"/>
          </w:tcPr>
          <w:p w14:paraId="12C21A74" w14:textId="50620C3C" w:rsidR="00246B82" w:rsidRPr="00307D85" w:rsidRDefault="00246B82" w:rsidP="00246B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307D85">
              <w:rPr>
                <w:rFonts w:ascii="Verdana" w:hAnsi="Verdana"/>
                <w:b w:val="0"/>
                <w:bCs w:val="0"/>
                <w:color w:val="000000" w:themeColor="text1"/>
                <w:sz w:val="18"/>
                <w:szCs w:val="18"/>
                <w:lang w:val="en-GB"/>
              </w:rPr>
              <w:t>For umbrellas organised as</w:t>
            </w:r>
            <w:r w:rsidR="00E96C13">
              <w:rPr>
                <w:rFonts w:ascii="Verdana" w:hAnsi="Verdana"/>
                <w:b w:val="0"/>
                <w:bCs w:val="0"/>
                <w:color w:val="000000" w:themeColor="text1"/>
                <w:sz w:val="18"/>
                <w:szCs w:val="18"/>
                <w:lang w:val="en-GB"/>
              </w:rPr>
              <w:t xml:space="preserve"> SICAV</w:t>
            </w:r>
            <w:r w:rsidRPr="00307D85">
              <w:rPr>
                <w:rFonts w:ascii="Verdana" w:hAnsi="Verdana"/>
                <w:b w:val="0"/>
                <w:bCs w:val="0"/>
                <w:color w:val="000000" w:themeColor="text1"/>
                <w:sz w:val="18"/>
                <w:szCs w:val="18"/>
                <w:lang w:val="en-GB"/>
              </w:rPr>
              <w:t>, this rule functions as an additional statutory cause of dissolution compared to those seen above</w:t>
            </w:r>
            <w:r w:rsidR="009144E3" w:rsidRPr="00307D85">
              <w:rPr>
                <w:rFonts w:ascii="Verdana" w:hAnsi="Verdana"/>
                <w:b w:val="0"/>
                <w:bCs w:val="0"/>
                <w:color w:val="000000" w:themeColor="text1"/>
                <w:sz w:val="18"/>
                <w:szCs w:val="18"/>
                <w:lang w:val="en-GB"/>
              </w:rPr>
              <w:t xml:space="preserve"> under points </w:t>
            </w:r>
            <w:r w:rsidR="009144E3" w:rsidRPr="00307D85">
              <w:rPr>
                <w:rFonts w:ascii="Verdana" w:hAnsi="Verdana"/>
                <w:color w:val="002060"/>
                <w:sz w:val="18"/>
                <w:szCs w:val="18"/>
                <w:lang w:val="en-GB"/>
              </w:rPr>
              <w:t>(</w:t>
            </w:r>
            <w:r w:rsidR="002536BE" w:rsidRPr="00307D85">
              <w:rPr>
                <w:rFonts w:ascii="Verdana" w:hAnsi="Verdana"/>
                <w:color w:val="002060"/>
                <w:sz w:val="18"/>
                <w:szCs w:val="18"/>
                <w:lang w:val="en-GB"/>
              </w:rPr>
              <w:t>7</w:t>
            </w:r>
            <w:r w:rsidR="009144E3" w:rsidRPr="00307D85">
              <w:rPr>
                <w:rFonts w:ascii="Verdana" w:hAnsi="Verdana"/>
                <w:color w:val="002060"/>
                <w:sz w:val="18"/>
                <w:szCs w:val="18"/>
                <w:lang w:val="en-GB"/>
              </w:rPr>
              <w:t>)</w:t>
            </w:r>
            <w:r w:rsidR="002536BE" w:rsidRPr="00307D85">
              <w:rPr>
                <w:rFonts w:ascii="Verdana" w:hAnsi="Verdana"/>
                <w:b w:val="0"/>
                <w:bCs w:val="0"/>
                <w:color w:val="000000" w:themeColor="text1"/>
                <w:sz w:val="18"/>
                <w:szCs w:val="18"/>
                <w:lang w:val="en-GB"/>
              </w:rPr>
              <w:t xml:space="preserve"> to </w:t>
            </w:r>
            <w:r w:rsidR="002536BE" w:rsidRPr="00307D85">
              <w:rPr>
                <w:rFonts w:ascii="Verdana" w:hAnsi="Verdana"/>
                <w:color w:val="002060"/>
                <w:sz w:val="18"/>
                <w:szCs w:val="18"/>
                <w:lang w:val="en-GB"/>
              </w:rPr>
              <w:t>(16)</w:t>
            </w:r>
            <w:r w:rsidR="009144E3" w:rsidRPr="00307D85">
              <w:rPr>
                <w:rFonts w:ascii="Verdana" w:hAnsi="Verdana"/>
                <w:b w:val="0"/>
                <w:bCs w:val="0"/>
                <w:color w:val="000000" w:themeColor="text1"/>
                <w:sz w:val="18"/>
                <w:szCs w:val="18"/>
                <w:lang w:val="en-GB"/>
              </w:rPr>
              <w:t xml:space="preserve"> and following</w:t>
            </w:r>
            <w:r w:rsidRPr="00307D85">
              <w:rPr>
                <w:rFonts w:ascii="Verdana" w:hAnsi="Verdana"/>
                <w:b w:val="0"/>
                <w:bCs w:val="0"/>
                <w:color w:val="000000" w:themeColor="text1"/>
                <w:sz w:val="18"/>
                <w:szCs w:val="18"/>
                <w:lang w:val="en-GB"/>
              </w:rPr>
              <w:t xml:space="preserve">, operating </w:t>
            </w:r>
            <w:r w:rsidRPr="00307D85">
              <w:rPr>
                <w:rFonts w:ascii="Verdana" w:hAnsi="Verdana"/>
                <w:b w:val="0"/>
                <w:bCs w:val="0"/>
                <w:i/>
                <w:iCs/>
                <w:color w:val="000000" w:themeColor="text1"/>
                <w:sz w:val="18"/>
                <w:szCs w:val="18"/>
                <w:lang w:val="en-GB"/>
              </w:rPr>
              <w:t>ipso jure</w:t>
            </w:r>
            <w:r w:rsidRPr="00307D85">
              <w:rPr>
                <w:rFonts w:ascii="Verdana" w:hAnsi="Verdana"/>
                <w:b w:val="0"/>
                <w:bCs w:val="0"/>
                <w:color w:val="000000" w:themeColor="text1"/>
                <w:sz w:val="18"/>
                <w:szCs w:val="18"/>
                <w:lang w:val="en-GB"/>
              </w:rPr>
              <w:t xml:space="preserve"> alongside the grounds provided by the Civil Code. </w:t>
            </w:r>
          </w:p>
        </w:tc>
      </w:tr>
      <w:tr w:rsidR="009144E3" w:rsidRPr="00307D85" w14:paraId="67F55E9A" w14:textId="77777777" w:rsidTr="00A405B6">
        <w:tc>
          <w:tcPr>
            <w:tcW w:w="9714" w:type="dxa"/>
          </w:tcPr>
          <w:p w14:paraId="4E27CD22" w14:textId="12848175" w:rsidR="009144E3" w:rsidRPr="00307D85" w:rsidRDefault="009144E3" w:rsidP="00246B82">
            <w:pPr>
              <w:pStyle w:val="NormalWeb"/>
              <w:numPr>
                <w:ilvl w:val="0"/>
                <w:numId w:val="75"/>
              </w:numPr>
              <w:spacing w:before="0" w:beforeAutospacing="0" w:after="120" w:afterAutospacing="0"/>
              <w:ind w:left="661" w:hanging="661"/>
              <w:jc w:val="both"/>
              <w:rPr>
                <w:rFonts w:ascii="Verdana" w:hAnsi="Verdana"/>
                <w:color w:val="000000" w:themeColor="text1"/>
                <w:sz w:val="18"/>
                <w:szCs w:val="18"/>
                <w:lang w:val="en-GB"/>
              </w:rPr>
            </w:pPr>
            <w:r w:rsidRPr="00307D85">
              <w:rPr>
                <w:rFonts w:ascii="Verdana" w:hAnsi="Verdana"/>
                <w:b w:val="0"/>
                <w:bCs w:val="0"/>
                <w:color w:val="000000" w:themeColor="text1"/>
                <w:sz w:val="18"/>
                <w:szCs w:val="18"/>
                <w:lang w:val="en-GB"/>
              </w:rPr>
              <w:t xml:space="preserve">For </w:t>
            </w:r>
            <w:r w:rsidR="002536BE" w:rsidRPr="00307D85">
              <w:rPr>
                <w:rFonts w:ascii="Verdana" w:hAnsi="Verdana"/>
                <w:b w:val="0"/>
                <w:bCs w:val="0"/>
                <w:color w:val="000000" w:themeColor="text1"/>
                <w:sz w:val="18"/>
                <w:szCs w:val="18"/>
                <w:lang w:val="en-GB"/>
              </w:rPr>
              <w:t>funds</w:t>
            </w:r>
            <w:r w:rsidRPr="00307D85">
              <w:rPr>
                <w:rFonts w:ascii="Verdana" w:hAnsi="Verdana"/>
                <w:b w:val="0"/>
                <w:bCs w:val="0"/>
                <w:color w:val="000000" w:themeColor="text1"/>
                <w:sz w:val="18"/>
                <w:szCs w:val="18"/>
                <w:lang w:val="en-GB"/>
              </w:rPr>
              <w:t xml:space="preserve"> organised as </w:t>
            </w:r>
            <w:r w:rsidR="00E96C13">
              <w:rPr>
                <w:rFonts w:ascii="Verdana" w:hAnsi="Verdana"/>
                <w:b w:val="0"/>
                <w:bCs w:val="0"/>
                <w:color w:val="000000" w:themeColor="text1"/>
                <w:sz w:val="18"/>
                <w:szCs w:val="18"/>
                <w:lang w:val="en-GB"/>
              </w:rPr>
              <w:t xml:space="preserve">FCPs </w:t>
            </w:r>
            <w:r w:rsidR="002536BE" w:rsidRPr="00307D85">
              <w:rPr>
                <w:rFonts w:ascii="Verdana" w:hAnsi="Verdana"/>
                <w:b w:val="0"/>
                <w:bCs w:val="0"/>
                <w:color w:val="000000" w:themeColor="text1"/>
                <w:sz w:val="18"/>
                <w:szCs w:val="18"/>
                <w:lang w:val="en-GB"/>
              </w:rPr>
              <w:t>(whether standalone or umbrella funds)</w:t>
            </w:r>
            <w:r w:rsidRPr="00307D85">
              <w:rPr>
                <w:rFonts w:ascii="Verdana" w:hAnsi="Verdana"/>
                <w:b w:val="0"/>
                <w:bCs w:val="0"/>
                <w:color w:val="000000" w:themeColor="text1"/>
                <w:sz w:val="18"/>
                <w:szCs w:val="18"/>
                <w:lang w:val="en-GB"/>
              </w:rPr>
              <w:t>, which by nature lack legal personality and are not subject to the Company Act 1915,</w:t>
            </w:r>
            <w:r w:rsidR="002536BE" w:rsidRPr="00307D85">
              <w:rPr>
                <w:rStyle w:val="FootnoteReference"/>
                <w:rFonts w:ascii="Verdana" w:hAnsi="Verdana"/>
                <w:b w:val="0"/>
                <w:bCs w:val="0"/>
                <w:color w:val="000000"/>
                <w:sz w:val="18"/>
                <w:szCs w:val="18"/>
                <w:lang w:val="en-GB"/>
              </w:rPr>
              <w:footnoteReference w:id="5"/>
            </w:r>
            <w:r w:rsidRPr="00307D85">
              <w:rPr>
                <w:rFonts w:ascii="Verdana" w:hAnsi="Verdana"/>
                <w:b w:val="0"/>
                <w:bCs w:val="0"/>
                <w:color w:val="000000" w:themeColor="text1"/>
                <w:sz w:val="18"/>
                <w:szCs w:val="18"/>
                <w:lang w:val="en-GB"/>
              </w:rPr>
              <w:t xml:space="preserve"> the same rule operates as an automatic liquidation trigger within the applicable Product </w:t>
            </w:r>
            <w:r w:rsidR="002536BE" w:rsidRPr="00307D85">
              <w:rPr>
                <w:rFonts w:ascii="Verdana" w:hAnsi="Verdana"/>
                <w:b w:val="0"/>
                <w:bCs w:val="0"/>
                <w:color w:val="000000" w:themeColor="text1"/>
                <w:sz w:val="18"/>
                <w:szCs w:val="18"/>
                <w:lang w:val="en-GB"/>
              </w:rPr>
              <w:t xml:space="preserve">Fund </w:t>
            </w:r>
            <w:r w:rsidRPr="00307D85">
              <w:rPr>
                <w:rFonts w:ascii="Verdana" w:hAnsi="Verdana"/>
                <w:b w:val="0"/>
                <w:bCs w:val="0"/>
                <w:color w:val="000000" w:themeColor="text1"/>
                <w:sz w:val="18"/>
                <w:szCs w:val="18"/>
                <w:lang w:val="en-GB"/>
              </w:rPr>
              <w:t>Law framework that governs FCP.</w:t>
            </w:r>
            <w:r w:rsidRPr="00307D85">
              <w:rPr>
                <w:rStyle w:val="FootnoteReference"/>
                <w:rFonts w:ascii="Verdana" w:hAnsi="Verdana"/>
                <w:b w:val="0"/>
                <w:bCs w:val="0"/>
                <w:color w:val="000000"/>
                <w:sz w:val="18"/>
                <w:szCs w:val="18"/>
                <w:lang w:val="en-GB"/>
              </w:rPr>
              <w:footnoteReference w:id="6"/>
            </w:r>
          </w:p>
        </w:tc>
      </w:tr>
      <w:tr w:rsidR="00246B82" w:rsidRPr="00307D85" w14:paraId="57CD636E" w14:textId="77777777" w:rsidTr="00A405B6">
        <w:tc>
          <w:tcPr>
            <w:tcW w:w="9714" w:type="dxa"/>
          </w:tcPr>
          <w:p w14:paraId="5ADC7DA7" w14:textId="6A56158A" w:rsidR="00E01C47" w:rsidRPr="00307D85" w:rsidRDefault="00E01C47" w:rsidP="00246B82">
            <w:pPr>
              <w:pStyle w:val="NormalWeb"/>
              <w:numPr>
                <w:ilvl w:val="0"/>
                <w:numId w:val="75"/>
              </w:numPr>
              <w:spacing w:before="0" w:beforeAutospacing="0" w:after="120" w:afterAutospacing="0"/>
              <w:ind w:left="661" w:hanging="661"/>
              <w:jc w:val="both"/>
              <w:rPr>
                <w:rFonts w:ascii="Verdana" w:hAnsi="Verdana"/>
                <w:b w:val="0"/>
                <w:bCs w:val="0"/>
                <w:color w:val="000000" w:themeColor="text1"/>
                <w:sz w:val="18"/>
                <w:szCs w:val="18"/>
                <w:lang w:val="en-GB"/>
              </w:rPr>
            </w:pPr>
            <w:r w:rsidRPr="00E01C47">
              <w:rPr>
                <w:rFonts w:ascii="Verdana" w:hAnsi="Verdana"/>
                <w:b w:val="0"/>
                <w:bCs w:val="0"/>
                <w:color w:val="000000" w:themeColor="text1"/>
                <w:sz w:val="18"/>
                <w:szCs w:val="18"/>
                <w:lang w:val="en-GB"/>
              </w:rPr>
              <w:t>The analysis below therefore proceeds in two stages. The first section examines umbrella funds organised in corporate form, in particular SICAVs, with a focus on the interaction between the Product Fund Laws and the Company Act 1915 and the resulting</w:t>
            </w:r>
            <w:r>
              <w:rPr>
                <w:rFonts w:ascii="Verdana" w:hAnsi="Verdana"/>
                <w:b w:val="0"/>
                <w:bCs w:val="0"/>
                <w:color w:val="000000" w:themeColor="text1"/>
                <w:sz w:val="18"/>
                <w:szCs w:val="18"/>
                <w:lang w:val="en-GB"/>
              </w:rPr>
              <w:t xml:space="preserve"> </w:t>
            </w:r>
            <w:r w:rsidRPr="00E01C47">
              <w:rPr>
                <w:rFonts w:ascii="Verdana" w:hAnsi="Verdana"/>
                <w:b w:val="0"/>
                <w:bCs w:val="0"/>
                <w:i/>
                <w:iCs/>
                <w:color w:val="000000" w:themeColor="text1"/>
                <w:sz w:val="18"/>
                <w:szCs w:val="18"/>
                <w:lang w:val="en-GB"/>
              </w:rPr>
              <w:t>ipso jure</w:t>
            </w:r>
            <w:r>
              <w:rPr>
                <w:rFonts w:ascii="Verdana" w:hAnsi="Verdana"/>
                <w:b w:val="0"/>
                <w:bCs w:val="0"/>
                <w:i/>
                <w:iCs/>
                <w:color w:val="000000" w:themeColor="text1"/>
                <w:sz w:val="18"/>
                <w:szCs w:val="18"/>
                <w:lang w:val="en-GB"/>
              </w:rPr>
              <w:t xml:space="preserve"> </w:t>
            </w:r>
            <w:r w:rsidRPr="00E01C47">
              <w:rPr>
                <w:rFonts w:ascii="Verdana" w:hAnsi="Verdana"/>
                <w:b w:val="0"/>
                <w:bCs w:val="0"/>
                <w:color w:val="000000" w:themeColor="text1"/>
                <w:sz w:val="18"/>
                <w:szCs w:val="18"/>
                <w:lang w:val="en-GB"/>
              </w:rPr>
              <w:t>dissolution mechanisms. The second section turns to umbrella funds organised as FCPs, where the same statutory triggers operate not through the dissolution of a legal person, but through an automatic entry into liquidation grounded in the contractual nature of the fund and the central role of the management company and the depositary.</w:t>
            </w:r>
          </w:p>
        </w:tc>
      </w:tr>
      <w:tr w:rsidR="00246B82" w:rsidRPr="00307D85" w14:paraId="42715C1D" w14:textId="77777777" w:rsidTr="00A405B6">
        <w:tc>
          <w:tcPr>
            <w:tcW w:w="9714" w:type="dxa"/>
          </w:tcPr>
          <w:p w14:paraId="7D6C6526" w14:textId="23BDEF26" w:rsidR="00246B82" w:rsidRPr="00307D85" w:rsidRDefault="00246B82" w:rsidP="00246B82">
            <w:pPr>
              <w:pStyle w:val="NormalWeb"/>
              <w:numPr>
                <w:ilvl w:val="0"/>
                <w:numId w:val="159"/>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Ipso Jure Dissolution of Umbrella SICAVs</w:t>
            </w:r>
          </w:p>
        </w:tc>
      </w:tr>
      <w:tr w:rsidR="00246B82" w:rsidRPr="00307D85" w14:paraId="7E26955F" w14:textId="77777777" w:rsidTr="00A405B6">
        <w:tc>
          <w:tcPr>
            <w:tcW w:w="9714" w:type="dxa"/>
          </w:tcPr>
          <w:p w14:paraId="11E7A160" w14:textId="24160841" w:rsidR="00246B82" w:rsidRPr="00307D85" w:rsidRDefault="00E963F4" w:rsidP="002536BE">
            <w:pPr>
              <w:pStyle w:val="NormalWeb"/>
              <w:numPr>
                <w:ilvl w:val="0"/>
                <w:numId w:val="164"/>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Statutory Architecture: Compartmentalisation and the Last-Compartment Rule</w:t>
            </w:r>
          </w:p>
        </w:tc>
      </w:tr>
      <w:tr w:rsidR="00246B82" w:rsidRPr="00307D85" w14:paraId="08352D1A" w14:textId="77777777" w:rsidTr="00A405B6">
        <w:tc>
          <w:tcPr>
            <w:tcW w:w="9714" w:type="dxa"/>
          </w:tcPr>
          <w:p w14:paraId="5383F404" w14:textId="5E0251EE" w:rsidR="00246B82" w:rsidRPr="00307D85" w:rsidRDefault="00246B82" w:rsidP="005B651E">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Across all four Product </w:t>
            </w:r>
            <w:r w:rsidR="002536BE" w:rsidRPr="00307D85">
              <w:rPr>
                <w:rFonts w:ascii="Verdana" w:hAnsi="Verdana"/>
                <w:b w:val="0"/>
                <w:bCs w:val="0"/>
                <w:sz w:val="18"/>
                <w:szCs w:val="18"/>
                <w:lang w:val="en-GB"/>
              </w:rPr>
              <w:t xml:space="preserve">Fund </w:t>
            </w:r>
            <w:r w:rsidRPr="00307D85">
              <w:rPr>
                <w:rFonts w:ascii="Verdana" w:hAnsi="Verdana"/>
                <w:b w:val="0"/>
                <w:bCs w:val="0"/>
                <w:sz w:val="18"/>
                <w:szCs w:val="18"/>
                <w:lang w:val="en-GB"/>
              </w:rPr>
              <w:t>Laws, an umbrella SICAV is a company where the constitutive documents provide that (</w:t>
            </w:r>
            <w:proofErr w:type="spellStart"/>
            <w:r w:rsidRPr="00307D85">
              <w:rPr>
                <w:rFonts w:ascii="Verdana" w:hAnsi="Verdana"/>
                <w:b w:val="0"/>
                <w:bCs w:val="0"/>
                <w:sz w:val="18"/>
                <w:szCs w:val="18"/>
                <w:lang w:val="en-GB"/>
              </w:rPr>
              <w:t>i</w:t>
            </w:r>
            <w:proofErr w:type="spellEnd"/>
            <w:r w:rsidRPr="00307D85">
              <w:rPr>
                <w:rFonts w:ascii="Verdana" w:hAnsi="Verdana"/>
                <w:b w:val="0"/>
                <w:bCs w:val="0"/>
                <w:sz w:val="18"/>
                <w:szCs w:val="18"/>
                <w:lang w:val="en-GB"/>
              </w:rPr>
              <w:t>) the capital amount shall at all times be equal to the net asset value of the investment company,</w:t>
            </w:r>
            <w:r w:rsidRPr="00307D85">
              <w:rPr>
                <w:rStyle w:val="FootnoteReference"/>
                <w:rFonts w:ascii="Verdana" w:hAnsi="Verdana"/>
                <w:b w:val="0"/>
                <w:bCs w:val="0"/>
                <w:color w:val="000000"/>
                <w:sz w:val="18"/>
                <w:szCs w:val="18"/>
                <w:lang w:val="en-GB"/>
              </w:rPr>
              <w:footnoteReference w:id="7"/>
            </w:r>
            <w:r w:rsidRPr="00307D85">
              <w:rPr>
                <w:rFonts w:ascii="Verdana" w:hAnsi="Verdana"/>
                <w:b w:val="0"/>
                <w:bCs w:val="0"/>
                <w:sz w:val="18"/>
                <w:szCs w:val="18"/>
                <w:lang w:val="en-GB"/>
              </w:rPr>
              <w:t xml:space="preserve"> and (ii) it is structured with one or more compartments, each of which </w:t>
            </w:r>
            <w:r w:rsidRPr="00307D85">
              <w:rPr>
                <w:rFonts w:ascii="Verdana" w:hAnsi="Verdana"/>
                <w:b w:val="0"/>
                <w:bCs w:val="0"/>
                <w:sz w:val="18"/>
                <w:szCs w:val="18"/>
                <w:lang w:val="en-GB"/>
              </w:rPr>
              <w:lastRenderedPageBreak/>
              <w:t xml:space="preserve">corresponding to a distinct </w:t>
            </w:r>
            <w:r w:rsidR="005B651E" w:rsidRPr="00307D85">
              <w:rPr>
                <w:rFonts w:ascii="Verdana" w:hAnsi="Verdana"/>
                <w:b w:val="0"/>
                <w:bCs w:val="0"/>
                <w:sz w:val="18"/>
                <w:szCs w:val="18"/>
                <w:lang w:val="en-GB"/>
              </w:rPr>
              <w:t>pool</w:t>
            </w:r>
            <w:r w:rsidRPr="00307D85">
              <w:rPr>
                <w:rFonts w:ascii="Verdana" w:hAnsi="Verdana"/>
                <w:b w:val="0"/>
                <w:bCs w:val="0"/>
                <w:sz w:val="18"/>
                <w:szCs w:val="18"/>
                <w:lang w:val="en-GB"/>
              </w:rPr>
              <w:t xml:space="preserve"> of the assets and liabilities of the SICAV.</w:t>
            </w:r>
            <w:r w:rsidRPr="00307D85">
              <w:rPr>
                <w:rStyle w:val="FootnoteReference"/>
                <w:rFonts w:ascii="Verdana" w:hAnsi="Verdana"/>
                <w:b w:val="0"/>
                <w:bCs w:val="0"/>
                <w:color w:val="000000"/>
                <w:sz w:val="18"/>
                <w:szCs w:val="18"/>
                <w:lang w:val="en-GB"/>
              </w:rPr>
              <w:footnoteReference w:id="8"/>
            </w:r>
            <w:r w:rsidRPr="00307D85">
              <w:rPr>
                <w:rFonts w:ascii="Verdana" w:hAnsi="Verdana"/>
                <w:b w:val="0"/>
                <w:bCs w:val="0"/>
                <w:sz w:val="18"/>
                <w:szCs w:val="18"/>
                <w:lang w:val="en-GB"/>
              </w:rPr>
              <w:t xml:space="preserve"> </w:t>
            </w:r>
            <w:r w:rsidR="005B651E" w:rsidRPr="00307D85">
              <w:rPr>
                <w:rFonts w:ascii="Verdana" w:hAnsi="Verdana"/>
                <w:b w:val="0"/>
                <w:bCs w:val="0"/>
                <w:sz w:val="18"/>
                <w:szCs w:val="18"/>
                <w:lang w:val="en-GB"/>
              </w:rPr>
              <w:t>This statutory design reflects a deliberate legislative choice to combine legal unity with economic and patrimonial segmentation.</w:t>
            </w:r>
          </w:p>
        </w:tc>
      </w:tr>
      <w:tr w:rsidR="005B651E" w:rsidRPr="00307D85" w14:paraId="3EA7E81A" w14:textId="77777777" w:rsidTr="00A405B6">
        <w:tc>
          <w:tcPr>
            <w:tcW w:w="9714" w:type="dxa"/>
          </w:tcPr>
          <w:p w14:paraId="254AB8FF" w14:textId="5E33E1C2" w:rsidR="005B651E" w:rsidRPr="00307D85" w:rsidRDefault="005B651E" w:rsidP="00246B82">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color w:val="000000"/>
                <w:sz w:val="18"/>
                <w:szCs w:val="18"/>
              </w:rPr>
              <w:lastRenderedPageBreak/>
              <w:t>From this architecture flow several structural consequences that are common to all Product Fund Laws and that are decisive for the analysis of dissolution and liquidation mechanisms.</w:t>
            </w:r>
          </w:p>
        </w:tc>
      </w:tr>
      <w:tr w:rsidR="00246B82" w:rsidRPr="00307D85" w14:paraId="6AEB7312" w14:textId="77777777" w:rsidTr="00A405B6">
        <w:tc>
          <w:tcPr>
            <w:tcW w:w="9714" w:type="dxa"/>
          </w:tcPr>
          <w:p w14:paraId="36B8CF0A" w14:textId="3DAD5C8F" w:rsidR="00246B82" w:rsidRPr="00307D85" w:rsidRDefault="00246B82" w:rsidP="00246B82">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First, the Product </w:t>
            </w:r>
            <w:r w:rsidR="002536BE" w:rsidRPr="00307D85">
              <w:rPr>
                <w:rFonts w:ascii="Verdana" w:hAnsi="Verdana"/>
                <w:b w:val="0"/>
                <w:bCs w:val="0"/>
                <w:sz w:val="18"/>
                <w:szCs w:val="18"/>
                <w:lang w:val="en-GB"/>
              </w:rPr>
              <w:t xml:space="preserve">Fund </w:t>
            </w:r>
            <w:r w:rsidRPr="00307D85">
              <w:rPr>
                <w:rFonts w:ascii="Verdana" w:hAnsi="Verdana"/>
                <w:b w:val="0"/>
                <w:bCs w:val="0"/>
                <w:sz w:val="18"/>
                <w:szCs w:val="18"/>
                <w:lang w:val="en-GB"/>
              </w:rPr>
              <w:t xml:space="preserve">Laws </w:t>
            </w:r>
            <w:r w:rsidR="005B651E" w:rsidRPr="00307D85">
              <w:rPr>
                <w:rFonts w:ascii="Verdana" w:hAnsi="Verdana"/>
                <w:b w:val="0"/>
                <w:bCs w:val="0"/>
                <w:sz w:val="18"/>
                <w:szCs w:val="18"/>
                <w:lang w:val="en-GB"/>
              </w:rPr>
              <w:t xml:space="preserve">expressly </w:t>
            </w:r>
            <w:r w:rsidRPr="00307D85">
              <w:rPr>
                <w:rFonts w:ascii="Verdana" w:hAnsi="Verdana"/>
                <w:b w:val="0"/>
                <w:bCs w:val="0"/>
                <w:sz w:val="18"/>
                <w:szCs w:val="18"/>
                <w:lang w:val="en-GB"/>
              </w:rPr>
              <w:t>organise compartmentalisation and ring-fencing. As a matter of principle, the rights of investors and creditors connected with a given compartment are limited to the assets of that compartment, and the liabilities of one compartment should not affect the others.</w:t>
            </w:r>
            <w:r w:rsidRPr="00307D85">
              <w:rPr>
                <w:rStyle w:val="FootnoteReference"/>
                <w:rFonts w:ascii="Verdana" w:hAnsi="Verdana"/>
                <w:b w:val="0"/>
                <w:bCs w:val="0"/>
                <w:color w:val="000000"/>
                <w:sz w:val="18"/>
                <w:szCs w:val="18"/>
                <w:lang w:val="en-GB"/>
              </w:rPr>
              <w:footnoteReference w:id="9"/>
            </w:r>
          </w:p>
        </w:tc>
      </w:tr>
      <w:tr w:rsidR="00246B82" w:rsidRPr="00307D85" w14:paraId="307ADBA9" w14:textId="77777777" w:rsidTr="00A405B6">
        <w:tc>
          <w:tcPr>
            <w:tcW w:w="9714" w:type="dxa"/>
          </w:tcPr>
          <w:p w14:paraId="293D51E1" w14:textId="7E801182" w:rsidR="003407A5" w:rsidRPr="00307D85" w:rsidRDefault="00246B82" w:rsidP="003407A5">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Second, the Product </w:t>
            </w:r>
            <w:r w:rsidR="002536BE" w:rsidRPr="00307D85">
              <w:rPr>
                <w:rFonts w:ascii="Verdana" w:hAnsi="Verdana"/>
                <w:b w:val="0"/>
                <w:bCs w:val="0"/>
                <w:sz w:val="18"/>
                <w:szCs w:val="18"/>
                <w:lang w:val="en-GB"/>
              </w:rPr>
              <w:t xml:space="preserve">Fund </w:t>
            </w:r>
            <w:r w:rsidRPr="00307D85">
              <w:rPr>
                <w:rFonts w:ascii="Verdana" w:hAnsi="Verdana"/>
                <w:b w:val="0"/>
                <w:bCs w:val="0"/>
                <w:sz w:val="18"/>
                <w:szCs w:val="18"/>
                <w:lang w:val="en-GB"/>
              </w:rPr>
              <w:t xml:space="preserve">Laws </w:t>
            </w:r>
            <w:r w:rsidR="005B651E" w:rsidRPr="00307D85">
              <w:rPr>
                <w:rFonts w:ascii="Verdana" w:hAnsi="Verdana"/>
                <w:b w:val="0"/>
                <w:bCs w:val="0"/>
                <w:sz w:val="18"/>
                <w:szCs w:val="18"/>
                <w:lang w:val="en-GB"/>
              </w:rPr>
              <w:t>recognise the possibility of</w:t>
            </w:r>
            <w:r w:rsidRPr="00307D85">
              <w:rPr>
                <w:rFonts w:ascii="Verdana" w:hAnsi="Verdana"/>
                <w:b w:val="0"/>
                <w:bCs w:val="0"/>
                <w:sz w:val="18"/>
                <w:szCs w:val="18"/>
                <w:lang w:val="en-GB"/>
              </w:rPr>
              <w:t xml:space="preserve"> the separate liquidation of compartments, in the sense that each compartment may be wound up on a stand-alone basis without such liquidation entailing the liquidation of the remaining compartments</w:t>
            </w:r>
            <w:r w:rsidR="001F7250" w:rsidRPr="00307D85">
              <w:rPr>
                <w:rFonts w:ascii="Verdana" w:hAnsi="Verdana"/>
                <w:b w:val="0"/>
                <w:bCs w:val="0"/>
                <w:sz w:val="18"/>
                <w:szCs w:val="18"/>
                <w:lang w:val="en-GB"/>
              </w:rPr>
              <w:t xml:space="preserve"> or the dissolution of the umbrella</w:t>
            </w:r>
            <w:r w:rsidR="005B651E" w:rsidRPr="00307D85">
              <w:rPr>
                <w:rFonts w:ascii="Verdana" w:hAnsi="Verdana"/>
                <w:b w:val="0"/>
                <w:bCs w:val="0"/>
                <w:sz w:val="18"/>
                <w:szCs w:val="18"/>
                <w:lang w:val="en-GB"/>
              </w:rPr>
              <w:t xml:space="preserve"> itself</w:t>
            </w:r>
            <w:r w:rsidRPr="00307D85">
              <w:rPr>
                <w:rFonts w:ascii="Verdana" w:hAnsi="Verdana"/>
                <w:b w:val="0"/>
                <w:bCs w:val="0"/>
                <w:sz w:val="18"/>
                <w:szCs w:val="18"/>
                <w:lang w:val="en-GB"/>
              </w:rPr>
              <w:t>.</w:t>
            </w:r>
            <w:r w:rsidRPr="00307D85">
              <w:rPr>
                <w:rStyle w:val="FootnoteReference"/>
                <w:rFonts w:ascii="Verdana" w:hAnsi="Verdana"/>
                <w:b w:val="0"/>
                <w:bCs w:val="0"/>
                <w:color w:val="000000"/>
                <w:sz w:val="18"/>
                <w:szCs w:val="18"/>
                <w:lang w:val="en-GB"/>
              </w:rPr>
              <w:footnoteReference w:id="10"/>
            </w:r>
            <w:r w:rsidR="003407A5" w:rsidRPr="00307D85">
              <w:rPr>
                <w:rFonts w:ascii="Verdana" w:hAnsi="Verdana"/>
                <w:b w:val="0"/>
                <w:bCs w:val="0"/>
                <w:sz w:val="18"/>
                <w:szCs w:val="18"/>
                <w:lang w:val="en-GB"/>
              </w:rPr>
              <w:t xml:space="preserve"> Likewise, the withdrawal of the authorisation of the compartment of a regulated umbrella does not give rise to the withdrawal of the relevant umbrella from the relevant list.</w:t>
            </w:r>
            <w:r w:rsidR="003407A5" w:rsidRPr="00307D85">
              <w:rPr>
                <w:rStyle w:val="FootnoteReference"/>
                <w:rFonts w:ascii="Verdana" w:hAnsi="Verdana"/>
                <w:b w:val="0"/>
                <w:bCs w:val="0"/>
                <w:color w:val="000000"/>
                <w:sz w:val="18"/>
                <w:szCs w:val="18"/>
                <w:lang w:val="en-GB"/>
              </w:rPr>
              <w:footnoteReference w:id="11"/>
            </w:r>
          </w:p>
        </w:tc>
      </w:tr>
      <w:tr w:rsidR="00246B82" w:rsidRPr="00307D85" w14:paraId="3DDC9A80" w14:textId="77777777" w:rsidTr="00A405B6">
        <w:tc>
          <w:tcPr>
            <w:tcW w:w="9714" w:type="dxa"/>
          </w:tcPr>
          <w:p w14:paraId="647028DD" w14:textId="1FD801A9" w:rsidR="00246B82" w:rsidRPr="00307D85" w:rsidRDefault="00246B82" w:rsidP="00246B82">
            <w:pPr>
              <w:pStyle w:val="NormalWeb"/>
              <w:numPr>
                <w:ilvl w:val="0"/>
                <w:numId w:val="75"/>
              </w:numPr>
              <w:spacing w:before="0" w:beforeAutospacing="0" w:after="120" w:afterAutospacing="0"/>
              <w:ind w:left="661" w:hanging="661"/>
              <w:jc w:val="both"/>
              <w:rPr>
                <w:rFonts w:ascii="Verdana" w:hAnsi="Verdana"/>
                <w:sz w:val="18"/>
                <w:szCs w:val="18"/>
                <w:lang w:val="en-GB"/>
              </w:rPr>
            </w:pPr>
            <w:r w:rsidRPr="00307D85">
              <w:rPr>
                <w:rFonts w:ascii="Verdana" w:hAnsi="Verdana"/>
                <w:b w:val="0"/>
                <w:bCs w:val="0"/>
                <w:sz w:val="18"/>
                <w:szCs w:val="18"/>
                <w:lang w:val="en-GB"/>
              </w:rPr>
              <w:t>Third,</w:t>
            </w:r>
            <w:r w:rsidR="005B651E" w:rsidRPr="00307D85">
              <w:rPr>
                <w:rFonts w:ascii="Verdana" w:hAnsi="Verdana"/>
                <w:b w:val="0"/>
                <w:bCs w:val="0"/>
                <w:sz w:val="18"/>
                <w:szCs w:val="18"/>
                <w:lang w:val="en-GB"/>
              </w:rPr>
              <w:t xml:space="preserve"> and conversely,</w:t>
            </w:r>
            <w:r w:rsidRPr="00307D85">
              <w:rPr>
                <w:rFonts w:ascii="Verdana" w:hAnsi="Verdana"/>
                <w:b w:val="0"/>
                <w:bCs w:val="0"/>
                <w:sz w:val="18"/>
                <w:szCs w:val="18"/>
                <w:lang w:val="en-GB"/>
              </w:rPr>
              <w:t xml:space="preserve"> the</w:t>
            </w:r>
            <w:r w:rsidR="005B651E" w:rsidRPr="00307D85">
              <w:rPr>
                <w:rFonts w:ascii="Verdana" w:hAnsi="Verdana"/>
                <w:b w:val="0"/>
                <w:bCs w:val="0"/>
                <w:sz w:val="18"/>
                <w:szCs w:val="18"/>
                <w:lang w:val="en-GB"/>
              </w:rPr>
              <w:t xml:space="preserve"> statutes</w:t>
            </w:r>
            <w:r w:rsidRPr="00307D85">
              <w:rPr>
                <w:rFonts w:ascii="Verdana" w:hAnsi="Verdana"/>
                <w:b w:val="0"/>
                <w:bCs w:val="0"/>
                <w:sz w:val="18"/>
                <w:szCs w:val="18"/>
                <w:lang w:val="en-GB"/>
              </w:rPr>
              <w:t xml:space="preserve"> introduce a</w:t>
            </w:r>
            <w:r w:rsidR="005B651E" w:rsidRPr="00307D85">
              <w:rPr>
                <w:rFonts w:ascii="Verdana" w:hAnsi="Verdana"/>
                <w:b w:val="0"/>
                <w:bCs w:val="0"/>
                <w:sz w:val="18"/>
                <w:szCs w:val="18"/>
                <w:lang w:val="en-GB"/>
              </w:rPr>
              <w:t xml:space="preserve"> so-called</w:t>
            </w:r>
            <w:r w:rsidRPr="00307D85">
              <w:rPr>
                <w:rFonts w:ascii="Verdana" w:hAnsi="Verdana"/>
                <w:b w:val="0"/>
                <w:bCs w:val="0"/>
                <w:sz w:val="18"/>
                <w:szCs w:val="18"/>
                <w:lang w:val="en-GB"/>
              </w:rPr>
              <w:t xml:space="preserve"> “last-compartment</w:t>
            </w:r>
            <w:r w:rsidR="005B651E" w:rsidRPr="00307D85">
              <w:rPr>
                <w:rFonts w:ascii="Verdana" w:hAnsi="Verdana"/>
                <w:b w:val="0"/>
                <w:bCs w:val="0"/>
                <w:sz w:val="18"/>
                <w:szCs w:val="18"/>
                <w:lang w:val="en-GB"/>
              </w:rPr>
              <w:t xml:space="preserve"> rule</w:t>
            </w:r>
            <w:r w:rsidRPr="00307D85">
              <w:rPr>
                <w:rFonts w:ascii="Verdana" w:hAnsi="Verdana"/>
                <w:b w:val="0"/>
                <w:bCs w:val="0"/>
                <w:sz w:val="18"/>
                <w:szCs w:val="18"/>
                <w:lang w:val="en-GB"/>
              </w:rPr>
              <w:t xml:space="preserve">”, pursuant to which only the liquidation of the final remaining compartment </w:t>
            </w:r>
            <w:r w:rsidR="005B651E" w:rsidRPr="00307D85">
              <w:rPr>
                <w:rFonts w:ascii="Verdana" w:hAnsi="Verdana"/>
                <w:b w:val="0"/>
                <w:bCs w:val="0"/>
                <w:sz w:val="18"/>
                <w:szCs w:val="18"/>
                <w:lang w:val="en-GB"/>
              </w:rPr>
              <w:t>necessarily entails</w:t>
            </w:r>
            <w:r w:rsidRPr="00307D85">
              <w:rPr>
                <w:rFonts w:ascii="Verdana" w:hAnsi="Verdana"/>
                <w:b w:val="0"/>
                <w:bCs w:val="0"/>
                <w:sz w:val="18"/>
                <w:szCs w:val="18"/>
                <w:lang w:val="en-GB"/>
              </w:rPr>
              <w:t xml:space="preserve"> the liquidation of the umbrella fund </w:t>
            </w:r>
            <w:r w:rsidR="005B651E" w:rsidRPr="00307D85">
              <w:rPr>
                <w:rFonts w:ascii="Verdana" w:hAnsi="Verdana"/>
                <w:b w:val="0"/>
                <w:bCs w:val="0"/>
                <w:sz w:val="18"/>
                <w:szCs w:val="18"/>
                <w:lang w:val="en-GB"/>
              </w:rPr>
              <w:t>as such</w:t>
            </w:r>
            <w:r w:rsidRPr="00307D85">
              <w:rPr>
                <w:rFonts w:ascii="Verdana" w:hAnsi="Verdana"/>
                <w:b w:val="0"/>
                <w:bCs w:val="0"/>
                <w:sz w:val="18"/>
                <w:szCs w:val="18"/>
                <w:lang w:val="en-GB"/>
              </w:rPr>
              <w:t>.</w:t>
            </w:r>
            <w:r w:rsidRPr="00307D85">
              <w:rPr>
                <w:rStyle w:val="FootnoteReference"/>
                <w:rFonts w:ascii="Verdana" w:hAnsi="Verdana"/>
                <w:b w:val="0"/>
                <w:bCs w:val="0"/>
                <w:color w:val="000000"/>
                <w:sz w:val="18"/>
                <w:szCs w:val="18"/>
                <w:lang w:val="en-GB"/>
              </w:rPr>
              <w:footnoteReference w:id="12"/>
            </w:r>
            <w:r w:rsidRPr="00307D85">
              <w:rPr>
                <w:rFonts w:ascii="Verdana" w:hAnsi="Verdana"/>
                <w:b w:val="0"/>
                <w:bCs w:val="0"/>
                <w:sz w:val="18"/>
                <w:szCs w:val="18"/>
                <w:lang w:val="en-GB"/>
              </w:rPr>
              <w:t xml:space="preserve"> For SICAVs </w:t>
            </w:r>
            <w:r w:rsidR="001F7250" w:rsidRPr="00307D85">
              <w:rPr>
                <w:rFonts w:ascii="Verdana" w:hAnsi="Verdana"/>
                <w:b w:val="0"/>
                <w:bCs w:val="0"/>
                <w:sz w:val="18"/>
                <w:szCs w:val="18"/>
                <w:lang w:val="en-GB"/>
              </w:rPr>
              <w:t>(</w:t>
            </w:r>
            <w:r w:rsidRPr="00307D85">
              <w:rPr>
                <w:rFonts w:ascii="Verdana" w:hAnsi="Verdana"/>
                <w:b w:val="0"/>
                <w:bCs w:val="0"/>
                <w:sz w:val="18"/>
                <w:szCs w:val="18"/>
                <w:lang w:val="en-GB"/>
              </w:rPr>
              <w:t>and SICAFs</w:t>
            </w:r>
            <w:r w:rsidR="001F7250" w:rsidRPr="00307D85">
              <w:rPr>
                <w:rFonts w:ascii="Verdana" w:hAnsi="Verdana"/>
                <w:b w:val="0"/>
                <w:bCs w:val="0"/>
                <w:sz w:val="18"/>
                <w:szCs w:val="18"/>
                <w:lang w:val="en-GB"/>
              </w:rPr>
              <w:t>,</w:t>
            </w:r>
            <w:r w:rsidRPr="00307D85">
              <w:rPr>
                <w:rFonts w:ascii="Verdana" w:hAnsi="Verdana"/>
                <w:b w:val="0"/>
                <w:bCs w:val="0"/>
                <w:sz w:val="18"/>
                <w:szCs w:val="18"/>
                <w:lang w:val="en-GB"/>
              </w:rPr>
              <w:t xml:space="preserve"> to the exclusion of FCPs), the same provision</w:t>
            </w:r>
            <w:r w:rsidR="005B651E" w:rsidRPr="00307D85">
              <w:rPr>
                <w:rFonts w:ascii="Verdana" w:hAnsi="Verdana"/>
                <w:b w:val="0"/>
                <w:bCs w:val="0"/>
                <w:sz w:val="18"/>
                <w:szCs w:val="18"/>
                <w:lang w:val="en-GB"/>
              </w:rPr>
              <w:t>s</w:t>
            </w:r>
            <w:r w:rsidRPr="00307D85">
              <w:rPr>
                <w:rFonts w:ascii="Verdana" w:hAnsi="Verdana"/>
                <w:b w:val="0"/>
                <w:bCs w:val="0"/>
                <w:sz w:val="18"/>
                <w:szCs w:val="18"/>
                <w:lang w:val="en-GB"/>
              </w:rPr>
              <w:t xml:space="preserve"> </w:t>
            </w:r>
            <w:r w:rsidR="005B651E" w:rsidRPr="00307D85">
              <w:rPr>
                <w:rFonts w:ascii="Verdana" w:hAnsi="Verdana"/>
                <w:b w:val="0"/>
                <w:bCs w:val="0"/>
                <w:sz w:val="18"/>
                <w:szCs w:val="18"/>
                <w:lang w:val="en-GB"/>
              </w:rPr>
              <w:t>typically further specify</w:t>
            </w:r>
            <w:r w:rsidRPr="00307D85">
              <w:rPr>
                <w:rFonts w:ascii="Verdana" w:hAnsi="Verdana"/>
                <w:b w:val="0"/>
                <w:bCs w:val="0"/>
                <w:sz w:val="18"/>
                <w:szCs w:val="18"/>
                <w:lang w:val="en-GB"/>
              </w:rPr>
              <w:t xml:space="preserve"> that, </w:t>
            </w:r>
            <w:r w:rsidR="005B651E" w:rsidRPr="00307D85">
              <w:rPr>
                <w:rFonts w:ascii="Verdana" w:hAnsi="Verdana"/>
                <w:b w:val="0"/>
                <w:bCs w:val="0"/>
                <w:sz w:val="18"/>
                <w:szCs w:val="18"/>
                <w:lang w:val="en-GB"/>
              </w:rPr>
              <w:t xml:space="preserve">as </w:t>
            </w:r>
            <w:r w:rsidRPr="00307D85">
              <w:rPr>
                <w:rFonts w:ascii="Verdana" w:hAnsi="Verdana"/>
                <w:b w:val="0"/>
                <w:bCs w:val="0"/>
                <w:sz w:val="18"/>
                <w:szCs w:val="18"/>
                <w:lang w:val="en-GB"/>
              </w:rPr>
              <w:t xml:space="preserve">from the occurrence of the event giving rise to such liquidation, the issue of shares or partnership interests is prohibited, save for issues </w:t>
            </w:r>
            <w:r w:rsidR="005B651E" w:rsidRPr="00307D85">
              <w:rPr>
                <w:rFonts w:ascii="Verdana" w:hAnsi="Verdana"/>
                <w:b w:val="0"/>
                <w:bCs w:val="0"/>
                <w:sz w:val="18"/>
                <w:szCs w:val="18"/>
                <w:lang w:val="en-GB"/>
              </w:rPr>
              <w:t>carried out exclusively</w:t>
            </w:r>
            <w:r w:rsidRPr="00307D85">
              <w:rPr>
                <w:rFonts w:ascii="Verdana" w:hAnsi="Verdana"/>
                <w:b w:val="0"/>
                <w:bCs w:val="0"/>
                <w:sz w:val="18"/>
                <w:szCs w:val="18"/>
                <w:lang w:val="en-GB"/>
              </w:rPr>
              <w:t xml:space="preserve"> for the purposes of the liquidation.</w:t>
            </w:r>
            <w:r w:rsidRPr="00307D85">
              <w:rPr>
                <w:rStyle w:val="FootnoteReference"/>
                <w:rFonts w:ascii="Verdana" w:hAnsi="Verdana"/>
                <w:b w:val="0"/>
                <w:bCs w:val="0"/>
                <w:color w:val="000000"/>
                <w:sz w:val="18"/>
                <w:szCs w:val="18"/>
                <w:lang w:val="en-GB"/>
              </w:rPr>
              <w:footnoteReference w:id="13"/>
            </w:r>
          </w:p>
        </w:tc>
      </w:tr>
      <w:tr w:rsidR="00246B82" w:rsidRPr="00307D85" w14:paraId="0B3E5F84" w14:textId="77777777" w:rsidTr="00A405B6">
        <w:tc>
          <w:tcPr>
            <w:tcW w:w="9714" w:type="dxa"/>
          </w:tcPr>
          <w:p w14:paraId="531FEFC6" w14:textId="077A2764" w:rsidR="00246B82" w:rsidRPr="00307D85" w:rsidRDefault="00E963F4" w:rsidP="002536BE">
            <w:pPr>
              <w:pStyle w:val="NormalWeb"/>
              <w:numPr>
                <w:ilvl w:val="0"/>
                <w:numId w:val="164"/>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 xml:space="preserve">Statutory </w:t>
            </w:r>
            <w:r w:rsidR="00001B50" w:rsidRPr="00307D85">
              <w:rPr>
                <w:rFonts w:ascii="Verdana" w:hAnsi="Verdana"/>
                <w:b w:val="0"/>
                <w:bCs w:val="0"/>
                <w:color w:val="002060"/>
                <w:sz w:val="18"/>
                <w:szCs w:val="18"/>
                <w:lang w:val="en-GB"/>
              </w:rPr>
              <w:t>Derogation from</w:t>
            </w:r>
            <w:r w:rsidR="00246B82" w:rsidRPr="00307D85">
              <w:rPr>
                <w:rFonts w:ascii="Verdana" w:hAnsi="Verdana"/>
                <w:b w:val="0"/>
                <w:bCs w:val="0"/>
                <w:color w:val="002060"/>
                <w:sz w:val="18"/>
                <w:szCs w:val="18"/>
                <w:lang w:val="en-GB"/>
              </w:rPr>
              <w:t xml:space="preserve"> the Company Act 1915</w:t>
            </w:r>
          </w:p>
        </w:tc>
      </w:tr>
      <w:tr w:rsidR="00246B82" w:rsidRPr="00307D85" w14:paraId="555C6778" w14:textId="77777777" w:rsidTr="00A405B6">
        <w:tc>
          <w:tcPr>
            <w:tcW w:w="9714" w:type="dxa"/>
          </w:tcPr>
          <w:p w14:paraId="09CE95FB" w14:textId="43F9BB7B" w:rsidR="00246B82" w:rsidRPr="00307D85" w:rsidRDefault="00246B82" w:rsidP="00001B50">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Pursuant to the Product </w:t>
            </w:r>
            <w:r w:rsidR="002536BE" w:rsidRPr="00307D85">
              <w:rPr>
                <w:rFonts w:ascii="Verdana" w:hAnsi="Verdana"/>
                <w:b w:val="0"/>
                <w:bCs w:val="0"/>
                <w:sz w:val="18"/>
                <w:szCs w:val="18"/>
                <w:lang w:val="en-GB"/>
              </w:rPr>
              <w:t xml:space="preserve">Fund </w:t>
            </w:r>
            <w:r w:rsidRPr="00307D85">
              <w:rPr>
                <w:rFonts w:ascii="Verdana" w:hAnsi="Verdana"/>
                <w:b w:val="0"/>
                <w:bCs w:val="0"/>
                <w:sz w:val="18"/>
                <w:szCs w:val="18"/>
                <w:lang w:val="en-GB"/>
              </w:rPr>
              <w:t>Laws, the liquidation of the last remaining compartment of an umbrella SICAV automatically triggers the liquidation of the SICAV itself,</w:t>
            </w:r>
            <w:r w:rsidRPr="00307D85">
              <w:rPr>
                <w:rStyle w:val="FootnoteReference"/>
                <w:rFonts w:ascii="Verdana" w:hAnsi="Verdana"/>
                <w:b w:val="0"/>
                <w:bCs w:val="0"/>
                <w:color w:val="000000"/>
                <w:sz w:val="18"/>
                <w:szCs w:val="18"/>
                <w:lang w:val="en-GB"/>
              </w:rPr>
              <w:footnoteReference w:id="14"/>
            </w:r>
            <w:r w:rsidRPr="00307D85">
              <w:rPr>
                <w:rFonts w:ascii="Verdana" w:hAnsi="Verdana"/>
                <w:b w:val="0"/>
                <w:bCs w:val="0"/>
                <w:sz w:val="18"/>
                <w:szCs w:val="18"/>
                <w:lang w:val="en-GB"/>
              </w:rPr>
              <w:t xml:space="preserve"> without any need for additional corporate </w:t>
            </w:r>
            <w:r w:rsidR="001831CB" w:rsidRPr="00307D85">
              <w:rPr>
                <w:rFonts w:ascii="Verdana" w:hAnsi="Verdana"/>
                <w:b w:val="0"/>
                <w:bCs w:val="0"/>
                <w:sz w:val="18"/>
                <w:szCs w:val="18"/>
                <w:lang w:val="en-GB"/>
              </w:rPr>
              <w:t xml:space="preserve">action </w:t>
            </w:r>
            <w:r w:rsidRPr="00307D85">
              <w:rPr>
                <w:rFonts w:ascii="Verdana" w:hAnsi="Verdana"/>
                <w:b w:val="0"/>
                <w:bCs w:val="0"/>
                <w:sz w:val="18"/>
                <w:szCs w:val="18"/>
                <w:lang w:val="en-GB"/>
              </w:rPr>
              <w:t xml:space="preserve">or </w:t>
            </w:r>
            <w:r w:rsidR="001831CB" w:rsidRPr="00307D85">
              <w:rPr>
                <w:rFonts w:ascii="Verdana" w:hAnsi="Verdana"/>
                <w:b w:val="0"/>
                <w:bCs w:val="0"/>
                <w:sz w:val="18"/>
                <w:szCs w:val="18"/>
                <w:lang w:val="en-GB"/>
              </w:rPr>
              <w:t>judicial intervention</w:t>
            </w:r>
            <w:r w:rsidR="00001B50" w:rsidRPr="00307D85">
              <w:rPr>
                <w:rFonts w:ascii="Verdana" w:hAnsi="Verdana"/>
                <w:b w:val="0"/>
                <w:bCs w:val="0"/>
                <w:sz w:val="18"/>
                <w:szCs w:val="18"/>
                <w:lang w:val="en-GB"/>
              </w:rPr>
              <w:t>. While subsequent measures may still be necessary in practice to organise the liquidation process – particularly where the constitutive documents or the private placement memorandum do not designate a specific liquidator – the occurrence of the liquidation event as such produces its dissolutive effect by operation of law.</w:t>
            </w:r>
          </w:p>
        </w:tc>
      </w:tr>
      <w:tr w:rsidR="00001B50" w:rsidRPr="00307D85" w14:paraId="1B51EF2A" w14:textId="77777777" w:rsidTr="00A405B6">
        <w:tc>
          <w:tcPr>
            <w:tcW w:w="9714" w:type="dxa"/>
          </w:tcPr>
          <w:p w14:paraId="49674F17" w14:textId="5E9A46CE" w:rsidR="00001B50" w:rsidRPr="00307D85" w:rsidRDefault="00001B50" w:rsidP="00001B50">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This mechanism constitutes a clear derogation from the general regime of the Company Act 1915. It is grounded in the specific SICAV chapter of each Product Fund Law,</w:t>
            </w:r>
            <w:r w:rsidRPr="00307D85">
              <w:rPr>
                <w:rStyle w:val="FootnoteReference"/>
                <w:rFonts w:ascii="Verdana" w:hAnsi="Verdana"/>
                <w:b w:val="0"/>
                <w:bCs w:val="0"/>
                <w:color w:val="000000"/>
                <w:sz w:val="18"/>
                <w:szCs w:val="18"/>
                <w:lang w:val="en-GB"/>
              </w:rPr>
              <w:footnoteReference w:id="15"/>
            </w:r>
            <w:r w:rsidRPr="00307D85">
              <w:rPr>
                <w:rFonts w:ascii="Verdana" w:hAnsi="Verdana"/>
                <w:b w:val="0"/>
                <w:bCs w:val="0"/>
                <w:sz w:val="18"/>
                <w:szCs w:val="18"/>
                <w:lang w:val="en-GB"/>
              </w:rPr>
              <w:t xml:space="preserve"> which subjects a SICAV to the ordinary provisions applicable to commercial companies, insofar as the relevant Product Fund Law does not derogate therefrom.</w:t>
            </w:r>
            <w:r w:rsidRPr="00307D85">
              <w:rPr>
                <w:rStyle w:val="FootnoteReference"/>
                <w:rFonts w:ascii="Verdana" w:hAnsi="Verdana"/>
                <w:b w:val="0"/>
                <w:bCs w:val="0"/>
                <w:color w:val="000000"/>
                <w:sz w:val="18"/>
                <w:szCs w:val="18"/>
                <w:lang w:val="en-GB"/>
              </w:rPr>
              <w:footnoteReference w:id="16"/>
            </w:r>
          </w:p>
        </w:tc>
      </w:tr>
      <w:tr w:rsidR="00E30A13" w:rsidRPr="00307D85" w14:paraId="43CF859D" w14:textId="77777777" w:rsidTr="00A405B6">
        <w:tc>
          <w:tcPr>
            <w:tcW w:w="9714" w:type="dxa"/>
          </w:tcPr>
          <w:p w14:paraId="1F6A15B5" w14:textId="470CE5BF" w:rsidR="00E30A13" w:rsidRPr="00307D85" w:rsidRDefault="00001B50" w:rsidP="00001B50">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From a doctrinal perspective, the liquidation of the last remaining compartment is therefore best characterised as a distinct statutory cause of dissolution applicable to umbrella SICAVs governed </w:t>
            </w:r>
            <w:r w:rsidRPr="00307D85">
              <w:rPr>
                <w:rFonts w:ascii="Verdana" w:hAnsi="Verdana"/>
                <w:b w:val="0"/>
                <w:bCs w:val="0"/>
                <w:sz w:val="18"/>
                <w:szCs w:val="18"/>
                <w:lang w:val="en-GB"/>
              </w:rPr>
              <w:lastRenderedPageBreak/>
              <w:t>by the Product Fund Laws, operating independently of – and in addition to – the causes of dissolution provided for under the Civil Code.</w:t>
            </w:r>
          </w:p>
        </w:tc>
      </w:tr>
      <w:tr w:rsidR="00E30A13" w:rsidRPr="00307D85" w14:paraId="25B13D9D" w14:textId="77777777" w:rsidTr="00A405B6">
        <w:tc>
          <w:tcPr>
            <w:tcW w:w="9714" w:type="dxa"/>
          </w:tcPr>
          <w:p w14:paraId="57F679F3" w14:textId="21531885" w:rsidR="00E30A13" w:rsidRPr="00307D85" w:rsidRDefault="00E30A13" w:rsidP="00246B82">
            <w:pPr>
              <w:pStyle w:val="NormalWeb"/>
              <w:numPr>
                <w:ilvl w:val="0"/>
                <w:numId w:val="75"/>
              </w:numPr>
              <w:spacing w:before="0" w:beforeAutospacing="0" w:after="120" w:afterAutospacing="0"/>
              <w:ind w:left="661" w:hanging="661"/>
              <w:jc w:val="both"/>
              <w:rPr>
                <w:rFonts w:ascii="Verdana" w:hAnsi="Verdana"/>
                <w:sz w:val="18"/>
                <w:szCs w:val="18"/>
                <w:lang w:val="en-GB"/>
              </w:rPr>
            </w:pPr>
            <w:r w:rsidRPr="00307D85">
              <w:rPr>
                <w:rFonts w:ascii="Verdana" w:hAnsi="Verdana"/>
                <w:b w:val="0"/>
                <w:bCs w:val="0"/>
                <w:sz w:val="18"/>
                <w:szCs w:val="18"/>
                <w:lang w:val="en-GB"/>
              </w:rPr>
              <w:lastRenderedPageBreak/>
              <w:t xml:space="preserve">In practice, this </w:t>
            </w:r>
            <w:r w:rsidRPr="00307D85">
              <w:rPr>
                <w:rFonts w:ascii="Verdana" w:hAnsi="Verdana"/>
                <w:b w:val="0"/>
                <w:bCs w:val="0"/>
                <w:i/>
                <w:iCs/>
                <w:sz w:val="18"/>
                <w:szCs w:val="18"/>
                <w:lang w:val="en-GB"/>
              </w:rPr>
              <w:t>ipso jure</w:t>
            </w:r>
            <w:r w:rsidRPr="00307D85">
              <w:rPr>
                <w:rFonts w:ascii="Verdana" w:hAnsi="Verdana"/>
                <w:b w:val="0"/>
                <w:bCs w:val="0"/>
                <w:sz w:val="18"/>
                <w:szCs w:val="18"/>
                <w:lang w:val="en-GB"/>
              </w:rPr>
              <w:t xml:space="preserve"> dissolution mechanism has been </w:t>
            </w:r>
            <w:r w:rsidR="00001B50" w:rsidRPr="00307D85">
              <w:rPr>
                <w:rFonts w:ascii="Verdana" w:hAnsi="Verdana"/>
                <w:b w:val="0"/>
                <w:bCs w:val="0"/>
                <w:sz w:val="18"/>
                <w:szCs w:val="18"/>
                <w:lang w:val="en-GB"/>
              </w:rPr>
              <w:t xml:space="preserve">consistently </w:t>
            </w:r>
            <w:r w:rsidRPr="00307D85">
              <w:rPr>
                <w:rFonts w:ascii="Verdana" w:hAnsi="Verdana"/>
                <w:b w:val="0"/>
                <w:bCs w:val="0"/>
                <w:sz w:val="18"/>
                <w:szCs w:val="18"/>
                <w:lang w:val="en-GB"/>
              </w:rPr>
              <w:t xml:space="preserve">recognised and applied by </w:t>
            </w:r>
            <w:r w:rsidR="00001B50" w:rsidRPr="00307D85">
              <w:rPr>
                <w:rFonts w:ascii="Verdana" w:hAnsi="Verdana"/>
                <w:b w:val="0"/>
                <w:bCs w:val="0"/>
                <w:sz w:val="18"/>
                <w:szCs w:val="18"/>
                <w:lang w:val="en-GB"/>
              </w:rPr>
              <w:t xml:space="preserve">a number of </w:t>
            </w:r>
            <w:r w:rsidRPr="00307D85">
              <w:rPr>
                <w:rFonts w:ascii="Verdana" w:hAnsi="Verdana"/>
                <w:b w:val="0"/>
                <w:bCs w:val="0"/>
                <w:sz w:val="18"/>
                <w:szCs w:val="18"/>
                <w:lang w:val="en-GB"/>
              </w:rPr>
              <w:t xml:space="preserve">Luxembourg notaries, who will record the dissolution of the umbrella SICAV upon evidence that its final compartment has been liquidated, without requiring </w:t>
            </w:r>
            <w:r w:rsidR="00001B50" w:rsidRPr="00307D85">
              <w:rPr>
                <w:rFonts w:ascii="Verdana" w:hAnsi="Verdana"/>
                <w:b w:val="0"/>
                <w:bCs w:val="0"/>
                <w:sz w:val="18"/>
                <w:szCs w:val="18"/>
                <w:lang w:val="en-GB"/>
              </w:rPr>
              <w:t xml:space="preserve">the adoption of </w:t>
            </w:r>
            <w:r w:rsidRPr="00307D85">
              <w:rPr>
                <w:rFonts w:ascii="Verdana" w:hAnsi="Verdana"/>
                <w:b w:val="0"/>
                <w:bCs w:val="0"/>
                <w:sz w:val="18"/>
                <w:szCs w:val="18"/>
                <w:lang w:val="en-GB"/>
              </w:rPr>
              <w:t>further corporate resolutions.</w:t>
            </w:r>
          </w:p>
        </w:tc>
      </w:tr>
      <w:tr w:rsidR="00BA1499" w:rsidRPr="00307D85" w14:paraId="5FFA04C8" w14:textId="77777777" w:rsidTr="00A405B6">
        <w:tc>
          <w:tcPr>
            <w:tcW w:w="9714" w:type="dxa"/>
          </w:tcPr>
          <w:p w14:paraId="0BA54FFB" w14:textId="1F455133"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The coherence of the rule lies in the specific patrimonial configuration of the umbrella SICAV itself. While compartmentalisation implies that each compartment constitutes a distinct, ring-fenced pool of assets and liabilities, the umbrella SICAV, as such, does not hold any assets independently of its compartments. Its net asset value is, by construction, the aggregate computation of the net asset values of all existing compartments, and not the expression of a residual or autonomous patrimony at umbrella level.</w:t>
            </w:r>
          </w:p>
        </w:tc>
      </w:tr>
      <w:tr w:rsidR="00BA1499" w:rsidRPr="00307D85" w14:paraId="4F2A155C" w14:textId="77777777" w:rsidTr="00A405B6">
        <w:tc>
          <w:tcPr>
            <w:tcW w:w="9714" w:type="dxa"/>
          </w:tcPr>
          <w:p w14:paraId="25D3F350" w14:textId="2FB579FA"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As a result, the continued legal existence of the umbrella SICAV necessarily presupposes that at least one compartment remains in existence. As long as one or more compartments subsist, their individual liquidation does not affect the legal continuity of the umbrella. Conversely, once the final compartment has been liquidated, no assets or liabilities remain that could sustain the existence of the umbrella SICAV, which is therefore deemed to be dissolved </w:t>
            </w:r>
            <w:r w:rsidRPr="00307D85">
              <w:rPr>
                <w:rFonts w:ascii="Verdana" w:hAnsi="Verdana"/>
                <w:b w:val="0"/>
                <w:bCs w:val="0"/>
                <w:i/>
                <w:iCs/>
                <w:sz w:val="18"/>
                <w:szCs w:val="18"/>
                <w:lang w:val="en-GB"/>
              </w:rPr>
              <w:t xml:space="preserve">ipso jure </w:t>
            </w:r>
            <w:r w:rsidRPr="00307D85">
              <w:rPr>
                <w:rFonts w:ascii="Verdana" w:hAnsi="Verdana"/>
                <w:b w:val="0"/>
                <w:bCs w:val="0"/>
                <w:sz w:val="18"/>
                <w:szCs w:val="18"/>
                <w:lang w:val="en-GB"/>
              </w:rPr>
              <w:t>by operation of the Product Fund Laws.</w:t>
            </w:r>
          </w:p>
        </w:tc>
      </w:tr>
      <w:tr w:rsidR="00BA1499" w:rsidRPr="00307D85" w14:paraId="4CF76AB5" w14:textId="77777777" w:rsidTr="00A405B6">
        <w:tc>
          <w:tcPr>
            <w:tcW w:w="9714" w:type="dxa"/>
          </w:tcPr>
          <w:p w14:paraId="1C824756" w14:textId="361A926D" w:rsidR="00BA1499" w:rsidRPr="00307D85" w:rsidRDefault="00E963F4" w:rsidP="00BA1499">
            <w:pPr>
              <w:pStyle w:val="NormalWeb"/>
              <w:numPr>
                <w:ilvl w:val="0"/>
                <w:numId w:val="164"/>
              </w:numPr>
              <w:spacing w:before="0" w:beforeAutospacing="0" w:after="120" w:afterAutospacing="0"/>
              <w:jc w:val="both"/>
              <w:rPr>
                <w:rFonts w:ascii="Verdana" w:hAnsi="Verdana"/>
                <w:b w:val="0"/>
                <w:bCs w:val="0"/>
                <w:color w:val="002060"/>
                <w:sz w:val="18"/>
                <w:szCs w:val="18"/>
                <w:lang w:val="en-GB"/>
              </w:rPr>
            </w:pPr>
            <w:r>
              <w:rPr>
                <w:rFonts w:ascii="Verdana" w:hAnsi="Verdana"/>
                <w:b w:val="0"/>
                <w:bCs w:val="0"/>
                <w:color w:val="002060"/>
                <w:sz w:val="18"/>
                <w:szCs w:val="18"/>
                <w:lang w:val="en-GB"/>
              </w:rPr>
              <w:t>Interpreting</w:t>
            </w:r>
            <w:r w:rsidR="00BE5D38" w:rsidRPr="00307D85">
              <w:rPr>
                <w:rFonts w:ascii="Verdana" w:hAnsi="Verdana"/>
                <w:b w:val="0"/>
                <w:bCs w:val="0"/>
                <w:color w:val="002060"/>
                <w:sz w:val="18"/>
                <w:szCs w:val="18"/>
                <w:lang w:val="en-GB"/>
              </w:rPr>
              <w:t xml:space="preserve"> </w:t>
            </w:r>
            <w:r>
              <w:rPr>
                <w:rFonts w:ascii="Verdana" w:hAnsi="Verdana"/>
                <w:b w:val="0"/>
                <w:bCs w:val="0"/>
                <w:color w:val="002060"/>
                <w:sz w:val="18"/>
                <w:szCs w:val="18"/>
                <w:lang w:val="en-GB"/>
              </w:rPr>
              <w:t>“</w:t>
            </w:r>
            <w:r w:rsidR="00BE5D38" w:rsidRPr="00307D85">
              <w:rPr>
                <w:rFonts w:ascii="Verdana" w:hAnsi="Verdana"/>
                <w:b w:val="0"/>
                <w:bCs w:val="0"/>
                <w:color w:val="002060"/>
                <w:sz w:val="18"/>
                <w:szCs w:val="18"/>
                <w:lang w:val="en-GB"/>
              </w:rPr>
              <w:t>L</w:t>
            </w:r>
            <w:r w:rsidR="00BA1499" w:rsidRPr="00307D85">
              <w:rPr>
                <w:rFonts w:ascii="Verdana" w:hAnsi="Verdana"/>
                <w:b w:val="0"/>
                <w:bCs w:val="0"/>
                <w:color w:val="002060"/>
                <w:sz w:val="18"/>
                <w:szCs w:val="18"/>
                <w:lang w:val="en-GB"/>
              </w:rPr>
              <w:t xml:space="preserve">iquidation of the </w:t>
            </w:r>
            <w:r w:rsidR="00BE5D38" w:rsidRPr="00307D85">
              <w:rPr>
                <w:rFonts w:ascii="Verdana" w:hAnsi="Verdana"/>
                <w:b w:val="0"/>
                <w:bCs w:val="0"/>
                <w:color w:val="002060"/>
                <w:sz w:val="18"/>
                <w:szCs w:val="18"/>
                <w:lang w:val="en-GB"/>
              </w:rPr>
              <w:t>L</w:t>
            </w:r>
            <w:r w:rsidR="00BA1499" w:rsidRPr="00307D85">
              <w:rPr>
                <w:rFonts w:ascii="Verdana" w:hAnsi="Verdana"/>
                <w:b w:val="0"/>
                <w:bCs w:val="0"/>
                <w:color w:val="002060"/>
                <w:sz w:val="18"/>
                <w:szCs w:val="18"/>
                <w:lang w:val="en-GB"/>
              </w:rPr>
              <w:t xml:space="preserve">ast </w:t>
            </w:r>
            <w:r w:rsidR="00BE5D38" w:rsidRPr="00307D85">
              <w:rPr>
                <w:rFonts w:ascii="Verdana" w:hAnsi="Verdana"/>
                <w:b w:val="0"/>
                <w:bCs w:val="0"/>
                <w:color w:val="002060"/>
                <w:sz w:val="18"/>
                <w:szCs w:val="18"/>
                <w:lang w:val="en-GB"/>
              </w:rPr>
              <w:t>R</w:t>
            </w:r>
            <w:r w:rsidR="00BA1499" w:rsidRPr="00307D85">
              <w:rPr>
                <w:rFonts w:ascii="Verdana" w:hAnsi="Verdana"/>
                <w:b w:val="0"/>
                <w:bCs w:val="0"/>
                <w:color w:val="002060"/>
                <w:sz w:val="18"/>
                <w:szCs w:val="18"/>
                <w:lang w:val="en-GB"/>
              </w:rPr>
              <w:t xml:space="preserve">emaining </w:t>
            </w:r>
            <w:r w:rsidR="00BE5D38" w:rsidRPr="00307D85">
              <w:rPr>
                <w:rFonts w:ascii="Verdana" w:hAnsi="Verdana"/>
                <w:b w:val="0"/>
                <w:bCs w:val="0"/>
                <w:color w:val="002060"/>
                <w:sz w:val="18"/>
                <w:szCs w:val="18"/>
                <w:lang w:val="en-GB"/>
              </w:rPr>
              <w:t>C</w:t>
            </w:r>
            <w:r w:rsidR="00BA1499" w:rsidRPr="00307D85">
              <w:rPr>
                <w:rFonts w:ascii="Verdana" w:hAnsi="Verdana"/>
                <w:b w:val="0"/>
                <w:bCs w:val="0"/>
                <w:color w:val="002060"/>
                <w:sz w:val="18"/>
                <w:szCs w:val="18"/>
                <w:lang w:val="en-GB"/>
              </w:rPr>
              <w:t>ompartment</w:t>
            </w:r>
            <w:r>
              <w:rPr>
                <w:rFonts w:ascii="Verdana" w:hAnsi="Verdana"/>
                <w:b w:val="0"/>
                <w:bCs w:val="0"/>
                <w:color w:val="002060"/>
                <w:sz w:val="18"/>
                <w:szCs w:val="18"/>
                <w:lang w:val="en-GB"/>
              </w:rPr>
              <w:t>”</w:t>
            </w:r>
            <w:r w:rsidR="00BE5D38" w:rsidRPr="00307D85">
              <w:rPr>
                <w:rFonts w:ascii="Verdana" w:hAnsi="Verdana"/>
                <w:b w:val="0"/>
                <w:bCs w:val="0"/>
                <w:color w:val="002060"/>
                <w:sz w:val="18"/>
                <w:szCs w:val="18"/>
                <w:lang w:val="en-GB"/>
              </w:rPr>
              <w:t xml:space="preserve"> Notion</w:t>
            </w:r>
          </w:p>
        </w:tc>
      </w:tr>
      <w:tr w:rsidR="00BA1499" w:rsidRPr="00307D85" w14:paraId="5D23E91F" w14:textId="77777777" w:rsidTr="00A405B6">
        <w:tc>
          <w:tcPr>
            <w:tcW w:w="9714" w:type="dxa"/>
          </w:tcPr>
          <w:p w14:paraId="6D011232" w14:textId="193BBF9A"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Despite the apparent simplicity of the trigger, several interpretative questions arise.</w:t>
            </w:r>
          </w:p>
        </w:tc>
      </w:tr>
      <w:tr w:rsidR="00BA1499" w:rsidRPr="00307D85" w14:paraId="307BDA06" w14:textId="77777777" w:rsidTr="00A405B6">
        <w:tc>
          <w:tcPr>
            <w:tcW w:w="9714" w:type="dxa"/>
          </w:tcPr>
          <w:p w14:paraId="20AD394C" w14:textId="5290D838" w:rsidR="00BA1499" w:rsidRPr="00307D85" w:rsidRDefault="00BA1499" w:rsidP="00BA1499">
            <w:pPr>
              <w:pStyle w:val="NormalWeb"/>
              <w:numPr>
                <w:ilvl w:val="0"/>
                <w:numId w:val="160"/>
              </w:numPr>
              <w:spacing w:before="0" w:beforeAutospacing="0" w:after="120" w:afterAutospacing="0"/>
              <w:ind w:left="1086"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 xml:space="preserve">Dissolution &amp; </w:t>
            </w:r>
            <w:r w:rsidR="00BE5D38" w:rsidRPr="00307D85">
              <w:rPr>
                <w:rFonts w:ascii="Verdana" w:hAnsi="Verdana"/>
                <w:b w:val="0"/>
                <w:bCs w:val="0"/>
                <w:i/>
                <w:iCs/>
                <w:color w:val="002060"/>
                <w:sz w:val="18"/>
                <w:szCs w:val="18"/>
                <w:lang w:val="en-GB"/>
              </w:rPr>
              <w:t>L</w:t>
            </w:r>
            <w:r w:rsidRPr="00307D85">
              <w:rPr>
                <w:rFonts w:ascii="Verdana" w:hAnsi="Verdana"/>
                <w:b w:val="0"/>
                <w:bCs w:val="0"/>
                <w:i/>
                <w:iCs/>
                <w:color w:val="002060"/>
                <w:sz w:val="18"/>
                <w:szCs w:val="18"/>
                <w:lang w:val="en-GB"/>
              </w:rPr>
              <w:t>iquidation</w:t>
            </w:r>
            <w:r w:rsidR="00E963F4">
              <w:rPr>
                <w:rFonts w:ascii="Verdana" w:hAnsi="Verdana"/>
                <w:b w:val="0"/>
                <w:bCs w:val="0"/>
                <w:i/>
                <w:iCs/>
                <w:color w:val="002060"/>
                <w:sz w:val="18"/>
                <w:szCs w:val="18"/>
                <w:lang w:val="en-GB"/>
              </w:rPr>
              <w:t>: Opening vs Closing</w:t>
            </w:r>
          </w:p>
        </w:tc>
      </w:tr>
      <w:tr w:rsidR="00BA1499" w:rsidRPr="00307D85" w14:paraId="1E46F7D0" w14:textId="77777777" w:rsidTr="00A405B6">
        <w:tc>
          <w:tcPr>
            <w:tcW w:w="9714" w:type="dxa"/>
          </w:tcPr>
          <w:p w14:paraId="1A67E19D" w14:textId="2BFA9D95"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Under Luxembourg law, “dissolution” is the legal act or event that brings an investment company’s (or compartment’s) going-concern existence to an end and opens its liquidation. As from the date of dissolution, (</w:t>
            </w:r>
            <w:proofErr w:type="spellStart"/>
            <w:r w:rsidRPr="00307D85">
              <w:rPr>
                <w:rFonts w:ascii="Verdana" w:hAnsi="Verdana"/>
                <w:b w:val="0"/>
                <w:bCs w:val="0"/>
                <w:sz w:val="18"/>
                <w:szCs w:val="18"/>
                <w:lang w:val="en-GB"/>
              </w:rPr>
              <w:t>i</w:t>
            </w:r>
            <w:proofErr w:type="spellEnd"/>
            <w:r w:rsidRPr="00307D85">
              <w:rPr>
                <w:rFonts w:ascii="Verdana" w:hAnsi="Verdana"/>
                <w:b w:val="0"/>
                <w:bCs w:val="0"/>
                <w:sz w:val="18"/>
                <w:szCs w:val="18"/>
                <w:lang w:val="en-GB"/>
              </w:rPr>
              <w:t>) the investment company (or compartment) is deemed to continue to exist solely for the purposes of its liquidation,</w:t>
            </w:r>
            <w:r w:rsidR="004A6DE8" w:rsidRPr="00307D85">
              <w:rPr>
                <w:rStyle w:val="FootnoteReference"/>
                <w:rFonts w:ascii="Verdana" w:hAnsi="Verdana"/>
                <w:b w:val="0"/>
                <w:bCs w:val="0"/>
                <w:color w:val="000000"/>
                <w:sz w:val="18"/>
                <w:szCs w:val="18"/>
                <w:lang w:val="en-GB"/>
              </w:rPr>
              <w:footnoteReference w:id="17"/>
            </w:r>
            <w:r w:rsidRPr="00307D85">
              <w:rPr>
                <w:rFonts w:ascii="Verdana" w:hAnsi="Verdana"/>
                <w:b w:val="0"/>
                <w:bCs w:val="0"/>
                <w:sz w:val="18"/>
                <w:szCs w:val="18"/>
                <w:lang w:val="en-GB"/>
              </w:rPr>
              <w:t xml:space="preserve"> (ii) the mandates of the members of the management body in relation to the same terminate,</w:t>
            </w:r>
            <w:r w:rsidR="004A6DE8" w:rsidRPr="00307D85">
              <w:rPr>
                <w:rStyle w:val="FootnoteReference"/>
                <w:rFonts w:ascii="Verdana" w:hAnsi="Verdana"/>
                <w:b w:val="0"/>
                <w:bCs w:val="0"/>
                <w:color w:val="000000"/>
                <w:sz w:val="18"/>
                <w:szCs w:val="18"/>
                <w:lang w:val="en-GB"/>
              </w:rPr>
              <w:footnoteReference w:id="18"/>
            </w:r>
            <w:r w:rsidRPr="00307D85">
              <w:rPr>
                <w:rFonts w:ascii="Verdana" w:hAnsi="Verdana"/>
                <w:b w:val="0"/>
                <w:bCs w:val="0"/>
                <w:sz w:val="18"/>
                <w:szCs w:val="18"/>
                <w:lang w:val="en-GB"/>
              </w:rPr>
              <w:t xml:space="preserve"> (iii) a liquidator </w:t>
            </w:r>
            <w:r w:rsidR="00ED3656" w:rsidRPr="00307D85">
              <w:rPr>
                <w:rFonts w:ascii="Verdana" w:hAnsi="Verdana"/>
                <w:b w:val="0"/>
                <w:bCs w:val="0"/>
                <w:sz w:val="18"/>
                <w:szCs w:val="18"/>
                <w:lang w:val="en-GB"/>
              </w:rPr>
              <w:t xml:space="preserve">(or, for regulated SICAVs, the supervisory commissioner in the interim and until the appointment of the liquidator) </w:t>
            </w:r>
            <w:r w:rsidRPr="00307D85">
              <w:rPr>
                <w:rFonts w:ascii="Verdana" w:hAnsi="Verdana"/>
                <w:b w:val="0"/>
                <w:bCs w:val="0"/>
                <w:sz w:val="18"/>
                <w:szCs w:val="18"/>
                <w:lang w:val="en-GB"/>
              </w:rPr>
              <w:t>assumes control,</w:t>
            </w:r>
            <w:r w:rsidR="004A6DE8" w:rsidRPr="00307D85">
              <w:rPr>
                <w:rStyle w:val="FootnoteReference"/>
                <w:rFonts w:ascii="Verdana" w:hAnsi="Verdana"/>
                <w:b w:val="0"/>
                <w:bCs w:val="0"/>
                <w:color w:val="000000"/>
                <w:sz w:val="18"/>
                <w:szCs w:val="18"/>
                <w:lang w:val="en-GB"/>
              </w:rPr>
              <w:footnoteReference w:id="19"/>
            </w:r>
            <w:r w:rsidRPr="00307D85">
              <w:rPr>
                <w:rFonts w:ascii="Verdana" w:hAnsi="Verdana"/>
                <w:b w:val="0"/>
                <w:bCs w:val="0"/>
                <w:sz w:val="18"/>
                <w:szCs w:val="18"/>
                <w:lang w:val="en-GB"/>
              </w:rPr>
              <w:t xml:space="preserve"> and (iv) all documents issued by the investment company (or relevant compartment thereof) must indicate that it is “in liquidation”.</w:t>
            </w:r>
            <w:r w:rsidR="004A6DE8" w:rsidRPr="00307D85">
              <w:rPr>
                <w:rStyle w:val="FootnoteReference"/>
                <w:rFonts w:ascii="Verdana" w:hAnsi="Verdana"/>
                <w:b w:val="0"/>
                <w:bCs w:val="0"/>
                <w:color w:val="000000"/>
                <w:sz w:val="18"/>
                <w:szCs w:val="18"/>
                <w:lang w:val="en-GB"/>
              </w:rPr>
              <w:footnoteReference w:id="20"/>
            </w:r>
          </w:p>
        </w:tc>
      </w:tr>
      <w:tr w:rsidR="00BA1499" w:rsidRPr="00307D85" w14:paraId="6D5444F5" w14:textId="77777777" w:rsidTr="00A405B6">
        <w:tc>
          <w:tcPr>
            <w:tcW w:w="9714" w:type="dxa"/>
          </w:tcPr>
          <w:p w14:paraId="28CD76D3" w14:textId="0F02BE2E"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Liquidation, in turn, is the process that follows the dissolution and generally comprises: (</w:t>
            </w:r>
            <w:proofErr w:type="spellStart"/>
            <w:r w:rsidRPr="00307D85">
              <w:rPr>
                <w:rFonts w:ascii="Verdana" w:hAnsi="Verdana"/>
                <w:b w:val="0"/>
                <w:bCs w:val="0"/>
                <w:sz w:val="18"/>
                <w:szCs w:val="18"/>
                <w:lang w:val="en-GB"/>
              </w:rPr>
              <w:t>i</w:t>
            </w:r>
            <w:proofErr w:type="spellEnd"/>
            <w:r w:rsidRPr="00307D85">
              <w:rPr>
                <w:rFonts w:ascii="Verdana" w:hAnsi="Verdana"/>
                <w:b w:val="0"/>
                <w:bCs w:val="0"/>
                <w:sz w:val="18"/>
                <w:szCs w:val="18"/>
                <w:lang w:val="en-GB"/>
              </w:rPr>
              <w:t>) the realisation of assets,</w:t>
            </w:r>
            <w:r w:rsidR="00FB13B8" w:rsidRPr="00307D85">
              <w:rPr>
                <w:rStyle w:val="FootnoteReference"/>
                <w:rFonts w:ascii="Verdana" w:hAnsi="Verdana"/>
                <w:b w:val="0"/>
                <w:bCs w:val="0"/>
                <w:color w:val="000000"/>
                <w:sz w:val="18"/>
                <w:szCs w:val="18"/>
                <w:lang w:val="en-GB"/>
              </w:rPr>
              <w:footnoteReference w:id="21"/>
            </w:r>
            <w:r w:rsidRPr="00307D85">
              <w:rPr>
                <w:rFonts w:ascii="Verdana" w:hAnsi="Verdana"/>
                <w:b w:val="0"/>
                <w:bCs w:val="0"/>
                <w:sz w:val="18"/>
                <w:szCs w:val="18"/>
                <w:lang w:val="en-GB"/>
              </w:rPr>
              <w:t xml:space="preserve"> (ii) the settlement of liabilities and contingencies,</w:t>
            </w:r>
            <w:r w:rsidR="00FB13B8" w:rsidRPr="00307D85">
              <w:rPr>
                <w:rStyle w:val="FootnoteReference"/>
                <w:rFonts w:ascii="Verdana" w:hAnsi="Verdana"/>
                <w:b w:val="0"/>
                <w:bCs w:val="0"/>
                <w:color w:val="000000"/>
                <w:sz w:val="18"/>
                <w:szCs w:val="18"/>
                <w:lang w:val="en-GB"/>
              </w:rPr>
              <w:footnoteReference w:id="22"/>
            </w:r>
            <w:r w:rsidRPr="00307D85">
              <w:rPr>
                <w:rFonts w:ascii="Verdana" w:hAnsi="Verdana"/>
                <w:b w:val="0"/>
                <w:bCs w:val="0"/>
                <w:sz w:val="18"/>
                <w:szCs w:val="18"/>
                <w:lang w:val="en-GB"/>
              </w:rPr>
              <w:t xml:space="preserve"> and (iii) the distribution of any net surplus to investors,</w:t>
            </w:r>
            <w:r w:rsidR="00FB13B8" w:rsidRPr="00307D85">
              <w:rPr>
                <w:rStyle w:val="FootnoteReference"/>
                <w:rFonts w:ascii="Verdana" w:hAnsi="Verdana"/>
                <w:b w:val="0"/>
                <w:bCs w:val="0"/>
                <w:color w:val="000000"/>
                <w:sz w:val="18"/>
                <w:szCs w:val="18"/>
                <w:lang w:val="en-GB"/>
              </w:rPr>
              <w:footnoteReference w:id="23"/>
            </w:r>
            <w:r w:rsidRPr="00307D85">
              <w:rPr>
                <w:rFonts w:ascii="Verdana" w:hAnsi="Verdana"/>
                <w:b w:val="0"/>
                <w:bCs w:val="0"/>
                <w:sz w:val="18"/>
                <w:szCs w:val="18"/>
                <w:lang w:val="en-GB"/>
              </w:rPr>
              <w:t xml:space="preserve"> culminating in </w:t>
            </w:r>
            <w:r w:rsidR="00FB13B8" w:rsidRPr="00307D85">
              <w:rPr>
                <w:rFonts w:ascii="Verdana" w:hAnsi="Verdana"/>
                <w:b w:val="0"/>
                <w:bCs w:val="0"/>
                <w:sz w:val="18"/>
                <w:szCs w:val="18"/>
                <w:lang w:val="en-GB"/>
              </w:rPr>
              <w:t xml:space="preserve">(iv) </w:t>
            </w:r>
            <w:r w:rsidRPr="00307D85">
              <w:rPr>
                <w:rFonts w:ascii="Verdana" w:hAnsi="Verdana"/>
                <w:b w:val="0"/>
                <w:bCs w:val="0"/>
                <w:sz w:val="18"/>
                <w:szCs w:val="18"/>
                <w:lang w:val="en-GB"/>
              </w:rPr>
              <w:t>the closure of accounts and de-registration.</w:t>
            </w:r>
            <w:r w:rsidR="00FB13B8" w:rsidRPr="00307D85">
              <w:rPr>
                <w:rStyle w:val="FootnoteReference"/>
                <w:rFonts w:ascii="Verdana" w:hAnsi="Verdana"/>
                <w:b w:val="0"/>
                <w:bCs w:val="0"/>
                <w:color w:val="000000"/>
                <w:sz w:val="18"/>
                <w:szCs w:val="18"/>
                <w:lang w:val="en-GB"/>
              </w:rPr>
              <w:footnoteReference w:id="24"/>
            </w:r>
          </w:p>
        </w:tc>
      </w:tr>
      <w:tr w:rsidR="00BA1499" w:rsidRPr="00307D85" w14:paraId="2095214D" w14:textId="77777777" w:rsidTr="00A405B6">
        <w:tc>
          <w:tcPr>
            <w:tcW w:w="9714" w:type="dxa"/>
          </w:tcPr>
          <w:p w14:paraId="64B8CCC9" w14:textId="166E07DD"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GB"/>
              </w:rPr>
              <w:t xml:space="preserve">Against this background, the Product Fund Law mechanism for umbrella SICAVs is more accurately described as an </w:t>
            </w:r>
            <w:r w:rsidRPr="00307D85">
              <w:rPr>
                <w:rFonts w:ascii="Verdana" w:hAnsi="Verdana"/>
                <w:b w:val="0"/>
                <w:bCs w:val="0"/>
                <w:i/>
                <w:iCs/>
                <w:sz w:val="18"/>
                <w:szCs w:val="18"/>
                <w:lang w:val="en-GB"/>
              </w:rPr>
              <w:t>ipso jure</w:t>
            </w:r>
            <w:r w:rsidRPr="00307D85">
              <w:rPr>
                <w:rFonts w:ascii="Verdana" w:hAnsi="Verdana"/>
                <w:b w:val="0"/>
                <w:bCs w:val="0"/>
                <w:sz w:val="18"/>
                <w:szCs w:val="18"/>
                <w:lang w:val="en-GB"/>
              </w:rPr>
              <w:t xml:space="preserve"> dissolution of the umbrella upon the dissolution of its last remaining compartment, after which both the compartment and the umbrella are deemed to exist only for their liquidation. It is therefore not the closing of the liquidation of the last compartment that triggers the automatic dissolution of the umbrella SICAV, but the event or decision by which that final compartment is dissolved.</w:t>
            </w:r>
          </w:p>
        </w:tc>
      </w:tr>
      <w:tr w:rsidR="00BA1499" w:rsidRPr="00307D85" w14:paraId="4F9768C0" w14:textId="77777777" w:rsidTr="00A405B6">
        <w:tc>
          <w:tcPr>
            <w:tcW w:w="9714" w:type="dxa"/>
          </w:tcPr>
          <w:p w14:paraId="2684CC1E" w14:textId="3B6B7FC4" w:rsidR="00BA1499" w:rsidRPr="00307D85" w:rsidRDefault="00BA1499" w:rsidP="00BA1499">
            <w:pPr>
              <w:pStyle w:val="NormalWeb"/>
              <w:numPr>
                <w:ilvl w:val="0"/>
                <w:numId w:val="160"/>
              </w:numPr>
              <w:spacing w:before="0" w:beforeAutospacing="0" w:after="120" w:afterAutospacing="0"/>
              <w:ind w:left="1086" w:hanging="425"/>
              <w:jc w:val="both"/>
              <w:rPr>
                <w:rFonts w:ascii="Verdana" w:hAnsi="Verdana"/>
                <w:b w:val="0"/>
                <w:bCs w:val="0"/>
                <w:sz w:val="18"/>
                <w:szCs w:val="18"/>
                <w:lang w:val="en-US"/>
              </w:rPr>
            </w:pPr>
            <w:r w:rsidRPr="00307D85">
              <w:rPr>
                <w:rFonts w:ascii="Verdana" w:hAnsi="Verdana"/>
                <w:b w:val="0"/>
                <w:bCs w:val="0"/>
                <w:i/>
                <w:iCs/>
                <w:color w:val="002060"/>
                <w:sz w:val="18"/>
                <w:szCs w:val="18"/>
                <w:lang w:val="en-GB"/>
              </w:rPr>
              <w:t>Exten</w:t>
            </w:r>
            <w:r w:rsidR="00BE5D38" w:rsidRPr="00307D85">
              <w:rPr>
                <w:rFonts w:ascii="Verdana" w:hAnsi="Verdana"/>
                <w:b w:val="0"/>
                <w:bCs w:val="0"/>
                <w:i/>
                <w:iCs/>
                <w:color w:val="002060"/>
                <w:sz w:val="18"/>
                <w:szCs w:val="18"/>
                <w:lang w:val="en-GB"/>
              </w:rPr>
              <w:t>sion of</w:t>
            </w:r>
            <w:r w:rsidRPr="00307D85">
              <w:rPr>
                <w:rFonts w:ascii="Verdana" w:hAnsi="Verdana"/>
                <w:b w:val="0"/>
                <w:bCs w:val="0"/>
                <w:i/>
                <w:iCs/>
                <w:color w:val="002060"/>
                <w:sz w:val="18"/>
                <w:szCs w:val="18"/>
                <w:lang w:val="en-GB"/>
              </w:rPr>
              <w:t xml:space="preserve"> the </w:t>
            </w:r>
            <w:r w:rsidR="00BE5D38" w:rsidRPr="00307D85">
              <w:rPr>
                <w:rFonts w:ascii="Verdana" w:hAnsi="Verdana"/>
                <w:b w:val="0"/>
                <w:bCs w:val="0"/>
                <w:i/>
                <w:iCs/>
                <w:color w:val="002060"/>
                <w:sz w:val="18"/>
                <w:szCs w:val="18"/>
                <w:lang w:val="en-GB"/>
              </w:rPr>
              <w:t>L</w:t>
            </w:r>
            <w:r w:rsidRPr="00307D85">
              <w:rPr>
                <w:rFonts w:ascii="Verdana" w:hAnsi="Verdana"/>
                <w:b w:val="0"/>
                <w:bCs w:val="0"/>
                <w:i/>
                <w:iCs/>
                <w:color w:val="002060"/>
                <w:sz w:val="18"/>
                <w:szCs w:val="18"/>
                <w:lang w:val="en-GB"/>
              </w:rPr>
              <w:t>ast-</w:t>
            </w:r>
            <w:r w:rsidR="00BE5D38" w:rsidRPr="00307D85">
              <w:rPr>
                <w:rFonts w:ascii="Verdana" w:hAnsi="Verdana"/>
                <w:b w:val="0"/>
                <w:bCs w:val="0"/>
                <w:i/>
                <w:iCs/>
                <w:color w:val="002060"/>
                <w:sz w:val="18"/>
                <w:szCs w:val="18"/>
                <w:lang w:val="en-GB"/>
              </w:rPr>
              <w:t>C</w:t>
            </w:r>
            <w:r w:rsidRPr="00307D85">
              <w:rPr>
                <w:rFonts w:ascii="Verdana" w:hAnsi="Verdana"/>
                <w:b w:val="0"/>
                <w:bCs w:val="0"/>
                <w:i/>
                <w:iCs/>
                <w:color w:val="002060"/>
                <w:sz w:val="18"/>
                <w:szCs w:val="18"/>
                <w:lang w:val="en-GB"/>
              </w:rPr>
              <w:t xml:space="preserve">ompartment </w:t>
            </w:r>
            <w:r w:rsidR="00BE5D38" w:rsidRPr="00307D85">
              <w:rPr>
                <w:rFonts w:ascii="Verdana" w:hAnsi="Verdana"/>
                <w:b w:val="0"/>
                <w:bCs w:val="0"/>
                <w:i/>
                <w:iCs/>
                <w:color w:val="002060"/>
                <w:sz w:val="18"/>
                <w:szCs w:val="18"/>
                <w:lang w:val="en-GB"/>
              </w:rPr>
              <w:t>R</w:t>
            </w:r>
            <w:r w:rsidRPr="00307D85">
              <w:rPr>
                <w:rFonts w:ascii="Verdana" w:hAnsi="Verdana"/>
                <w:b w:val="0"/>
                <w:bCs w:val="0"/>
                <w:i/>
                <w:iCs/>
                <w:color w:val="002060"/>
                <w:sz w:val="18"/>
                <w:szCs w:val="18"/>
                <w:lang w:val="en-GB"/>
              </w:rPr>
              <w:t>ule to</w:t>
            </w:r>
            <w:r w:rsidR="00BE5D38" w:rsidRPr="00307D85">
              <w:rPr>
                <w:rFonts w:ascii="Verdana" w:hAnsi="Verdana"/>
                <w:b w:val="0"/>
                <w:bCs w:val="0"/>
                <w:i/>
                <w:iCs/>
                <w:color w:val="002060"/>
                <w:sz w:val="18"/>
                <w:szCs w:val="18"/>
                <w:lang w:val="en-GB"/>
              </w:rPr>
              <w:t xml:space="preserve"> Compartment</w:t>
            </w:r>
            <w:r w:rsidRPr="00307D85">
              <w:rPr>
                <w:rFonts w:ascii="Verdana" w:hAnsi="Verdana"/>
                <w:b w:val="0"/>
                <w:bCs w:val="0"/>
                <w:i/>
                <w:iCs/>
                <w:color w:val="002060"/>
                <w:sz w:val="18"/>
                <w:szCs w:val="18"/>
                <w:lang w:val="en-GB"/>
              </w:rPr>
              <w:t xml:space="preserve"> </w:t>
            </w:r>
            <w:r w:rsidR="00BE5D38" w:rsidRPr="00307D85">
              <w:rPr>
                <w:rFonts w:ascii="Verdana" w:hAnsi="Verdana"/>
                <w:b w:val="0"/>
                <w:bCs w:val="0"/>
                <w:i/>
                <w:iCs/>
                <w:color w:val="002060"/>
                <w:sz w:val="18"/>
                <w:szCs w:val="18"/>
                <w:lang w:val="en-GB"/>
              </w:rPr>
              <w:t>M</w:t>
            </w:r>
            <w:r w:rsidRPr="00307D85">
              <w:rPr>
                <w:rFonts w:ascii="Verdana" w:hAnsi="Verdana"/>
                <w:b w:val="0"/>
                <w:bCs w:val="0"/>
                <w:i/>
                <w:iCs/>
                <w:color w:val="002060"/>
                <w:sz w:val="18"/>
                <w:szCs w:val="18"/>
                <w:lang w:val="en-GB"/>
              </w:rPr>
              <w:t>ergers</w:t>
            </w:r>
          </w:p>
        </w:tc>
      </w:tr>
      <w:tr w:rsidR="00BA1499" w:rsidRPr="00307D85" w14:paraId="3B6B0AED" w14:textId="77777777" w:rsidTr="00A405B6">
        <w:tc>
          <w:tcPr>
            <w:tcW w:w="9714" w:type="dxa"/>
          </w:tcPr>
          <w:p w14:paraId="02EF8FC4" w14:textId="0A9C88EE"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lastRenderedPageBreak/>
              <w:t xml:space="preserve">The most telling test case for the last-compartment rule is the merger of the final remaining compartment of an umbrella SICAV into a compartment of another umbrella (Luxembourg or foreign). In such a scenario, the </w:t>
            </w:r>
            <w:r w:rsidR="00BE31AD" w:rsidRPr="00307D85">
              <w:rPr>
                <w:rFonts w:ascii="Verdana" w:hAnsi="Verdana"/>
                <w:b w:val="0"/>
                <w:bCs w:val="0"/>
                <w:sz w:val="18"/>
                <w:szCs w:val="18"/>
                <w:lang w:val="en-US"/>
              </w:rPr>
              <w:t xml:space="preserve">statutory </w:t>
            </w:r>
            <w:r w:rsidRPr="00307D85">
              <w:rPr>
                <w:rFonts w:ascii="Verdana" w:hAnsi="Verdana"/>
                <w:b w:val="0"/>
                <w:bCs w:val="0"/>
                <w:sz w:val="18"/>
                <w:szCs w:val="18"/>
                <w:lang w:val="en-US"/>
              </w:rPr>
              <w:t xml:space="preserve">wording of the Product </w:t>
            </w:r>
            <w:r w:rsidRPr="00307D85">
              <w:rPr>
                <w:rFonts w:ascii="Verdana" w:hAnsi="Verdana"/>
                <w:b w:val="0"/>
                <w:bCs w:val="0"/>
                <w:sz w:val="18"/>
                <w:szCs w:val="18"/>
                <w:lang w:val="en-GB"/>
              </w:rPr>
              <w:t xml:space="preserve">Fund </w:t>
            </w:r>
            <w:r w:rsidRPr="00307D85">
              <w:rPr>
                <w:rFonts w:ascii="Verdana" w:hAnsi="Verdana"/>
                <w:b w:val="0"/>
                <w:bCs w:val="0"/>
                <w:sz w:val="18"/>
                <w:szCs w:val="18"/>
                <w:lang w:val="en-US"/>
              </w:rPr>
              <w:t>Laws refer</w:t>
            </w:r>
            <w:r w:rsidR="00BE31AD" w:rsidRPr="00307D85">
              <w:rPr>
                <w:rFonts w:ascii="Verdana" w:hAnsi="Verdana"/>
                <w:b w:val="0"/>
                <w:bCs w:val="0"/>
                <w:sz w:val="18"/>
                <w:szCs w:val="18"/>
                <w:lang w:val="en-US"/>
              </w:rPr>
              <w:t>ring</w:t>
            </w:r>
            <w:r w:rsidRPr="00307D85">
              <w:rPr>
                <w:rFonts w:ascii="Verdana" w:hAnsi="Verdana"/>
                <w:b w:val="0"/>
                <w:bCs w:val="0"/>
                <w:sz w:val="18"/>
                <w:szCs w:val="18"/>
                <w:lang w:val="en-US"/>
              </w:rPr>
              <w:t xml:space="preserve"> to the “liquidation of the last remaining compartment”</w:t>
            </w:r>
            <w:r w:rsidR="00BE31AD" w:rsidRPr="00307D85">
              <w:rPr>
                <w:rFonts w:ascii="Verdana" w:hAnsi="Verdana"/>
                <w:b w:val="0"/>
                <w:bCs w:val="0"/>
                <w:sz w:val="18"/>
                <w:szCs w:val="18"/>
                <w:lang w:val="en-US"/>
              </w:rPr>
              <w:t xml:space="preserve"> must be interpreted functionally rather than formally. Although the compartment ceases to exist by way of merger and is therefore not wound up through a </w:t>
            </w:r>
            <w:r w:rsidRPr="00307D85">
              <w:rPr>
                <w:rFonts w:ascii="Verdana" w:hAnsi="Verdana"/>
                <w:b w:val="0"/>
                <w:bCs w:val="0"/>
                <w:sz w:val="18"/>
                <w:szCs w:val="18"/>
                <w:lang w:val="en-US"/>
              </w:rPr>
              <w:t xml:space="preserve">liquidation </w:t>
            </w:r>
            <w:proofErr w:type="spellStart"/>
            <w:r w:rsidRPr="00307D85">
              <w:rPr>
                <w:rFonts w:ascii="Verdana" w:hAnsi="Verdana"/>
                <w:b w:val="0"/>
                <w:bCs w:val="0"/>
                <w:i/>
                <w:iCs/>
                <w:sz w:val="18"/>
                <w:szCs w:val="18"/>
                <w:lang w:val="en-US"/>
              </w:rPr>
              <w:t>strict</w:t>
            </w:r>
            <w:r w:rsidR="00570787" w:rsidRPr="00307D85">
              <w:rPr>
                <w:rFonts w:ascii="Verdana" w:hAnsi="Verdana"/>
                <w:b w:val="0"/>
                <w:bCs w:val="0"/>
                <w:i/>
                <w:iCs/>
                <w:sz w:val="18"/>
                <w:szCs w:val="18"/>
                <w:lang w:val="en-US"/>
              </w:rPr>
              <w:t>o</w:t>
            </w:r>
            <w:proofErr w:type="spellEnd"/>
            <w:r w:rsidRPr="00307D85">
              <w:rPr>
                <w:rFonts w:ascii="Verdana" w:hAnsi="Verdana"/>
                <w:b w:val="0"/>
                <w:bCs w:val="0"/>
                <w:i/>
                <w:iCs/>
                <w:sz w:val="18"/>
                <w:szCs w:val="18"/>
                <w:lang w:val="en-US"/>
              </w:rPr>
              <w:t xml:space="preserve"> </w:t>
            </w:r>
            <w:proofErr w:type="spellStart"/>
            <w:r w:rsidRPr="00307D85">
              <w:rPr>
                <w:rFonts w:ascii="Verdana" w:hAnsi="Verdana"/>
                <w:b w:val="0"/>
                <w:bCs w:val="0"/>
                <w:i/>
                <w:iCs/>
                <w:sz w:val="18"/>
                <w:szCs w:val="18"/>
                <w:lang w:val="en-US"/>
              </w:rPr>
              <w:t>sens</w:t>
            </w:r>
            <w:r w:rsidR="00570787" w:rsidRPr="00307D85">
              <w:rPr>
                <w:rFonts w:ascii="Verdana" w:hAnsi="Verdana"/>
                <w:b w:val="0"/>
                <w:bCs w:val="0"/>
                <w:i/>
                <w:iCs/>
                <w:sz w:val="18"/>
                <w:szCs w:val="18"/>
                <w:lang w:val="en-US"/>
              </w:rPr>
              <w:t>u</w:t>
            </w:r>
            <w:proofErr w:type="spellEnd"/>
            <w:r w:rsidR="00BE31AD" w:rsidRPr="00307D85">
              <w:rPr>
                <w:rFonts w:ascii="Verdana" w:hAnsi="Verdana"/>
                <w:b w:val="0"/>
                <w:bCs w:val="0"/>
                <w:sz w:val="18"/>
                <w:szCs w:val="18"/>
                <w:lang w:val="en-US"/>
              </w:rPr>
              <w:t>, it</w:t>
            </w:r>
            <w:r w:rsidR="00BE31AD" w:rsidRPr="00307D85">
              <w:rPr>
                <w:rFonts w:ascii="Verdana" w:hAnsi="Verdana"/>
                <w:b w:val="0"/>
                <w:bCs w:val="0"/>
                <w:i/>
                <w:iCs/>
                <w:sz w:val="18"/>
                <w:szCs w:val="18"/>
                <w:lang w:val="en-US"/>
              </w:rPr>
              <w:t xml:space="preserve"> </w:t>
            </w:r>
            <w:r w:rsidR="00BE31AD" w:rsidRPr="00307D85">
              <w:rPr>
                <w:rFonts w:ascii="Verdana" w:hAnsi="Verdana"/>
                <w:b w:val="0"/>
                <w:bCs w:val="0"/>
                <w:sz w:val="18"/>
                <w:szCs w:val="18"/>
                <w:lang w:val="en-US"/>
              </w:rPr>
              <w:t>nonetheless disappears as an autonomous pool of assets and liabilities.</w:t>
            </w:r>
          </w:p>
        </w:tc>
      </w:tr>
      <w:tr w:rsidR="00BA1499" w:rsidRPr="00307D85" w14:paraId="5C6EAE7D" w14:textId="77777777" w:rsidTr="00A405B6">
        <w:tc>
          <w:tcPr>
            <w:tcW w:w="9714" w:type="dxa"/>
          </w:tcPr>
          <w:p w14:paraId="4A2083D7" w14:textId="2D6D2C48"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It is therefore coherent to extend the rule </w:t>
            </w:r>
            <w:r w:rsidRPr="00307D85">
              <w:rPr>
                <w:rFonts w:ascii="Verdana" w:hAnsi="Verdana"/>
                <w:b w:val="0"/>
                <w:bCs w:val="0"/>
                <w:i/>
                <w:iCs/>
                <w:sz w:val="18"/>
                <w:szCs w:val="18"/>
                <w:lang w:val="en-US"/>
              </w:rPr>
              <w:t>mutatis mutandis</w:t>
            </w:r>
            <w:r w:rsidRPr="00307D85">
              <w:rPr>
                <w:rFonts w:ascii="Verdana" w:hAnsi="Verdana"/>
                <w:b w:val="0"/>
                <w:bCs w:val="0"/>
                <w:sz w:val="18"/>
                <w:szCs w:val="18"/>
                <w:lang w:val="en-US"/>
              </w:rPr>
              <w:t xml:space="preserve"> and to treat the merger of the last compartment as a dissolution event for that compartment, triggering the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xml:space="preserve"> dissolution of the umbrella SICAV.</w:t>
            </w:r>
          </w:p>
        </w:tc>
      </w:tr>
      <w:tr w:rsidR="00BA1499" w:rsidRPr="00307D85" w14:paraId="23D8C755" w14:textId="77777777" w:rsidTr="00A405B6">
        <w:tc>
          <w:tcPr>
            <w:tcW w:w="9714" w:type="dxa"/>
          </w:tcPr>
          <w:p w14:paraId="425A78CA" w14:textId="4FB37EA5"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This approach is consistent with long-standing Luxembourg practice under the former CSSF </w:t>
            </w:r>
            <w:r w:rsidR="00BE31AD" w:rsidRPr="00307D85">
              <w:rPr>
                <w:rFonts w:ascii="Verdana" w:hAnsi="Verdana"/>
                <w:b w:val="0"/>
                <w:bCs w:val="0"/>
                <w:sz w:val="18"/>
                <w:szCs w:val="18"/>
                <w:lang w:val="en-US"/>
              </w:rPr>
              <w:t>n</w:t>
            </w:r>
            <w:r w:rsidRPr="00307D85">
              <w:rPr>
                <w:rFonts w:ascii="Verdana" w:hAnsi="Verdana"/>
                <w:b w:val="0"/>
                <w:bCs w:val="0"/>
                <w:sz w:val="18"/>
                <w:szCs w:val="18"/>
                <w:lang w:val="en-US"/>
              </w:rPr>
              <w:t>ote on “termination, amalgamation and transfer of assets”</w:t>
            </w:r>
            <w:r w:rsidR="00BE31AD" w:rsidRPr="00307D85">
              <w:rPr>
                <w:rFonts w:ascii="Verdana" w:hAnsi="Verdana"/>
                <w:b w:val="0"/>
                <w:bCs w:val="0"/>
                <w:sz w:val="18"/>
                <w:szCs w:val="18"/>
                <w:lang w:val="en-US"/>
              </w:rPr>
              <w:t xml:space="preserve"> (the “</w:t>
            </w:r>
            <w:r w:rsidR="00BE31AD" w:rsidRPr="00307D85">
              <w:rPr>
                <w:rFonts w:ascii="Verdana" w:hAnsi="Verdana"/>
                <w:color w:val="002060"/>
                <w:sz w:val="18"/>
                <w:szCs w:val="18"/>
                <w:lang w:val="en-US"/>
              </w:rPr>
              <w:t>CSSF Note</w:t>
            </w:r>
            <w:r w:rsidR="00BE31AD" w:rsidRPr="00307D85">
              <w:rPr>
                <w:rFonts w:ascii="Verdana" w:hAnsi="Verdana"/>
                <w:b w:val="0"/>
                <w:bCs w:val="0"/>
                <w:sz w:val="18"/>
                <w:szCs w:val="18"/>
                <w:lang w:val="en-US"/>
              </w:rPr>
              <w:t>”)</w:t>
            </w:r>
            <w:r w:rsidRPr="00307D85">
              <w:rPr>
                <w:rFonts w:ascii="Verdana" w:hAnsi="Verdana"/>
                <w:b w:val="0"/>
                <w:bCs w:val="0"/>
                <w:sz w:val="18"/>
                <w:szCs w:val="18"/>
                <w:lang w:val="en-US"/>
              </w:rPr>
              <w:t>, which expressly contemplated the closure of compartments by way of (i) pure liquidation, (ii) contribution to another compartment of the same UCI, (iii) contribution to another Luxembourg UCI, or (iv) contribution to a foreign UCI. In each of these cases, the compartment ceases to exist as an investment pool; the only question is whether that cessation is treated, in law and in the fund’s documentation, as dissolution followed by liquidation or as a restructuring governed by the merger provisions.</w:t>
            </w:r>
          </w:p>
        </w:tc>
      </w:tr>
      <w:tr w:rsidR="00BA1499" w:rsidRPr="00307D85" w14:paraId="67EB6C1E" w14:textId="77777777" w:rsidTr="00A405B6">
        <w:tc>
          <w:tcPr>
            <w:tcW w:w="9714" w:type="dxa"/>
          </w:tcPr>
          <w:p w14:paraId="4E63DB93" w14:textId="58AE3326"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In practice and even if not </w:t>
            </w:r>
            <w:r w:rsidRPr="00307D85">
              <w:rPr>
                <w:rFonts w:ascii="Verdana" w:hAnsi="Verdana"/>
                <w:b w:val="0"/>
                <w:bCs w:val="0"/>
                <w:i/>
                <w:iCs/>
                <w:sz w:val="18"/>
                <w:szCs w:val="18"/>
                <w:lang w:val="en-US"/>
              </w:rPr>
              <w:t xml:space="preserve">per se </w:t>
            </w:r>
            <w:r w:rsidRPr="00307D85">
              <w:rPr>
                <w:rFonts w:ascii="Verdana" w:hAnsi="Verdana"/>
                <w:b w:val="0"/>
                <w:bCs w:val="0"/>
                <w:sz w:val="18"/>
                <w:szCs w:val="18"/>
                <w:lang w:val="en-US"/>
              </w:rPr>
              <w:t xml:space="preserve">required, the safest course is to anchor this interpretation in the constitutional documents. Termination clauses inspired by the CSSF Note will typically (i) empower the management body and/or the general meeting to decide on the termination, amalgamation or transfer of the assets of a compartment, and (ii) clarify that, where such a decision concerns the last remaining compartment, the operation will be deemed to entail the dissolution of that compartment for the purposes of the statutory last-compartment rule, thereby triggering the automatic dissolution and ensuing liquidation of the umbrella SICAV. This drafting technique allows mergers and other </w:t>
            </w:r>
            <w:proofErr w:type="spellStart"/>
            <w:r w:rsidRPr="00307D85">
              <w:rPr>
                <w:rFonts w:ascii="Verdana" w:hAnsi="Verdana"/>
                <w:b w:val="0"/>
                <w:bCs w:val="0"/>
                <w:sz w:val="18"/>
                <w:szCs w:val="18"/>
                <w:lang w:val="en-US"/>
              </w:rPr>
              <w:t>reorganisations</w:t>
            </w:r>
            <w:proofErr w:type="spellEnd"/>
            <w:r w:rsidRPr="00307D85">
              <w:rPr>
                <w:rFonts w:ascii="Verdana" w:hAnsi="Verdana"/>
                <w:b w:val="0"/>
                <w:bCs w:val="0"/>
                <w:sz w:val="18"/>
                <w:szCs w:val="18"/>
                <w:lang w:val="en-US"/>
              </w:rPr>
              <w:t xml:space="preserve"> to be accommodated within the Product </w:t>
            </w:r>
            <w:r w:rsidRPr="00307D85">
              <w:rPr>
                <w:rFonts w:ascii="Verdana" w:hAnsi="Verdana"/>
                <w:b w:val="0"/>
                <w:bCs w:val="0"/>
                <w:sz w:val="18"/>
                <w:szCs w:val="18"/>
                <w:lang w:val="en-GB"/>
              </w:rPr>
              <w:t xml:space="preserve">Fund </w:t>
            </w:r>
            <w:r w:rsidRPr="00307D85">
              <w:rPr>
                <w:rFonts w:ascii="Verdana" w:hAnsi="Verdana"/>
                <w:b w:val="0"/>
                <w:bCs w:val="0"/>
                <w:sz w:val="18"/>
                <w:szCs w:val="18"/>
                <w:lang w:val="en-US"/>
              </w:rPr>
              <w:t>Law framework while giving effect to the underlying principle that an umbrella cannot survive once its final compartment has disappeared, whether through liquidation in the narrow sense or through a merger producing the same structural outcome.</w:t>
            </w:r>
          </w:p>
        </w:tc>
      </w:tr>
      <w:tr w:rsidR="00BA1499" w:rsidRPr="00307D85" w14:paraId="1118A9F9" w14:textId="77777777" w:rsidTr="00A405B6">
        <w:tc>
          <w:tcPr>
            <w:tcW w:w="9714" w:type="dxa"/>
          </w:tcPr>
          <w:p w14:paraId="731F414A" w14:textId="310F0190" w:rsidR="00BA1499" w:rsidRPr="00307D85" w:rsidRDefault="00BA1499" w:rsidP="00BA1499">
            <w:pPr>
              <w:pStyle w:val="NormalWeb"/>
              <w:numPr>
                <w:ilvl w:val="0"/>
                <w:numId w:val="160"/>
              </w:numPr>
              <w:spacing w:before="0" w:beforeAutospacing="0" w:after="120" w:afterAutospacing="0"/>
              <w:ind w:left="1086"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Determining the</w:t>
            </w:r>
            <w:r w:rsidR="00E963F4">
              <w:rPr>
                <w:rFonts w:ascii="Verdana" w:hAnsi="Verdana"/>
                <w:b w:val="0"/>
                <w:bCs w:val="0"/>
                <w:i/>
                <w:iCs/>
                <w:color w:val="002060"/>
                <w:sz w:val="18"/>
                <w:szCs w:val="18"/>
                <w:lang w:val="en-GB"/>
              </w:rPr>
              <w:t xml:space="preserve"> Liquidation Trigger</w:t>
            </w:r>
            <w:r w:rsidRPr="00307D85">
              <w:rPr>
                <w:rFonts w:ascii="Verdana" w:hAnsi="Verdana"/>
                <w:b w:val="0"/>
                <w:bCs w:val="0"/>
                <w:i/>
                <w:iCs/>
                <w:color w:val="002060"/>
                <w:sz w:val="18"/>
                <w:szCs w:val="18"/>
                <w:lang w:val="en-GB"/>
              </w:rPr>
              <w:t xml:space="preserve"> </w:t>
            </w:r>
            <w:r w:rsidR="00BE5D38" w:rsidRPr="00307D85">
              <w:rPr>
                <w:rFonts w:ascii="Verdana" w:hAnsi="Verdana"/>
                <w:b w:val="0"/>
                <w:bCs w:val="0"/>
                <w:i/>
                <w:iCs/>
                <w:color w:val="002060"/>
                <w:sz w:val="18"/>
                <w:szCs w:val="18"/>
                <w:lang w:val="en-GB"/>
              </w:rPr>
              <w:t>D</w:t>
            </w:r>
            <w:r w:rsidRPr="00307D85">
              <w:rPr>
                <w:rFonts w:ascii="Verdana" w:hAnsi="Verdana"/>
                <w:b w:val="0"/>
                <w:bCs w:val="0"/>
                <w:i/>
                <w:iCs/>
                <w:color w:val="002060"/>
                <w:sz w:val="18"/>
                <w:szCs w:val="18"/>
                <w:lang w:val="en-GB"/>
              </w:rPr>
              <w:t>ate</w:t>
            </w:r>
            <w:r w:rsidR="00BE5D38" w:rsidRPr="00307D85">
              <w:rPr>
                <w:rFonts w:ascii="Verdana" w:hAnsi="Verdana"/>
                <w:b w:val="0"/>
                <w:bCs w:val="0"/>
                <w:i/>
                <w:iCs/>
                <w:color w:val="002060"/>
                <w:sz w:val="18"/>
                <w:szCs w:val="18"/>
                <w:lang w:val="en-GB"/>
              </w:rPr>
              <w:t xml:space="preserve"> of the Umbrella SICAV</w:t>
            </w:r>
          </w:p>
        </w:tc>
      </w:tr>
      <w:tr w:rsidR="00BA1499" w:rsidRPr="00307D85" w14:paraId="227658E9" w14:textId="77777777" w:rsidTr="00A405B6">
        <w:tc>
          <w:tcPr>
            <w:tcW w:w="9714" w:type="dxa"/>
          </w:tcPr>
          <w:p w14:paraId="7A3D731F" w14:textId="62EDA20F" w:rsidR="00BA1499" w:rsidRPr="00307D85" w:rsidRDefault="00BA1499"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US"/>
              </w:rPr>
              <w:t xml:space="preserve">Another key question is to identify the precise moment at which the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xml:space="preserve"> liquidation of the umbrella SICAV is deemed to occur. The Product </w:t>
            </w:r>
            <w:r w:rsidRPr="00307D85">
              <w:rPr>
                <w:rFonts w:ascii="Verdana" w:hAnsi="Verdana"/>
                <w:b w:val="0"/>
                <w:bCs w:val="0"/>
                <w:sz w:val="18"/>
                <w:szCs w:val="18"/>
                <w:lang w:val="en-GB"/>
              </w:rPr>
              <w:t xml:space="preserve">Fund </w:t>
            </w:r>
            <w:r w:rsidRPr="00307D85">
              <w:rPr>
                <w:rFonts w:ascii="Verdana" w:hAnsi="Verdana"/>
                <w:b w:val="0"/>
                <w:bCs w:val="0"/>
                <w:sz w:val="18"/>
                <w:szCs w:val="18"/>
                <w:lang w:val="en-US"/>
              </w:rPr>
              <w:t>Laws provide, first, that “</w:t>
            </w:r>
            <w:r w:rsidRPr="00307D85">
              <w:rPr>
                <w:rFonts w:ascii="Verdana" w:hAnsi="Verdana"/>
                <w:b w:val="0"/>
                <w:bCs w:val="0"/>
                <w:i/>
                <w:iCs/>
                <w:sz w:val="18"/>
                <w:szCs w:val="18"/>
                <w:lang w:val="en-US"/>
              </w:rPr>
              <w:t>only the liquidation of the last remaining compartment</w:t>
            </w:r>
            <w:r w:rsidRPr="00307D85">
              <w:rPr>
                <w:rFonts w:ascii="Verdana" w:hAnsi="Verdana"/>
                <w:b w:val="0"/>
                <w:bCs w:val="0"/>
                <w:sz w:val="18"/>
                <w:szCs w:val="18"/>
                <w:lang w:val="en-US"/>
              </w:rPr>
              <w:t xml:space="preserve"> […] </w:t>
            </w:r>
            <w:r w:rsidRPr="00307D85">
              <w:rPr>
                <w:rFonts w:ascii="Verdana" w:hAnsi="Verdana"/>
                <w:b w:val="0"/>
                <w:bCs w:val="0"/>
                <w:i/>
                <w:iCs/>
                <w:sz w:val="18"/>
                <w:szCs w:val="18"/>
                <w:lang w:val="en-US"/>
              </w:rPr>
              <w:t>will result in the liquidation of the</w:t>
            </w:r>
            <w:r w:rsidRPr="00307D85">
              <w:rPr>
                <w:rFonts w:ascii="Verdana" w:hAnsi="Verdana"/>
                <w:b w:val="0"/>
                <w:bCs w:val="0"/>
                <w:sz w:val="18"/>
                <w:szCs w:val="18"/>
                <w:lang w:val="en-US"/>
              </w:rPr>
              <w:t xml:space="preserve"> [fund] </w:t>
            </w:r>
            <w:r w:rsidRPr="00307D85">
              <w:rPr>
                <w:rFonts w:ascii="Verdana" w:hAnsi="Verdana"/>
                <w:b w:val="0"/>
                <w:bCs w:val="0"/>
                <w:i/>
                <w:iCs/>
                <w:sz w:val="18"/>
                <w:szCs w:val="18"/>
                <w:lang w:val="en-US"/>
              </w:rPr>
              <w:t>as referred to in Article</w:t>
            </w:r>
            <w:r w:rsidRPr="00307D85">
              <w:rPr>
                <w:rFonts w:ascii="Verdana" w:hAnsi="Verdana"/>
                <w:b w:val="0"/>
                <w:bCs w:val="0"/>
                <w:sz w:val="18"/>
                <w:szCs w:val="18"/>
                <w:lang w:val="en-US"/>
              </w:rPr>
              <w:t xml:space="preserve"> […]” and, second, that “</w:t>
            </w:r>
            <w:r w:rsidRPr="00307D85">
              <w:rPr>
                <w:rFonts w:ascii="Verdana" w:hAnsi="Verdana"/>
                <w:b w:val="0"/>
                <w:bCs w:val="0"/>
                <w:i/>
                <w:iCs/>
                <w:sz w:val="18"/>
                <w:szCs w:val="18"/>
                <w:lang w:val="en-US"/>
              </w:rPr>
              <w:t>in this case, where the</w:t>
            </w:r>
            <w:r w:rsidRPr="00307D85">
              <w:rPr>
                <w:rFonts w:ascii="Verdana" w:hAnsi="Verdana"/>
                <w:b w:val="0"/>
                <w:bCs w:val="0"/>
                <w:sz w:val="18"/>
                <w:szCs w:val="18"/>
                <w:lang w:val="en-US"/>
              </w:rPr>
              <w:t xml:space="preserve"> [fund] </w:t>
            </w:r>
            <w:r w:rsidRPr="00307D85">
              <w:rPr>
                <w:rFonts w:ascii="Verdana" w:hAnsi="Verdana"/>
                <w:b w:val="0"/>
                <w:bCs w:val="0"/>
                <w:i/>
                <w:iCs/>
                <w:sz w:val="18"/>
                <w:szCs w:val="18"/>
                <w:lang w:val="en-US"/>
              </w:rPr>
              <w:t>is in corporate form, as from the event giving rise to the liquidation of the</w:t>
            </w:r>
            <w:r w:rsidRPr="00307D85">
              <w:rPr>
                <w:rFonts w:ascii="Verdana" w:hAnsi="Verdana"/>
                <w:b w:val="0"/>
                <w:bCs w:val="0"/>
                <w:sz w:val="18"/>
                <w:szCs w:val="18"/>
                <w:lang w:val="en-US"/>
              </w:rPr>
              <w:t xml:space="preserve"> [fund], </w:t>
            </w:r>
            <w:r w:rsidRPr="00307D85">
              <w:rPr>
                <w:rFonts w:ascii="Verdana" w:hAnsi="Verdana"/>
                <w:b w:val="0"/>
                <w:bCs w:val="0"/>
                <w:i/>
                <w:iCs/>
                <w:sz w:val="18"/>
                <w:szCs w:val="18"/>
                <w:lang w:val="en-US"/>
              </w:rPr>
              <w:t>and under penalty of nullity, the issue of units shall be prohibited, except for the purposes of liquidation</w:t>
            </w:r>
            <w:r w:rsidR="00B74DD6" w:rsidRPr="00307D85">
              <w:rPr>
                <w:rFonts w:ascii="Verdana" w:hAnsi="Verdana"/>
                <w:b w:val="0"/>
                <w:bCs w:val="0"/>
                <w:sz w:val="18"/>
                <w:szCs w:val="18"/>
                <w:lang w:val="en-US"/>
              </w:rPr>
              <w:t>”</w:t>
            </w:r>
            <w:r w:rsidRPr="00307D85">
              <w:rPr>
                <w:rFonts w:ascii="Verdana" w:hAnsi="Verdana"/>
                <w:b w:val="0"/>
                <w:bCs w:val="0"/>
                <w:sz w:val="18"/>
                <w:szCs w:val="18"/>
                <w:lang w:val="en-US"/>
              </w:rPr>
              <w:t>. Read together with the analysis above, this wording suggests that the “event giving rise to the liquidation of the fund” is the act or occurrence by which the last remaining compartment is placed into liquidation in the statutory sense, rather than the later completion of its liquidation.</w:t>
            </w:r>
          </w:p>
        </w:tc>
      </w:tr>
      <w:tr w:rsidR="00BA1499" w:rsidRPr="00307D85" w14:paraId="116D1304" w14:textId="77777777" w:rsidTr="00A405B6">
        <w:tc>
          <w:tcPr>
            <w:tcW w:w="9714" w:type="dxa"/>
          </w:tcPr>
          <w:p w14:paraId="510394B7" w14:textId="3FA20516" w:rsidR="00BA1499" w:rsidRPr="00307D85" w:rsidRDefault="00BA1499"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US"/>
              </w:rPr>
              <w:t xml:space="preserve">In practice, the triggering date will therefore coincide with the date on which the decision to liquidate (for voluntary or judicial liquidations) or fact bringing about the liquidation of (for dissolutions by operation of law) the last compartment takes legal effect pursuant to the Product Fund’s constitutive documents, private placement memorandum and/or applicable law. Where the compartment is put into liquidation by shareholders’ or general partner’s resolution, that date </w:t>
            </w:r>
            <w:r w:rsidR="00B74DD6" w:rsidRPr="00307D85">
              <w:rPr>
                <w:rFonts w:ascii="Verdana" w:hAnsi="Verdana"/>
                <w:b w:val="0"/>
                <w:bCs w:val="0"/>
                <w:sz w:val="18"/>
                <w:szCs w:val="18"/>
                <w:lang w:val="en-US"/>
              </w:rPr>
              <w:t xml:space="preserve">(unless its effectiveness is subject to a condition precedent </w:t>
            </w:r>
            <w:r w:rsidR="00BE5D38" w:rsidRPr="00307D85">
              <w:rPr>
                <w:rFonts w:ascii="Verdana" w:hAnsi="Verdana"/>
                <w:b w:val="0"/>
                <w:bCs w:val="0"/>
                <w:sz w:val="18"/>
                <w:szCs w:val="18"/>
                <w:lang w:val="en-US"/>
              </w:rPr>
              <w:t>(</w:t>
            </w:r>
            <w:r w:rsidR="00B74DD6" w:rsidRPr="00307D85">
              <w:rPr>
                <w:rFonts w:ascii="Verdana" w:hAnsi="Verdana"/>
                <w:b w:val="0"/>
                <w:bCs w:val="0"/>
                <w:sz w:val="18"/>
                <w:szCs w:val="18"/>
                <w:lang w:val="en-US"/>
              </w:rPr>
              <w:t>such as for regulated SICAVs, the prior approval by the CSSF of the liquidator</w:t>
            </w:r>
            <w:r w:rsidR="00BE5D38" w:rsidRPr="00307D85">
              <w:rPr>
                <w:rFonts w:ascii="Verdana" w:hAnsi="Verdana"/>
                <w:b w:val="0"/>
                <w:bCs w:val="0"/>
                <w:sz w:val="18"/>
                <w:szCs w:val="18"/>
                <w:lang w:val="en-US"/>
              </w:rPr>
              <w:t>)</w:t>
            </w:r>
            <w:r w:rsidR="0059701A" w:rsidRPr="00307D85">
              <w:rPr>
                <w:rStyle w:val="FootnoteReference"/>
                <w:rFonts w:ascii="Verdana" w:hAnsi="Verdana"/>
                <w:b w:val="0"/>
                <w:bCs w:val="0"/>
                <w:color w:val="000000"/>
                <w:sz w:val="18"/>
                <w:szCs w:val="18"/>
                <w:lang w:val="en-GB"/>
              </w:rPr>
              <w:footnoteReference w:id="25"/>
            </w:r>
            <w:r w:rsidR="00BE5D38" w:rsidRPr="00307D85">
              <w:rPr>
                <w:rFonts w:ascii="Verdana" w:hAnsi="Verdana"/>
                <w:b w:val="0"/>
                <w:bCs w:val="0"/>
                <w:sz w:val="18"/>
                <w:szCs w:val="18"/>
                <w:lang w:val="en-US"/>
              </w:rPr>
              <w:t xml:space="preserve"> following which the effective date will be the date of the </w:t>
            </w:r>
            <w:proofErr w:type="spellStart"/>
            <w:r w:rsidR="00BE5D38" w:rsidRPr="00307D85">
              <w:rPr>
                <w:rFonts w:ascii="Verdana" w:hAnsi="Verdana"/>
                <w:b w:val="0"/>
                <w:bCs w:val="0"/>
                <w:sz w:val="18"/>
                <w:szCs w:val="18"/>
                <w:lang w:val="en-US"/>
              </w:rPr>
              <w:t>realisation</w:t>
            </w:r>
            <w:proofErr w:type="spellEnd"/>
            <w:r w:rsidR="00BE5D38" w:rsidRPr="00307D85">
              <w:rPr>
                <w:rFonts w:ascii="Verdana" w:hAnsi="Verdana"/>
                <w:b w:val="0"/>
                <w:bCs w:val="0"/>
                <w:sz w:val="18"/>
                <w:szCs w:val="18"/>
                <w:lang w:val="en-US"/>
              </w:rPr>
              <w:t xml:space="preserve"> of said condition</w:t>
            </w:r>
            <w:r w:rsidR="00B74DD6" w:rsidRPr="00307D85">
              <w:rPr>
                <w:rFonts w:ascii="Verdana" w:hAnsi="Verdana"/>
                <w:b w:val="0"/>
                <w:bCs w:val="0"/>
                <w:sz w:val="18"/>
                <w:szCs w:val="18"/>
                <w:lang w:val="en-US"/>
              </w:rPr>
              <w:t xml:space="preserve">) </w:t>
            </w:r>
            <w:r w:rsidRPr="00307D85">
              <w:rPr>
                <w:rFonts w:ascii="Verdana" w:hAnsi="Verdana"/>
                <w:b w:val="0"/>
                <w:bCs w:val="0"/>
                <w:sz w:val="18"/>
                <w:szCs w:val="18"/>
                <w:lang w:val="en-US"/>
              </w:rPr>
              <w:t>will ordinarily be the date of the resolution.</w:t>
            </w:r>
          </w:p>
        </w:tc>
      </w:tr>
      <w:tr w:rsidR="00BE5D38" w:rsidRPr="00307D85" w14:paraId="04F9A09F" w14:textId="77777777" w:rsidTr="00A405B6">
        <w:tc>
          <w:tcPr>
            <w:tcW w:w="9714" w:type="dxa"/>
          </w:tcPr>
          <w:p w14:paraId="583F06ED" w14:textId="788C1F3B" w:rsidR="00BE5D38" w:rsidRPr="00307D85" w:rsidRDefault="00BE5D38" w:rsidP="00BE5D38">
            <w:pPr>
              <w:pStyle w:val="NormalWeb"/>
              <w:numPr>
                <w:ilvl w:val="0"/>
                <w:numId w:val="75"/>
              </w:numPr>
              <w:spacing w:before="0" w:beforeAutospacing="0" w:after="120" w:afterAutospacing="0"/>
              <w:ind w:left="661" w:hanging="661"/>
              <w:jc w:val="both"/>
              <w:rPr>
                <w:rFonts w:ascii="Verdana" w:hAnsi="Verdana"/>
                <w:sz w:val="18"/>
                <w:szCs w:val="18"/>
                <w:lang w:val="en-US"/>
              </w:rPr>
            </w:pPr>
            <w:r w:rsidRPr="00307D85">
              <w:rPr>
                <w:rFonts w:ascii="Verdana" w:hAnsi="Verdana"/>
                <w:b w:val="0"/>
                <w:bCs w:val="0"/>
                <w:sz w:val="18"/>
                <w:szCs w:val="18"/>
                <w:lang w:val="en-US"/>
              </w:rPr>
              <w:t xml:space="preserve">Where liquidation follows from the expiry of the compartment’s fixed term, the relevant moment is the contractual expiry date, even if the liquidation process subsequently extends over a prolonged period. </w:t>
            </w:r>
          </w:p>
        </w:tc>
      </w:tr>
      <w:tr w:rsidR="00BE5D38" w:rsidRPr="00307D85" w14:paraId="236B4E72" w14:textId="77777777" w:rsidTr="00A405B6">
        <w:tc>
          <w:tcPr>
            <w:tcW w:w="9714" w:type="dxa"/>
          </w:tcPr>
          <w:p w14:paraId="01869769" w14:textId="1DFC8148" w:rsidR="00BE5D38" w:rsidRPr="00307D85" w:rsidRDefault="00BE5D38" w:rsidP="00BE5D38">
            <w:pPr>
              <w:pStyle w:val="NormalWeb"/>
              <w:numPr>
                <w:ilvl w:val="0"/>
                <w:numId w:val="75"/>
              </w:numPr>
              <w:spacing w:before="0" w:beforeAutospacing="0" w:after="120" w:afterAutospacing="0"/>
              <w:ind w:left="661" w:hanging="661"/>
              <w:jc w:val="both"/>
              <w:rPr>
                <w:rFonts w:ascii="Verdana" w:hAnsi="Verdana"/>
                <w:sz w:val="18"/>
                <w:szCs w:val="18"/>
                <w:lang w:val="en-US"/>
              </w:rPr>
            </w:pPr>
            <w:r w:rsidRPr="00307D85">
              <w:rPr>
                <w:rFonts w:ascii="Verdana" w:hAnsi="Verdana"/>
                <w:b w:val="0"/>
                <w:bCs w:val="0"/>
                <w:sz w:val="18"/>
                <w:szCs w:val="18"/>
                <w:lang w:val="en-US"/>
              </w:rPr>
              <w:t xml:space="preserve">In the merger scenarios discussed earlier, the effective date of the merger of the last compartment into the receiving undertaking fulfils the same function: on that date, the transferor compartment is treated, for the purposes of the Product </w:t>
            </w:r>
            <w:r w:rsidRPr="00307D85">
              <w:rPr>
                <w:rFonts w:ascii="Verdana" w:hAnsi="Verdana"/>
                <w:b w:val="0"/>
                <w:bCs w:val="0"/>
                <w:sz w:val="18"/>
                <w:szCs w:val="18"/>
                <w:lang w:val="en-GB"/>
              </w:rPr>
              <w:t xml:space="preserve">Fund </w:t>
            </w:r>
            <w:r w:rsidRPr="00307D85">
              <w:rPr>
                <w:rFonts w:ascii="Verdana" w:hAnsi="Verdana"/>
                <w:b w:val="0"/>
                <w:bCs w:val="0"/>
                <w:sz w:val="18"/>
                <w:szCs w:val="18"/>
                <w:lang w:val="en-US"/>
              </w:rPr>
              <w:t xml:space="preserve">Laws, as having entered into liquidation, and the </w:t>
            </w:r>
            <w:r w:rsidRPr="00307D85">
              <w:rPr>
                <w:rFonts w:ascii="Verdana" w:hAnsi="Verdana"/>
                <w:b w:val="0"/>
                <w:bCs w:val="0"/>
                <w:sz w:val="18"/>
                <w:szCs w:val="18"/>
                <w:lang w:val="en-US"/>
              </w:rPr>
              <w:lastRenderedPageBreak/>
              <w:t xml:space="preserve">umbrella is, by the same token, deemed to be in liquidation, triggering the statutory prohibition on new issues. </w:t>
            </w:r>
          </w:p>
        </w:tc>
      </w:tr>
      <w:tr w:rsidR="00BE5D38" w:rsidRPr="00307D85" w14:paraId="67EAF524" w14:textId="77777777" w:rsidTr="00A405B6">
        <w:tc>
          <w:tcPr>
            <w:tcW w:w="9714" w:type="dxa"/>
          </w:tcPr>
          <w:p w14:paraId="31175A2B" w14:textId="75B6AE62" w:rsidR="00BE5D38" w:rsidRPr="00307D85" w:rsidRDefault="00BE5D38" w:rsidP="00BE5D38">
            <w:pPr>
              <w:pStyle w:val="NormalWeb"/>
              <w:numPr>
                <w:ilvl w:val="0"/>
                <w:numId w:val="160"/>
              </w:numPr>
              <w:spacing w:before="0" w:beforeAutospacing="0" w:after="120" w:afterAutospacing="0"/>
              <w:ind w:left="1086"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lastRenderedPageBreak/>
              <w:t>Regulated SICAVs</w:t>
            </w:r>
            <w:r w:rsidR="00E963F4">
              <w:rPr>
                <w:rFonts w:ascii="Verdana" w:hAnsi="Verdana"/>
                <w:b w:val="0"/>
                <w:bCs w:val="0"/>
                <w:i/>
                <w:iCs/>
                <w:color w:val="002060"/>
                <w:sz w:val="18"/>
                <w:szCs w:val="18"/>
                <w:lang w:val="en-GB"/>
              </w:rPr>
              <w:t>: CSSF Process and Supervisory Expectations</w:t>
            </w:r>
            <w:r w:rsidR="001B426E" w:rsidRPr="00307D85">
              <w:rPr>
                <w:rStyle w:val="FootnoteReference"/>
                <w:rFonts w:ascii="Verdana" w:hAnsi="Verdana"/>
                <w:b w:val="0"/>
                <w:bCs w:val="0"/>
                <w:i/>
                <w:iCs/>
                <w:color w:val="002060"/>
                <w:sz w:val="18"/>
                <w:szCs w:val="18"/>
                <w:lang w:val="en-GB"/>
              </w:rPr>
              <w:footnoteReference w:id="26"/>
            </w:r>
          </w:p>
        </w:tc>
      </w:tr>
      <w:tr w:rsidR="00BE5D38" w:rsidRPr="00307D85" w14:paraId="02F7C2AA" w14:textId="77777777" w:rsidTr="00A405B6">
        <w:tc>
          <w:tcPr>
            <w:tcW w:w="9714" w:type="dxa"/>
          </w:tcPr>
          <w:p w14:paraId="3BCB57E5" w14:textId="6FB27B06" w:rsidR="00BE5D38"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GB"/>
              </w:rPr>
              <w:t xml:space="preserve">Where the umbrella SICAV is subject to the prudential supervision, the </w:t>
            </w:r>
            <w:r w:rsidRPr="00307D85">
              <w:rPr>
                <w:rFonts w:ascii="Verdana" w:hAnsi="Verdana"/>
                <w:b w:val="0"/>
                <w:bCs w:val="0"/>
                <w:i/>
                <w:iCs/>
                <w:sz w:val="18"/>
                <w:szCs w:val="18"/>
                <w:lang w:val="en-GB"/>
              </w:rPr>
              <w:t>ipso jure</w:t>
            </w:r>
            <w:r w:rsidRPr="00307D85">
              <w:rPr>
                <w:rFonts w:ascii="Verdana" w:hAnsi="Verdana"/>
                <w:b w:val="0"/>
                <w:bCs w:val="0"/>
                <w:sz w:val="18"/>
                <w:szCs w:val="18"/>
                <w:lang w:val="en-GB"/>
              </w:rPr>
              <w:t xml:space="preserve"> liquidation of the umbrella triggered by the voluntary liquidation of its last remaining compartment unfolds within a structured regulatory framework involving the CSSF. Although the dissolutive effect itself arises by operation of law upon the dissolution of the final compartment, the subsequent liquidation of the </w:t>
            </w:r>
            <w:r w:rsidR="00021BA6" w:rsidRPr="00307D85">
              <w:rPr>
                <w:rFonts w:ascii="Verdana" w:hAnsi="Verdana"/>
                <w:b w:val="0"/>
                <w:bCs w:val="0"/>
                <w:sz w:val="18"/>
                <w:szCs w:val="18"/>
                <w:lang w:val="en-GB"/>
              </w:rPr>
              <w:t xml:space="preserve">last compartment and the </w:t>
            </w:r>
            <w:r w:rsidRPr="00307D85">
              <w:rPr>
                <w:rFonts w:ascii="Verdana" w:hAnsi="Verdana"/>
                <w:b w:val="0"/>
                <w:bCs w:val="0"/>
                <w:sz w:val="18"/>
                <w:szCs w:val="18"/>
                <w:lang w:val="en-GB"/>
              </w:rPr>
              <w:t>umbrella SICAV is subject to close regulatory oversight and procedural requirements specific to regulated investment funds.</w:t>
            </w:r>
            <w:r w:rsidR="001B426E" w:rsidRPr="00307D85">
              <w:rPr>
                <w:rStyle w:val="FootnoteReference"/>
                <w:rFonts w:ascii="Verdana" w:hAnsi="Verdana"/>
                <w:b w:val="0"/>
                <w:bCs w:val="0"/>
                <w:color w:val="000000"/>
                <w:sz w:val="18"/>
                <w:szCs w:val="18"/>
                <w:lang w:val="en-GB"/>
              </w:rPr>
              <w:footnoteReference w:id="27"/>
            </w:r>
          </w:p>
        </w:tc>
      </w:tr>
      <w:tr w:rsidR="00BE5D38" w:rsidRPr="00307D85" w14:paraId="1D2A5414" w14:textId="77777777" w:rsidTr="00A405B6">
        <w:tc>
          <w:tcPr>
            <w:tcW w:w="9714" w:type="dxa"/>
          </w:tcPr>
          <w:p w14:paraId="75F39865" w14:textId="3A8D2A1A" w:rsidR="00BE5D38"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In the context of a voluntary liquidation of the last remaining compartment, CSSF involvement typically begins at a pre-liquidation stage. Prior to the formal decision to place the compartment into liquidation, the management body of the SICAV (or, where applicable, the management company) is expected to identify a prospective liquidator and to conduct appropriate due diligence as to the liquidator’s independence, expertise and operational capacity. The proposed liquidator must be submitted to the CSSF for approval, and such approval must be obtained before the liquidation decision becomes effective and before the liquidator may assume his or her mandate.</w:t>
            </w:r>
          </w:p>
        </w:tc>
      </w:tr>
      <w:tr w:rsidR="00BE5D38" w:rsidRPr="00307D85" w14:paraId="1B73F00E" w14:textId="77777777" w:rsidTr="00A405B6">
        <w:tc>
          <w:tcPr>
            <w:tcW w:w="9714" w:type="dxa"/>
          </w:tcPr>
          <w:p w14:paraId="7BE8578E" w14:textId="4389A740" w:rsidR="00BE5D38"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Once the liquidation of the last compartment is validly initiated</w:t>
            </w:r>
            <w:r w:rsidR="00021BA6" w:rsidRPr="00307D85">
              <w:rPr>
                <w:rFonts w:ascii="Verdana" w:hAnsi="Verdana"/>
                <w:b w:val="0"/>
                <w:bCs w:val="0"/>
                <w:sz w:val="18"/>
                <w:szCs w:val="18"/>
                <w:lang w:val="en-US"/>
              </w:rPr>
              <w:t xml:space="preserve"> – </w:t>
            </w:r>
            <w:r w:rsidRPr="00307D85">
              <w:rPr>
                <w:rFonts w:ascii="Verdana" w:hAnsi="Verdana"/>
                <w:b w:val="0"/>
                <w:bCs w:val="0"/>
                <w:sz w:val="18"/>
                <w:szCs w:val="18"/>
                <w:lang w:val="en-US"/>
              </w:rPr>
              <w:t>whether by shareholders’ resolution, expiry of term, or another statutory trigger</w:t>
            </w:r>
            <w:r w:rsidR="001B426E" w:rsidRPr="00307D85">
              <w:rPr>
                <w:rFonts w:ascii="Verdana" w:hAnsi="Verdana"/>
                <w:b w:val="0"/>
                <w:bCs w:val="0"/>
                <w:sz w:val="18"/>
                <w:szCs w:val="18"/>
                <w:lang w:val="en-US"/>
              </w:rPr>
              <w:t xml:space="preserve"> – </w:t>
            </w:r>
            <w:r w:rsidRPr="00307D85">
              <w:rPr>
                <w:rFonts w:ascii="Verdana" w:hAnsi="Verdana"/>
                <w:b w:val="0"/>
                <w:bCs w:val="0"/>
                <w:sz w:val="18"/>
                <w:szCs w:val="18"/>
                <w:lang w:val="en-US"/>
              </w:rPr>
              <w:t>the umbrella SICAV is deemed to be dissolved</w:t>
            </w:r>
            <w:r w:rsidR="001B426E" w:rsidRPr="00307D85">
              <w:rPr>
                <w:rFonts w:ascii="Verdana" w:hAnsi="Verdana"/>
                <w:b w:val="0"/>
                <w:bCs w:val="0"/>
                <w:sz w:val="18"/>
                <w:szCs w:val="18"/>
                <w:lang w:val="en-US"/>
              </w:rPr>
              <w:t xml:space="preserve">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From that point onward, the umbrella SICAV continues to exist solely for the purposes of its liquidation, and the CSSF will proceed with the deregistration of the SICAV from the relevant list of authorised funds. That deregistration, however, does not terminate CSSF supervision. On the contrary, the SICAV and its liquidator remain subject to CSSF oversight throughout the liquidation process and, to a limited extent, beyond its formal closure.</w:t>
            </w:r>
          </w:p>
        </w:tc>
      </w:tr>
      <w:tr w:rsidR="00A14627" w:rsidRPr="00307D85" w14:paraId="12EB48C2" w14:textId="77777777" w:rsidTr="00A405B6">
        <w:tc>
          <w:tcPr>
            <w:tcW w:w="9714" w:type="dxa"/>
          </w:tcPr>
          <w:p w14:paraId="31DD53F9" w14:textId="46C161E8" w:rsidR="00A14627" w:rsidRPr="00307D85" w:rsidRDefault="0059701A"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As explained under point </w:t>
            </w:r>
            <w:r w:rsidRPr="00307D85">
              <w:rPr>
                <w:rFonts w:ascii="Verdana" w:hAnsi="Verdana"/>
                <w:color w:val="002060"/>
                <w:sz w:val="18"/>
                <w:szCs w:val="18"/>
                <w:lang w:val="en-US"/>
              </w:rPr>
              <w:t>(45)</w:t>
            </w:r>
            <w:r w:rsidRPr="00307D85">
              <w:rPr>
                <w:rFonts w:ascii="Verdana" w:hAnsi="Verdana"/>
                <w:b w:val="0"/>
                <w:bCs w:val="0"/>
                <w:sz w:val="18"/>
                <w:szCs w:val="18"/>
                <w:lang w:val="en-US"/>
              </w:rPr>
              <w:t>, d</w:t>
            </w:r>
            <w:r w:rsidR="00A14627" w:rsidRPr="00307D85">
              <w:rPr>
                <w:rFonts w:ascii="Verdana" w:hAnsi="Verdana"/>
                <w:b w:val="0"/>
                <w:bCs w:val="0"/>
                <w:sz w:val="18"/>
                <w:szCs w:val="18"/>
                <w:lang w:val="en-US"/>
              </w:rPr>
              <w:t>uring the liquidation phase, the liquidator assumes full responsibility for the realisation of assets, the identification and settlement of liabilities and contingencies, and the protection of investors’ interests. The CSSF expects prompt and comprehensive cooperation between the former governing bodies of the SICAV and the liquidator, including the orderly handover of all corporate, accounting and contractual documentation necessary for the performance of the liquidation mandate. Compliance issues identified during the liquidation must be addressed by the liquidator and duly reported to the CSSF.</w:t>
            </w:r>
          </w:p>
        </w:tc>
      </w:tr>
      <w:tr w:rsidR="00A14627" w:rsidRPr="00307D85" w14:paraId="73F55602" w14:textId="77777777" w:rsidTr="00A405B6">
        <w:tc>
          <w:tcPr>
            <w:tcW w:w="9714" w:type="dxa"/>
          </w:tcPr>
          <w:p w14:paraId="6752F106" w14:textId="47A4C6E1" w:rsidR="00A14627"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From an operational standpoint, the CSSF requires the establishment of a structured liquidation project management framework, aimed at ensuring both the timely progression of the liquidation and the containment of costs ultimately borne by investors. Where the liquidation cannot be closed within </w:t>
            </w:r>
            <w:r w:rsidR="0059701A" w:rsidRPr="00307D85">
              <w:rPr>
                <w:rFonts w:ascii="Verdana" w:hAnsi="Verdana"/>
                <w:b w:val="0"/>
                <w:bCs w:val="0"/>
                <w:sz w:val="18"/>
                <w:szCs w:val="18"/>
                <w:lang w:val="en-US"/>
              </w:rPr>
              <w:t>9-12</w:t>
            </w:r>
            <w:r w:rsidRPr="00307D85">
              <w:rPr>
                <w:rFonts w:ascii="Verdana" w:hAnsi="Verdana"/>
                <w:b w:val="0"/>
                <w:bCs w:val="0"/>
                <w:sz w:val="18"/>
                <w:szCs w:val="18"/>
                <w:lang w:val="en-US"/>
              </w:rPr>
              <w:t xml:space="preserve"> months, the liquidator must submit a reasoned written request to the CSSF seeking an extension of the liquidation period, following which the CSSF will issue a non-objection letter if satisfied with the justification provided.</w:t>
            </w:r>
          </w:p>
        </w:tc>
      </w:tr>
      <w:tr w:rsidR="00A14627" w:rsidRPr="00307D85" w14:paraId="3C0759AE" w14:textId="77777777" w:rsidTr="00A405B6">
        <w:tc>
          <w:tcPr>
            <w:tcW w:w="9714" w:type="dxa"/>
          </w:tcPr>
          <w:p w14:paraId="25F17AF9" w14:textId="41512341" w:rsidR="00A14627"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Regulated SICAVs in liquidation are subject to extensive financial and non-financial reporting obligations. These include, in particular:</w:t>
            </w:r>
            <w:r w:rsidR="0059701A" w:rsidRPr="00307D85">
              <w:rPr>
                <w:rFonts w:ascii="Verdana" w:hAnsi="Verdana"/>
                <w:b w:val="0"/>
                <w:bCs w:val="0"/>
                <w:sz w:val="18"/>
                <w:szCs w:val="18"/>
                <w:lang w:val="en-US"/>
              </w:rPr>
              <w:t xml:space="preserve"> </w:t>
            </w:r>
            <w:r w:rsidRPr="00307D85">
              <w:rPr>
                <w:rFonts w:ascii="Verdana" w:hAnsi="Verdana"/>
                <w:b w:val="0"/>
                <w:bCs w:val="0"/>
                <w:sz w:val="18"/>
                <w:szCs w:val="18"/>
                <w:lang w:val="en-US"/>
              </w:rPr>
              <w:t>(</w:t>
            </w:r>
            <w:proofErr w:type="spellStart"/>
            <w:r w:rsidRPr="00307D85">
              <w:rPr>
                <w:rFonts w:ascii="Verdana" w:hAnsi="Verdana"/>
                <w:b w:val="0"/>
                <w:bCs w:val="0"/>
                <w:sz w:val="18"/>
                <w:szCs w:val="18"/>
                <w:lang w:val="en-US"/>
              </w:rPr>
              <w:t>i</w:t>
            </w:r>
            <w:proofErr w:type="spellEnd"/>
            <w:r w:rsidRPr="00307D85">
              <w:rPr>
                <w:rFonts w:ascii="Verdana" w:hAnsi="Verdana"/>
                <w:b w:val="0"/>
                <w:bCs w:val="0"/>
                <w:sz w:val="18"/>
                <w:szCs w:val="18"/>
                <w:lang w:val="en-US"/>
              </w:rPr>
              <w:t>) the preparation and audit of opening liquidation accounts as at the date of dissolution;</w:t>
            </w:r>
            <w:r w:rsidR="0059701A" w:rsidRPr="00307D85">
              <w:rPr>
                <w:rFonts w:ascii="Verdana" w:hAnsi="Verdana"/>
                <w:b w:val="0"/>
                <w:bCs w:val="0"/>
                <w:sz w:val="18"/>
                <w:szCs w:val="18"/>
                <w:lang w:val="en-US"/>
              </w:rPr>
              <w:t xml:space="preserve"> </w:t>
            </w:r>
            <w:r w:rsidRPr="00307D85">
              <w:rPr>
                <w:rFonts w:ascii="Verdana" w:hAnsi="Verdana"/>
                <w:b w:val="0"/>
                <w:bCs w:val="0"/>
                <w:sz w:val="18"/>
                <w:szCs w:val="18"/>
                <w:lang w:val="en-US"/>
              </w:rPr>
              <w:t>(ii) the preparation of interim liquidation accounts and liquidator’s reports for each liquidation year; and</w:t>
            </w:r>
            <w:r w:rsidR="0059701A" w:rsidRPr="00307D85">
              <w:rPr>
                <w:rFonts w:ascii="Verdana" w:hAnsi="Verdana"/>
                <w:b w:val="0"/>
                <w:bCs w:val="0"/>
                <w:sz w:val="18"/>
                <w:szCs w:val="18"/>
                <w:lang w:val="en-US"/>
              </w:rPr>
              <w:t xml:space="preserve"> </w:t>
            </w:r>
            <w:r w:rsidRPr="00307D85">
              <w:rPr>
                <w:rFonts w:ascii="Verdana" w:hAnsi="Verdana"/>
                <w:b w:val="0"/>
                <w:bCs w:val="0"/>
                <w:sz w:val="18"/>
                <w:szCs w:val="18"/>
                <w:lang w:val="en-US"/>
              </w:rPr>
              <w:t xml:space="preserve">(iii) the preparation of final liquidation accounts and a final report, to be audited by a </w:t>
            </w:r>
            <w:r w:rsidRPr="00307D85">
              <w:rPr>
                <w:rFonts w:ascii="Verdana" w:hAnsi="Verdana"/>
                <w:b w:val="0"/>
                <w:bCs w:val="0"/>
                <w:i/>
                <w:iCs/>
                <w:sz w:val="18"/>
                <w:szCs w:val="18"/>
                <w:lang w:val="en-US"/>
              </w:rPr>
              <w:t>réviseur d’entreprises agréé</w:t>
            </w:r>
            <w:r w:rsidRPr="00307D85">
              <w:rPr>
                <w:rFonts w:ascii="Verdana" w:hAnsi="Verdana"/>
                <w:b w:val="0"/>
                <w:bCs w:val="0"/>
                <w:sz w:val="18"/>
                <w:szCs w:val="18"/>
                <w:lang w:val="en-US"/>
              </w:rPr>
              <w:t>, prior to the closure of the liquidation.</w:t>
            </w:r>
            <w:r w:rsidR="0059701A" w:rsidRPr="00307D85">
              <w:rPr>
                <w:rFonts w:ascii="Verdana" w:hAnsi="Verdana"/>
                <w:b w:val="0"/>
                <w:bCs w:val="0"/>
                <w:sz w:val="18"/>
                <w:szCs w:val="18"/>
                <w:lang w:val="en-US"/>
              </w:rPr>
              <w:t xml:space="preserve"> </w:t>
            </w:r>
            <w:r w:rsidRPr="00307D85">
              <w:rPr>
                <w:rFonts w:ascii="Verdana" w:hAnsi="Verdana"/>
                <w:b w:val="0"/>
                <w:bCs w:val="0"/>
                <w:sz w:val="18"/>
                <w:szCs w:val="18"/>
                <w:lang w:val="en-US"/>
              </w:rPr>
              <w:t>In parallel, the liquidator must submit periodic progress reports to the CSSF</w:t>
            </w:r>
            <w:r w:rsidR="0059701A" w:rsidRPr="00307D85">
              <w:rPr>
                <w:rFonts w:ascii="Verdana" w:hAnsi="Verdana"/>
                <w:b w:val="0"/>
                <w:bCs w:val="0"/>
                <w:sz w:val="18"/>
                <w:szCs w:val="18"/>
                <w:lang w:val="en-US"/>
              </w:rPr>
              <w:t xml:space="preserve"> – </w:t>
            </w:r>
            <w:r w:rsidRPr="00307D85">
              <w:rPr>
                <w:rFonts w:ascii="Verdana" w:hAnsi="Verdana"/>
                <w:b w:val="0"/>
                <w:bCs w:val="0"/>
                <w:sz w:val="18"/>
                <w:szCs w:val="18"/>
                <w:lang w:val="en-US"/>
              </w:rPr>
              <w:t>typically on a quarterly basis</w:t>
            </w:r>
            <w:r w:rsidR="0059701A" w:rsidRPr="00307D85">
              <w:rPr>
                <w:rFonts w:ascii="Verdana" w:hAnsi="Verdana"/>
                <w:b w:val="0"/>
                <w:bCs w:val="0"/>
                <w:sz w:val="18"/>
                <w:szCs w:val="18"/>
                <w:lang w:val="en-US"/>
              </w:rPr>
              <w:t xml:space="preserve"> – </w:t>
            </w:r>
            <w:r w:rsidRPr="00307D85">
              <w:rPr>
                <w:rFonts w:ascii="Verdana" w:hAnsi="Verdana"/>
                <w:b w:val="0"/>
                <w:bCs w:val="0"/>
                <w:sz w:val="18"/>
                <w:szCs w:val="18"/>
                <w:lang w:val="en-US"/>
              </w:rPr>
              <w:t>detailing the state of advancement of the liquidation and any factors delaying its completion.</w:t>
            </w:r>
          </w:p>
        </w:tc>
      </w:tr>
      <w:tr w:rsidR="00A14627" w:rsidRPr="00307D85" w14:paraId="341A270F" w14:textId="77777777" w:rsidTr="00A405B6">
        <w:tc>
          <w:tcPr>
            <w:tcW w:w="9714" w:type="dxa"/>
          </w:tcPr>
          <w:p w14:paraId="01083D09" w14:textId="2682A3C7" w:rsidR="00A14627" w:rsidRPr="00307D85" w:rsidRDefault="0059701A"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In passing, one should note that p</w:t>
            </w:r>
            <w:r w:rsidR="00A14627" w:rsidRPr="00307D85">
              <w:rPr>
                <w:rFonts w:ascii="Verdana" w:hAnsi="Verdana"/>
                <w:b w:val="0"/>
                <w:bCs w:val="0"/>
                <w:sz w:val="18"/>
                <w:szCs w:val="18"/>
                <w:lang w:val="en-US"/>
              </w:rPr>
              <w:t xml:space="preserve">articular attention is paid by the CSSF to AML/KYC compliance throughout the liquidation process. The liquidator is expected to verify the AML/KYC status of the register of investors at an early stage and to ensure that any distributions, including advance liquidation proceeds, are made only to compliant accounts. Where investors cannot be identified or remain non-compliant, the liquidator must implement appropriate remediation measures and, </w:t>
            </w:r>
            <w:r w:rsidR="00A14627" w:rsidRPr="00307D85">
              <w:rPr>
                <w:rFonts w:ascii="Verdana" w:hAnsi="Verdana"/>
                <w:b w:val="0"/>
                <w:bCs w:val="0"/>
                <w:sz w:val="18"/>
                <w:szCs w:val="18"/>
                <w:lang w:val="en-US"/>
              </w:rPr>
              <w:lastRenderedPageBreak/>
              <w:t xml:space="preserve">if necessary, consign undistributed amounts with the </w:t>
            </w:r>
            <w:r w:rsidR="00A14627" w:rsidRPr="00307D85">
              <w:rPr>
                <w:rFonts w:ascii="Verdana" w:hAnsi="Verdana"/>
                <w:b w:val="0"/>
                <w:bCs w:val="0"/>
                <w:i/>
                <w:iCs/>
                <w:sz w:val="18"/>
                <w:szCs w:val="18"/>
                <w:lang w:val="en-US"/>
              </w:rPr>
              <w:t>Caisse de consignation</w:t>
            </w:r>
            <w:r w:rsidR="00A14627" w:rsidRPr="00307D85">
              <w:rPr>
                <w:rFonts w:ascii="Verdana" w:hAnsi="Verdana"/>
                <w:b w:val="0"/>
                <w:bCs w:val="0"/>
                <w:sz w:val="18"/>
                <w:szCs w:val="18"/>
                <w:lang w:val="en-US"/>
              </w:rPr>
              <w:t xml:space="preserve"> in accordance with applicable law.</w:t>
            </w:r>
            <w:r w:rsidRPr="00307D85">
              <w:rPr>
                <w:rStyle w:val="FootnoteReference"/>
                <w:rFonts w:ascii="Verdana" w:hAnsi="Verdana"/>
                <w:b w:val="0"/>
                <w:bCs w:val="0"/>
                <w:color w:val="000000"/>
                <w:sz w:val="18"/>
                <w:szCs w:val="18"/>
                <w:lang w:val="en-GB"/>
              </w:rPr>
              <w:footnoteReference w:id="28"/>
            </w:r>
          </w:p>
        </w:tc>
      </w:tr>
      <w:tr w:rsidR="00A14627" w:rsidRPr="00307D85" w14:paraId="7EAEBBC4" w14:textId="77777777" w:rsidTr="00A405B6">
        <w:tc>
          <w:tcPr>
            <w:tcW w:w="9714" w:type="dxa"/>
          </w:tcPr>
          <w:p w14:paraId="6A594B68" w14:textId="6CF9D111" w:rsidR="00A14627"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lastRenderedPageBreak/>
              <w:t>The closure of the liquidation of the umbrella SICAV requires confirmation to the CSSF that all assets have been realised, all known liabilities settled or adequately provided for, all bank accounts closed, and any residual cash distributed or consigned. Only upon completion of these steps does CSSF supervision formally cease. For a period following the publication of the closure of the liquidation, creditors who were not paid may, under general Luxembourg law, still assert claims against the liquidator, reinforcing the importance of a cautious and well-documented liquidation process.</w:t>
            </w:r>
            <w:r w:rsidR="001C537D" w:rsidRPr="00307D85">
              <w:rPr>
                <w:rStyle w:val="FootnoteReference"/>
                <w:rFonts w:ascii="Verdana" w:hAnsi="Verdana"/>
                <w:b w:val="0"/>
                <w:bCs w:val="0"/>
                <w:color w:val="000000"/>
                <w:sz w:val="18"/>
                <w:szCs w:val="18"/>
                <w:lang w:val="en-GB"/>
              </w:rPr>
              <w:footnoteReference w:id="29"/>
            </w:r>
            <w:r w:rsidR="001C537D" w:rsidRPr="00307D85">
              <w:rPr>
                <w:rFonts w:ascii="Verdana" w:hAnsi="Verdana"/>
                <w:sz w:val="16"/>
                <w:szCs w:val="16"/>
                <w:lang w:val="en-GB"/>
              </w:rPr>
              <w:t xml:space="preserve"> </w:t>
            </w:r>
          </w:p>
        </w:tc>
      </w:tr>
      <w:tr w:rsidR="00A14627" w:rsidRPr="00307D85" w14:paraId="6ADD0E09" w14:textId="77777777" w:rsidTr="00A405B6">
        <w:tc>
          <w:tcPr>
            <w:tcW w:w="9714" w:type="dxa"/>
          </w:tcPr>
          <w:p w14:paraId="0217EC9E" w14:textId="26163162" w:rsidR="00A14627" w:rsidRPr="00307D85" w:rsidRDefault="00A14627" w:rsidP="00BE5D38">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In the specific context of umbrella SICAVs, the regulatory framework thus illustrates a clear conceptual distinction between the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xml:space="preserve"> dissolution of the umbrella</w:t>
            </w:r>
            <w:r w:rsidR="001C537D" w:rsidRPr="00307D85">
              <w:rPr>
                <w:rFonts w:ascii="Verdana" w:hAnsi="Verdana"/>
                <w:b w:val="0"/>
                <w:bCs w:val="0"/>
                <w:sz w:val="18"/>
                <w:szCs w:val="18"/>
                <w:lang w:val="en-US"/>
              </w:rPr>
              <w:t xml:space="preserve"> – </w:t>
            </w:r>
            <w:r w:rsidRPr="00307D85">
              <w:rPr>
                <w:rFonts w:ascii="Verdana" w:hAnsi="Verdana"/>
                <w:b w:val="0"/>
                <w:bCs w:val="0"/>
                <w:sz w:val="18"/>
                <w:szCs w:val="18"/>
                <w:lang w:val="en-US"/>
              </w:rPr>
              <w:t>triggered automatically by the dissolution of its last compartment</w:t>
            </w:r>
            <w:r w:rsidR="001C537D" w:rsidRPr="00307D85">
              <w:rPr>
                <w:rFonts w:ascii="Verdana" w:hAnsi="Verdana"/>
                <w:b w:val="0"/>
                <w:bCs w:val="0"/>
                <w:sz w:val="18"/>
                <w:szCs w:val="18"/>
                <w:lang w:val="en-US"/>
              </w:rPr>
              <w:t xml:space="preserve"> – </w:t>
            </w:r>
            <w:r w:rsidRPr="00307D85">
              <w:rPr>
                <w:rFonts w:ascii="Verdana" w:hAnsi="Verdana"/>
                <w:b w:val="0"/>
                <w:bCs w:val="0"/>
                <w:sz w:val="18"/>
                <w:szCs w:val="18"/>
                <w:lang w:val="en-US"/>
              </w:rPr>
              <w:t>and the regulated liquidation process that follows. While the former is immediate and self-executing under the Product Fund Laws, the latter is a structured, closely supervised procedure designed to safeguard investor protection, market integrity and regulatory compliance.</w:t>
            </w:r>
          </w:p>
        </w:tc>
      </w:tr>
      <w:tr w:rsidR="00E53863" w:rsidRPr="00307D85" w14:paraId="3588D6B9" w14:textId="77777777" w:rsidTr="00A405B6">
        <w:tc>
          <w:tcPr>
            <w:tcW w:w="9714" w:type="dxa"/>
          </w:tcPr>
          <w:p w14:paraId="4A262C93" w14:textId="5DC112EF" w:rsidR="00E53863" w:rsidRPr="00307D85" w:rsidRDefault="00E53863" w:rsidP="00E53863">
            <w:pPr>
              <w:pStyle w:val="NormalWeb"/>
              <w:numPr>
                <w:ilvl w:val="0"/>
                <w:numId w:val="159"/>
              </w:numPr>
              <w:spacing w:before="0" w:beforeAutospacing="0" w:after="120" w:afterAutospacing="0"/>
              <w:ind w:left="661" w:hanging="425"/>
              <w:jc w:val="both"/>
              <w:rPr>
                <w:rFonts w:ascii="Verdana" w:hAnsi="Verdana"/>
                <w:b w:val="0"/>
                <w:bCs w:val="0"/>
                <w:i/>
                <w:iCs/>
                <w:color w:val="002060"/>
                <w:sz w:val="18"/>
                <w:szCs w:val="18"/>
                <w:lang w:val="en-GB"/>
              </w:rPr>
            </w:pPr>
            <w:r w:rsidRPr="00307D85">
              <w:rPr>
                <w:rFonts w:ascii="Verdana" w:hAnsi="Verdana"/>
                <w:b w:val="0"/>
                <w:bCs w:val="0"/>
                <w:i/>
                <w:iCs/>
                <w:color w:val="002060"/>
                <w:sz w:val="18"/>
                <w:szCs w:val="18"/>
                <w:lang w:val="en-GB"/>
              </w:rPr>
              <w:t xml:space="preserve">Ipso Jure </w:t>
            </w:r>
            <w:r w:rsidR="00E963F4">
              <w:rPr>
                <w:rFonts w:ascii="Verdana" w:hAnsi="Verdana"/>
                <w:b w:val="0"/>
                <w:bCs w:val="0"/>
                <w:i/>
                <w:iCs/>
                <w:color w:val="002060"/>
                <w:sz w:val="18"/>
                <w:szCs w:val="18"/>
                <w:lang w:val="en-GB"/>
              </w:rPr>
              <w:t>Liquidation</w:t>
            </w:r>
            <w:r w:rsidRPr="00307D85">
              <w:rPr>
                <w:rFonts w:ascii="Verdana" w:hAnsi="Verdana"/>
                <w:b w:val="0"/>
                <w:bCs w:val="0"/>
                <w:i/>
                <w:iCs/>
                <w:color w:val="002060"/>
                <w:sz w:val="18"/>
                <w:szCs w:val="18"/>
                <w:lang w:val="en-GB"/>
              </w:rPr>
              <w:t xml:space="preserve"> of FCPs </w:t>
            </w:r>
            <w:r w:rsidR="00E963F4">
              <w:rPr>
                <w:rFonts w:ascii="Verdana" w:hAnsi="Verdana"/>
                <w:b w:val="0"/>
                <w:bCs w:val="0"/>
                <w:i/>
                <w:iCs/>
                <w:color w:val="002060"/>
                <w:sz w:val="18"/>
                <w:szCs w:val="18"/>
                <w:lang w:val="en-GB"/>
              </w:rPr>
              <w:t>(</w:t>
            </w:r>
            <w:r w:rsidRPr="00307D85">
              <w:rPr>
                <w:rFonts w:ascii="Verdana" w:hAnsi="Verdana"/>
                <w:b w:val="0"/>
                <w:bCs w:val="0"/>
                <w:i/>
                <w:iCs/>
                <w:color w:val="002060"/>
                <w:sz w:val="18"/>
                <w:szCs w:val="18"/>
                <w:lang w:val="en-GB"/>
              </w:rPr>
              <w:t>Including Umbrella FCPs</w:t>
            </w:r>
            <w:r w:rsidR="00E963F4">
              <w:rPr>
                <w:rFonts w:ascii="Verdana" w:hAnsi="Verdana"/>
                <w:b w:val="0"/>
                <w:bCs w:val="0"/>
                <w:i/>
                <w:iCs/>
                <w:color w:val="002060"/>
                <w:sz w:val="18"/>
                <w:szCs w:val="18"/>
                <w:lang w:val="en-GB"/>
              </w:rPr>
              <w:t>)</w:t>
            </w:r>
          </w:p>
        </w:tc>
      </w:tr>
      <w:tr w:rsidR="00BA1499" w:rsidRPr="00307D85" w14:paraId="36F50C11" w14:textId="77777777" w:rsidTr="00A405B6">
        <w:tc>
          <w:tcPr>
            <w:tcW w:w="9714" w:type="dxa"/>
          </w:tcPr>
          <w:p w14:paraId="5DA25072" w14:textId="3ED96C47" w:rsidR="00BA1499" w:rsidRPr="00307D85" w:rsidRDefault="00E53863" w:rsidP="00E53863">
            <w:pPr>
              <w:pStyle w:val="NormalWeb"/>
              <w:numPr>
                <w:ilvl w:val="0"/>
                <w:numId w:val="165"/>
              </w:numPr>
              <w:spacing w:before="0" w:beforeAutospacing="0" w:after="120" w:afterAutospacing="0"/>
              <w:jc w:val="both"/>
              <w:rPr>
                <w:rFonts w:ascii="Verdana" w:hAnsi="Verdana"/>
                <w:b w:val="0"/>
                <w:bCs w:val="0"/>
                <w:color w:val="002060"/>
                <w:sz w:val="18"/>
                <w:szCs w:val="18"/>
                <w:lang w:val="en-GB"/>
              </w:rPr>
            </w:pPr>
            <w:r w:rsidRPr="00307D85">
              <w:rPr>
                <w:rFonts w:ascii="Verdana" w:hAnsi="Verdana"/>
                <w:b w:val="0"/>
                <w:bCs w:val="0"/>
                <w:color w:val="002060"/>
                <w:sz w:val="18"/>
                <w:szCs w:val="18"/>
                <w:lang w:val="en-GB"/>
              </w:rPr>
              <w:t>Conceptual Fram</w:t>
            </w:r>
            <w:r w:rsidR="00E963F4">
              <w:rPr>
                <w:rFonts w:ascii="Verdana" w:hAnsi="Verdana"/>
                <w:b w:val="0"/>
                <w:bCs w:val="0"/>
                <w:color w:val="002060"/>
                <w:sz w:val="18"/>
                <w:szCs w:val="18"/>
                <w:lang w:val="en-GB"/>
              </w:rPr>
              <w:t>ework</w:t>
            </w:r>
            <w:r w:rsidRPr="00307D85">
              <w:rPr>
                <w:rFonts w:ascii="Verdana" w:hAnsi="Verdana"/>
                <w:b w:val="0"/>
                <w:bCs w:val="0"/>
                <w:color w:val="002060"/>
                <w:sz w:val="18"/>
                <w:szCs w:val="18"/>
                <w:lang w:val="en-GB"/>
              </w:rPr>
              <w:t xml:space="preserve">: Liquidation </w:t>
            </w:r>
            <w:r w:rsidR="00E963F4">
              <w:rPr>
                <w:rFonts w:ascii="Verdana" w:hAnsi="Verdana"/>
                <w:b w:val="0"/>
                <w:bCs w:val="0"/>
                <w:color w:val="002060"/>
                <w:sz w:val="18"/>
                <w:szCs w:val="18"/>
                <w:lang w:val="en-GB"/>
              </w:rPr>
              <w:t>Without Legal Personality</w:t>
            </w:r>
          </w:p>
        </w:tc>
      </w:tr>
      <w:tr w:rsidR="00BA1499" w:rsidRPr="00307D85" w14:paraId="72ED928A" w14:textId="77777777" w:rsidTr="00A405B6">
        <w:tc>
          <w:tcPr>
            <w:tcW w:w="9714" w:type="dxa"/>
          </w:tcPr>
          <w:p w14:paraId="3C2BAF37" w14:textId="2A84E251" w:rsidR="00BA1499"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US"/>
              </w:rPr>
              <w:t xml:space="preserve">The analysis of </w:t>
            </w:r>
            <w:r w:rsidRPr="00307D85">
              <w:rPr>
                <w:rFonts w:ascii="Verdana" w:hAnsi="Verdana"/>
                <w:b w:val="0"/>
                <w:bCs w:val="0"/>
                <w:i/>
                <w:iCs/>
                <w:sz w:val="18"/>
                <w:szCs w:val="18"/>
                <w:lang w:val="en-US"/>
              </w:rPr>
              <w:t xml:space="preserve">ipso jure </w:t>
            </w:r>
            <w:r w:rsidRPr="00307D85">
              <w:rPr>
                <w:rFonts w:ascii="Verdana" w:hAnsi="Verdana"/>
                <w:b w:val="0"/>
                <w:bCs w:val="0"/>
                <w:sz w:val="18"/>
                <w:szCs w:val="18"/>
                <w:lang w:val="en-US"/>
              </w:rPr>
              <w:t>events must be reframed where the fund is organised as an FCP. Unlike SICAVs and other corporate-type funds, an FCP has no legal personality and is not subject to the Company Act 1915. It is a contractual fund constituted by management regulations and represented externally by its management company, with the depositary performing a core safeguarding function. The relevant “termination event” is therefore not, strictly speaking, a dissolution of a legal person, but an automatic transition into liquidation within the statutory and contractual framework governing the FCP.</w:t>
            </w:r>
          </w:p>
        </w:tc>
      </w:tr>
      <w:tr w:rsidR="00E53863" w:rsidRPr="00307D85" w14:paraId="12F06D56" w14:textId="77777777" w:rsidTr="00A405B6">
        <w:tc>
          <w:tcPr>
            <w:tcW w:w="9714" w:type="dxa"/>
          </w:tcPr>
          <w:p w14:paraId="5E69911A" w14:textId="6C41B2AB" w:rsidR="00E53863"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GB"/>
              </w:rPr>
            </w:pPr>
            <w:r w:rsidRPr="00307D85">
              <w:rPr>
                <w:rFonts w:ascii="Verdana" w:hAnsi="Verdana"/>
                <w:b w:val="0"/>
                <w:bCs w:val="0"/>
                <w:sz w:val="18"/>
                <w:szCs w:val="18"/>
                <w:lang w:val="en-US"/>
              </w:rPr>
              <w:t xml:space="preserve">In this setting, the term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xml:space="preserve"> captures a functional equivalent: the liquidation is triggered without any discretionary or constitutive decision, because the event and its consequence are predetermined by the management regulations and/or by the applicable Product Fund Law. In other words, an FCP may enter liquidation automatically because the constitutive contractual framework has already pre-defined that outcome for the relevant factual contingency.</w:t>
            </w:r>
          </w:p>
        </w:tc>
      </w:tr>
      <w:tr w:rsidR="00BA1499" w:rsidRPr="00307D85" w14:paraId="051CB130" w14:textId="77777777" w:rsidTr="00A405B6">
        <w:tc>
          <w:tcPr>
            <w:tcW w:w="9714" w:type="dxa"/>
          </w:tcPr>
          <w:p w14:paraId="1F1BB5DD" w14:textId="292E9C06" w:rsidR="00BA1499" w:rsidRPr="00307D85" w:rsidRDefault="00E53863" w:rsidP="00E53863">
            <w:pPr>
              <w:pStyle w:val="NormalWeb"/>
              <w:numPr>
                <w:ilvl w:val="0"/>
                <w:numId w:val="165"/>
              </w:numPr>
              <w:spacing w:before="0" w:beforeAutospacing="0" w:after="120" w:afterAutospacing="0"/>
              <w:jc w:val="both"/>
              <w:rPr>
                <w:rFonts w:ascii="Verdana" w:hAnsi="Verdana"/>
                <w:b w:val="0"/>
                <w:bCs w:val="0"/>
                <w:color w:val="002060"/>
                <w:sz w:val="18"/>
                <w:szCs w:val="18"/>
                <w:lang w:val="en-GB"/>
              </w:rPr>
            </w:pPr>
            <w:r w:rsidRPr="00307D85">
              <w:rPr>
                <w:rFonts w:ascii="Verdana" w:hAnsi="Verdana"/>
                <w:b w:val="0"/>
                <w:bCs w:val="0"/>
                <w:i/>
                <w:iCs/>
                <w:color w:val="002060"/>
                <w:sz w:val="18"/>
                <w:szCs w:val="18"/>
                <w:lang w:val="en-GB"/>
              </w:rPr>
              <w:t>Ipso jure</w:t>
            </w:r>
            <w:r w:rsidRPr="00307D85">
              <w:rPr>
                <w:rFonts w:ascii="Verdana" w:hAnsi="Verdana"/>
                <w:b w:val="0"/>
                <w:bCs w:val="0"/>
                <w:color w:val="002060"/>
                <w:sz w:val="18"/>
                <w:szCs w:val="18"/>
                <w:lang w:val="en-GB"/>
              </w:rPr>
              <w:t xml:space="preserve"> </w:t>
            </w:r>
            <w:r w:rsidR="00E963F4">
              <w:rPr>
                <w:rFonts w:ascii="Verdana" w:hAnsi="Verdana"/>
                <w:b w:val="0"/>
                <w:bCs w:val="0"/>
                <w:color w:val="002060"/>
                <w:sz w:val="18"/>
                <w:szCs w:val="18"/>
                <w:lang w:val="en-GB"/>
              </w:rPr>
              <w:t xml:space="preserve">Statutory and Contractual </w:t>
            </w:r>
            <w:r w:rsidRPr="00307D85">
              <w:rPr>
                <w:rFonts w:ascii="Verdana" w:hAnsi="Verdana"/>
                <w:b w:val="0"/>
                <w:bCs w:val="0"/>
                <w:color w:val="002060"/>
                <w:sz w:val="18"/>
                <w:szCs w:val="18"/>
                <w:lang w:val="en-GB"/>
              </w:rPr>
              <w:t>Triggers</w:t>
            </w:r>
          </w:p>
        </w:tc>
      </w:tr>
      <w:tr w:rsidR="00BA1499" w:rsidRPr="00307D85" w14:paraId="1824A3BC" w14:textId="77777777" w:rsidTr="00A405B6">
        <w:tc>
          <w:tcPr>
            <w:tcW w:w="9714" w:type="dxa"/>
          </w:tcPr>
          <w:p w14:paraId="23C6AE97" w14:textId="48C6E31F" w:rsidR="00BA1499"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Two sources of automatic liquidation triggers must be distinguished. </w:t>
            </w:r>
          </w:p>
        </w:tc>
      </w:tr>
      <w:tr w:rsidR="00E53863" w:rsidRPr="00307D85" w14:paraId="274D633C" w14:textId="77777777" w:rsidTr="00A405B6">
        <w:tc>
          <w:tcPr>
            <w:tcW w:w="9714" w:type="dxa"/>
          </w:tcPr>
          <w:p w14:paraId="0C2CA1F1" w14:textId="3380C708" w:rsidR="00E53863"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First, the management regulations may provide that the FCP is to be liquidated upon the occurrence of specified events,</w:t>
            </w:r>
            <w:r w:rsidR="00D91972" w:rsidRPr="00307D85">
              <w:rPr>
                <w:rStyle w:val="FootnoteReference"/>
                <w:rFonts w:ascii="Verdana" w:hAnsi="Verdana"/>
                <w:b w:val="0"/>
                <w:bCs w:val="0"/>
                <w:color w:val="000000"/>
                <w:sz w:val="18"/>
                <w:szCs w:val="18"/>
                <w:lang w:val="en-GB"/>
              </w:rPr>
              <w:footnoteReference w:id="30"/>
            </w:r>
            <w:r w:rsidRPr="00307D85">
              <w:rPr>
                <w:rFonts w:ascii="Verdana" w:hAnsi="Verdana"/>
                <w:b w:val="0"/>
                <w:bCs w:val="0"/>
                <w:sz w:val="18"/>
                <w:szCs w:val="18"/>
                <w:lang w:val="en-US"/>
              </w:rPr>
              <w:t xml:space="preserve"> without any decision of the management company or the unitholders being required. The paradigmatic example is the expiry of the term where the FCP has been constituted for a limited duration.</w:t>
            </w:r>
            <w:r w:rsidRPr="00307D85">
              <w:rPr>
                <w:rStyle w:val="FootnoteReference"/>
                <w:rFonts w:ascii="Verdana" w:hAnsi="Verdana"/>
                <w:b w:val="0"/>
                <w:bCs w:val="0"/>
                <w:color w:val="000000"/>
                <w:sz w:val="18"/>
                <w:szCs w:val="18"/>
                <w:lang w:val="en-GB"/>
              </w:rPr>
              <w:footnoteReference w:id="31"/>
            </w:r>
          </w:p>
        </w:tc>
      </w:tr>
      <w:tr w:rsidR="00BA1499" w:rsidRPr="00307D85" w14:paraId="2A4F238C" w14:textId="77777777" w:rsidTr="00A405B6">
        <w:tc>
          <w:tcPr>
            <w:tcW w:w="9714" w:type="dxa"/>
          </w:tcPr>
          <w:p w14:paraId="50AA24B5" w14:textId="0422F548" w:rsidR="00BA1499"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Second, the applicable Product Fund Law</w:t>
            </w:r>
            <w:r w:rsidR="00D91972" w:rsidRPr="00307D85">
              <w:rPr>
                <w:rFonts w:ascii="Verdana" w:hAnsi="Verdana"/>
                <w:b w:val="0"/>
                <w:bCs w:val="0"/>
                <w:sz w:val="18"/>
                <w:szCs w:val="18"/>
                <w:lang w:val="en-US"/>
              </w:rPr>
              <w:t>s</w:t>
            </w:r>
            <w:r w:rsidRPr="00307D85">
              <w:rPr>
                <w:rFonts w:ascii="Verdana" w:hAnsi="Verdana"/>
                <w:b w:val="0"/>
                <w:bCs w:val="0"/>
                <w:sz w:val="18"/>
                <w:szCs w:val="18"/>
                <w:lang w:val="en-US"/>
              </w:rPr>
              <w:t xml:space="preserve"> </w:t>
            </w:r>
            <w:r w:rsidR="00D91972" w:rsidRPr="00307D85">
              <w:rPr>
                <w:rFonts w:ascii="Verdana" w:hAnsi="Verdana"/>
                <w:b w:val="0"/>
                <w:bCs w:val="0"/>
                <w:sz w:val="18"/>
                <w:szCs w:val="18"/>
                <w:lang w:val="en-US"/>
              </w:rPr>
              <w:t>also</w:t>
            </w:r>
            <w:r w:rsidRPr="00307D85">
              <w:rPr>
                <w:rFonts w:ascii="Verdana" w:hAnsi="Verdana"/>
                <w:b w:val="0"/>
                <w:bCs w:val="0"/>
                <w:sz w:val="18"/>
                <w:szCs w:val="18"/>
                <w:lang w:val="en-US"/>
              </w:rPr>
              <w:t xml:space="preserve"> impose </w:t>
            </w:r>
            <w:r w:rsidR="00D91972" w:rsidRPr="00307D85">
              <w:rPr>
                <w:rFonts w:ascii="Verdana" w:hAnsi="Verdana"/>
                <w:b w:val="0"/>
                <w:bCs w:val="0"/>
                <w:sz w:val="18"/>
                <w:szCs w:val="18"/>
                <w:lang w:val="en-US"/>
              </w:rPr>
              <w:t xml:space="preserve">non-management regulations-related </w:t>
            </w:r>
            <w:r w:rsidRPr="00307D85">
              <w:rPr>
                <w:rFonts w:ascii="Verdana" w:hAnsi="Verdana"/>
                <w:b w:val="0"/>
                <w:bCs w:val="0"/>
                <w:sz w:val="18"/>
                <w:szCs w:val="18"/>
                <w:lang w:val="en-US"/>
              </w:rPr>
              <w:t xml:space="preserve">statutory </w:t>
            </w:r>
            <w:r w:rsidRPr="00307D85">
              <w:rPr>
                <w:rFonts w:ascii="Verdana" w:hAnsi="Verdana"/>
                <w:b w:val="0"/>
                <w:bCs w:val="0"/>
                <w:i/>
                <w:iCs/>
                <w:sz w:val="18"/>
                <w:szCs w:val="18"/>
                <w:lang w:val="en-US"/>
              </w:rPr>
              <w:t>ipso jure</w:t>
            </w:r>
            <w:r w:rsidRPr="00307D85">
              <w:rPr>
                <w:rFonts w:ascii="Verdana" w:hAnsi="Verdana"/>
                <w:b w:val="0"/>
                <w:bCs w:val="0"/>
                <w:sz w:val="18"/>
                <w:szCs w:val="18"/>
                <w:lang w:val="en-US"/>
              </w:rPr>
              <w:t xml:space="preserve"> liquidation events for FCPs, in particular: (</w:t>
            </w:r>
            <w:proofErr w:type="spellStart"/>
            <w:r w:rsidRPr="00307D85">
              <w:rPr>
                <w:rFonts w:ascii="Verdana" w:hAnsi="Verdana"/>
                <w:b w:val="0"/>
                <w:bCs w:val="0"/>
                <w:sz w:val="18"/>
                <w:szCs w:val="18"/>
                <w:lang w:val="en-US"/>
              </w:rPr>
              <w:t>i</w:t>
            </w:r>
            <w:proofErr w:type="spellEnd"/>
            <w:r w:rsidRPr="00307D85">
              <w:rPr>
                <w:rFonts w:ascii="Verdana" w:hAnsi="Verdana"/>
                <w:b w:val="0"/>
                <w:bCs w:val="0"/>
                <w:sz w:val="18"/>
                <w:szCs w:val="18"/>
                <w:lang w:val="en-US"/>
              </w:rPr>
              <w:t xml:space="preserve">) the cessation of duties by the </w:t>
            </w:r>
            <w:r w:rsidRPr="00307D85">
              <w:rPr>
                <w:rFonts w:ascii="Verdana" w:hAnsi="Verdana"/>
                <w:b w:val="0"/>
                <w:bCs w:val="0"/>
                <w:sz w:val="18"/>
                <w:szCs w:val="18"/>
                <w:lang w:val="en-US"/>
              </w:rPr>
              <w:lastRenderedPageBreak/>
              <w:t>management company or the depositary without replacement within the statutory period,</w:t>
            </w:r>
            <w:r w:rsidR="00D91972" w:rsidRPr="00307D85">
              <w:rPr>
                <w:rStyle w:val="FootnoteReference"/>
                <w:rFonts w:ascii="Verdana" w:hAnsi="Verdana"/>
                <w:b w:val="0"/>
                <w:bCs w:val="0"/>
                <w:color w:val="000000"/>
                <w:sz w:val="18"/>
                <w:szCs w:val="18"/>
                <w:lang w:val="en-GB"/>
              </w:rPr>
              <w:footnoteReference w:id="32"/>
            </w:r>
            <w:r w:rsidRPr="00307D85">
              <w:rPr>
                <w:rFonts w:ascii="Verdana" w:hAnsi="Verdana"/>
                <w:b w:val="0"/>
                <w:bCs w:val="0"/>
                <w:sz w:val="18"/>
                <w:szCs w:val="18"/>
                <w:lang w:val="en-US"/>
              </w:rPr>
              <w:t xml:space="preserve"> (ii) the bankruptcy of the management company,</w:t>
            </w:r>
            <w:r w:rsidR="00D91972" w:rsidRPr="00307D85">
              <w:rPr>
                <w:rStyle w:val="FootnoteReference"/>
                <w:rFonts w:ascii="Verdana" w:hAnsi="Verdana"/>
                <w:b w:val="0"/>
                <w:bCs w:val="0"/>
                <w:color w:val="000000"/>
                <w:sz w:val="18"/>
                <w:szCs w:val="18"/>
                <w:lang w:val="en-GB"/>
              </w:rPr>
              <w:footnoteReference w:id="33"/>
            </w:r>
            <w:r w:rsidRPr="00307D85">
              <w:rPr>
                <w:rFonts w:ascii="Verdana" w:hAnsi="Verdana"/>
                <w:b w:val="0"/>
                <w:bCs w:val="0"/>
                <w:sz w:val="18"/>
                <w:szCs w:val="18"/>
                <w:lang w:val="en-US"/>
              </w:rPr>
              <w:t xml:space="preserve"> and (iii) the sustained breach of minimum net asset thresholds (notably, where net assets remain below one-quarter of the legal minimum for more than six months).</w:t>
            </w:r>
            <w:r w:rsidR="00D91972" w:rsidRPr="00307D85">
              <w:rPr>
                <w:rStyle w:val="FootnoteReference"/>
                <w:rFonts w:ascii="Verdana" w:hAnsi="Verdana"/>
                <w:b w:val="0"/>
                <w:bCs w:val="0"/>
                <w:color w:val="000000"/>
                <w:sz w:val="18"/>
                <w:szCs w:val="18"/>
                <w:lang w:val="en-GB"/>
              </w:rPr>
              <w:footnoteReference w:id="34"/>
            </w:r>
            <w:r w:rsidRPr="00307D85">
              <w:rPr>
                <w:rFonts w:ascii="Verdana" w:hAnsi="Verdana"/>
                <w:b w:val="0"/>
                <w:bCs w:val="0"/>
                <w:sz w:val="18"/>
                <w:szCs w:val="18"/>
                <w:lang w:val="en-US"/>
              </w:rPr>
              <w:t xml:space="preserve"> In these situations, the </w:t>
            </w:r>
            <w:r w:rsidR="00D91972" w:rsidRPr="00307D85">
              <w:rPr>
                <w:rFonts w:ascii="Verdana" w:hAnsi="Verdana"/>
                <w:b w:val="0"/>
                <w:bCs w:val="0"/>
                <w:sz w:val="18"/>
                <w:szCs w:val="18"/>
                <w:lang w:val="en-US"/>
              </w:rPr>
              <w:t xml:space="preserve">Product Fund Laws </w:t>
            </w:r>
            <w:r w:rsidRPr="00307D85">
              <w:rPr>
                <w:rFonts w:ascii="Verdana" w:hAnsi="Verdana"/>
                <w:b w:val="0"/>
                <w:bCs w:val="0"/>
                <w:sz w:val="18"/>
                <w:szCs w:val="18"/>
                <w:lang w:val="en-US"/>
              </w:rPr>
              <w:t>attach liquidation as the automatic consequence, and requires publication of the event giving rise to liquidation.</w:t>
            </w:r>
            <w:r w:rsidR="00D91972" w:rsidRPr="00307D85">
              <w:rPr>
                <w:rStyle w:val="FootnoteReference"/>
                <w:rFonts w:ascii="Verdana" w:hAnsi="Verdana"/>
                <w:b w:val="0"/>
                <w:bCs w:val="0"/>
                <w:color w:val="000000"/>
                <w:sz w:val="18"/>
                <w:szCs w:val="18"/>
                <w:lang w:val="en-GB"/>
              </w:rPr>
              <w:footnoteReference w:id="35"/>
            </w:r>
          </w:p>
        </w:tc>
      </w:tr>
      <w:tr w:rsidR="00BA1499" w:rsidRPr="00307D85" w14:paraId="4136DB80" w14:textId="77777777" w:rsidTr="00A405B6">
        <w:tc>
          <w:tcPr>
            <w:tcW w:w="9714" w:type="dxa"/>
          </w:tcPr>
          <w:p w14:paraId="3B86E61E" w14:textId="59865C8B" w:rsidR="00BA1499" w:rsidRPr="00307D85" w:rsidRDefault="00E5386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lastRenderedPageBreak/>
              <w:t xml:space="preserve">These statutory triggers reflect the structural reality that an FCP cannot function as a going concern without (i) a management company capable of representing the fund and executing its investment policy, and (ii) a depositary capable of performing its oversight and safekeeping role. When one of those pillars collapses and is not remedied within the prescribed timeframe, the legal system treats continued operation as incompatible with investor protection and market integrity, and therefore forces the </w:t>
            </w:r>
            <w:r w:rsidR="00D91972" w:rsidRPr="00307D85">
              <w:rPr>
                <w:rFonts w:ascii="Verdana" w:hAnsi="Verdana"/>
                <w:b w:val="0"/>
                <w:bCs w:val="0"/>
                <w:sz w:val="18"/>
                <w:szCs w:val="18"/>
                <w:lang w:val="en-US"/>
              </w:rPr>
              <w:t>FCP</w:t>
            </w:r>
            <w:r w:rsidRPr="00307D85">
              <w:rPr>
                <w:rFonts w:ascii="Verdana" w:hAnsi="Verdana"/>
                <w:b w:val="0"/>
                <w:bCs w:val="0"/>
                <w:sz w:val="18"/>
                <w:szCs w:val="18"/>
                <w:lang w:val="en-US"/>
              </w:rPr>
              <w:t xml:space="preserve"> into liquidation by operation of law.</w:t>
            </w:r>
          </w:p>
        </w:tc>
      </w:tr>
      <w:tr w:rsidR="00BA1499" w:rsidRPr="00307D85" w14:paraId="4D0A34AB" w14:textId="77777777" w:rsidTr="00A405B6">
        <w:tc>
          <w:tcPr>
            <w:tcW w:w="9714" w:type="dxa"/>
          </w:tcPr>
          <w:p w14:paraId="708F85BA" w14:textId="40EE17CC" w:rsidR="00BA1499" w:rsidRPr="00307D85" w:rsidRDefault="00D91972" w:rsidP="00D91972">
            <w:pPr>
              <w:pStyle w:val="NormalWeb"/>
              <w:numPr>
                <w:ilvl w:val="0"/>
                <w:numId w:val="165"/>
              </w:numPr>
              <w:spacing w:before="0" w:beforeAutospacing="0" w:after="120" w:afterAutospacing="0"/>
              <w:jc w:val="both"/>
              <w:rPr>
                <w:rFonts w:ascii="Verdana" w:hAnsi="Verdana"/>
                <w:b w:val="0"/>
                <w:bCs w:val="0"/>
                <w:color w:val="002060"/>
                <w:sz w:val="18"/>
                <w:szCs w:val="18"/>
                <w:lang w:val="en-GB"/>
              </w:rPr>
            </w:pPr>
            <w:r w:rsidRPr="00307D85">
              <w:rPr>
                <w:rFonts w:ascii="Verdana" w:hAnsi="Verdana"/>
                <w:b w:val="0"/>
                <w:bCs w:val="0"/>
                <w:color w:val="002060"/>
                <w:sz w:val="18"/>
                <w:szCs w:val="18"/>
                <w:lang w:val="en-GB"/>
              </w:rPr>
              <w:t>Umbrella FCPs</w:t>
            </w:r>
            <w:r w:rsidR="00E963F4">
              <w:rPr>
                <w:rFonts w:ascii="Verdana" w:hAnsi="Verdana"/>
                <w:b w:val="0"/>
                <w:bCs w:val="0"/>
                <w:color w:val="002060"/>
                <w:sz w:val="18"/>
                <w:szCs w:val="18"/>
                <w:lang w:val="en-GB"/>
              </w:rPr>
              <w:t xml:space="preserve"> and</w:t>
            </w:r>
            <w:r w:rsidRPr="00307D85">
              <w:rPr>
                <w:rFonts w:ascii="Verdana" w:hAnsi="Verdana"/>
                <w:b w:val="0"/>
                <w:bCs w:val="0"/>
                <w:color w:val="002060"/>
                <w:sz w:val="18"/>
                <w:szCs w:val="18"/>
                <w:lang w:val="en-GB"/>
              </w:rPr>
              <w:t xml:space="preserve"> the “Last-Compartment Rule”</w:t>
            </w:r>
          </w:p>
        </w:tc>
      </w:tr>
      <w:tr w:rsidR="00BA1499" w:rsidRPr="00307D85" w14:paraId="627393E6" w14:textId="77777777" w:rsidTr="00A405B6">
        <w:tc>
          <w:tcPr>
            <w:tcW w:w="9714" w:type="dxa"/>
          </w:tcPr>
          <w:p w14:paraId="00E16886" w14:textId="0191E5A7" w:rsidR="00BA1499" w:rsidRPr="00307D85" w:rsidRDefault="00D91972"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 xml:space="preserve">The Product Fund Laws’ compartmental architecture applies, </w:t>
            </w:r>
            <w:r w:rsidRPr="00307D85">
              <w:rPr>
                <w:rFonts w:ascii="Verdana" w:hAnsi="Verdana"/>
                <w:b w:val="0"/>
                <w:bCs w:val="0"/>
                <w:i/>
                <w:iCs/>
                <w:sz w:val="18"/>
                <w:szCs w:val="18"/>
                <w:lang w:val="en-US"/>
              </w:rPr>
              <w:t>mutatis mutandis</w:t>
            </w:r>
            <w:r w:rsidRPr="00307D85">
              <w:rPr>
                <w:rFonts w:ascii="Verdana" w:hAnsi="Verdana"/>
                <w:b w:val="0"/>
                <w:bCs w:val="0"/>
                <w:sz w:val="18"/>
                <w:szCs w:val="18"/>
                <w:lang w:val="en-US"/>
              </w:rPr>
              <w:t xml:space="preserve">, to FCP umbrellas: compartments may be terminated and liquidated on a stand-alone basis without necessarily requiring termination of the umbrella as long as at least one compartment remains in existence. Conversely, the disappearance of the </w:t>
            </w:r>
            <w:r w:rsidR="00F14571" w:rsidRPr="00307D85">
              <w:rPr>
                <w:rFonts w:ascii="Verdana" w:hAnsi="Verdana"/>
                <w:b w:val="0"/>
                <w:bCs w:val="0"/>
                <w:sz w:val="18"/>
                <w:szCs w:val="18"/>
                <w:lang w:val="en-US"/>
              </w:rPr>
              <w:t>last</w:t>
            </w:r>
            <w:r w:rsidRPr="00307D85">
              <w:rPr>
                <w:rFonts w:ascii="Verdana" w:hAnsi="Verdana"/>
                <w:b w:val="0"/>
                <w:bCs w:val="0"/>
                <w:sz w:val="18"/>
                <w:szCs w:val="18"/>
                <w:lang w:val="en-US"/>
              </w:rPr>
              <w:t xml:space="preserve"> compartment deprives the umbrella of any remaining investment pool, so that the umbrella necessarily enters liquidation as well. In the FCP context, however, the mechanism is best understood as an automatic liquidation consequence, rather than as the dissolution of a legal person.</w:t>
            </w:r>
          </w:p>
        </w:tc>
      </w:tr>
      <w:tr w:rsidR="00BA1499" w:rsidRPr="00307D85" w14:paraId="5396FE47" w14:textId="77777777" w:rsidTr="00A405B6">
        <w:tc>
          <w:tcPr>
            <w:tcW w:w="9714" w:type="dxa"/>
          </w:tcPr>
          <w:p w14:paraId="06FDD9BE" w14:textId="3F58633B" w:rsidR="00BA1499" w:rsidRPr="00307D85" w:rsidRDefault="00D91972"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307D85">
              <w:rPr>
                <w:rFonts w:ascii="Verdana" w:hAnsi="Verdana"/>
                <w:b w:val="0"/>
                <w:bCs w:val="0"/>
                <w:sz w:val="18"/>
                <w:szCs w:val="18"/>
                <w:lang w:val="en-US"/>
              </w:rPr>
              <w:t>As with SICAVs, the key interpretative move is functional: the “liquidation of the last remaining compartment” should be read as the disappearance of the last remaining investment pool, whether by pure liquidation or by an operation producing the same structural effect (</w:t>
            </w:r>
            <w:r w:rsidRPr="00307D85">
              <w:rPr>
                <w:rFonts w:ascii="Verdana" w:hAnsi="Verdana"/>
                <w:b w:val="0"/>
                <w:bCs w:val="0"/>
                <w:i/>
                <w:iCs/>
                <w:sz w:val="18"/>
                <w:szCs w:val="18"/>
                <w:lang w:val="en-US"/>
              </w:rPr>
              <w:t>e.g</w:t>
            </w:r>
            <w:r w:rsidRPr="00307D85">
              <w:rPr>
                <w:rFonts w:ascii="Verdana" w:hAnsi="Verdana"/>
                <w:b w:val="0"/>
                <w:bCs w:val="0"/>
                <w:sz w:val="18"/>
                <w:szCs w:val="18"/>
                <w:lang w:val="en-US"/>
              </w:rPr>
              <w:t>., a merger-like transfer of assets and investors into another undertaking where the compartment ceases to exist as an investment pool). This functional approach is consistent with the way Luxembourg practice has historically framed the termination, amalgamation and transfer of assets of compartments.</w:t>
            </w:r>
          </w:p>
        </w:tc>
      </w:tr>
      <w:tr w:rsidR="00307D85" w:rsidRPr="00307D85" w14:paraId="14611413" w14:textId="77777777" w:rsidTr="00A405B6">
        <w:tc>
          <w:tcPr>
            <w:tcW w:w="9714" w:type="dxa"/>
          </w:tcPr>
          <w:p w14:paraId="538AF18A" w14:textId="04AB6F2D" w:rsidR="00307D85" w:rsidRPr="00C34E94" w:rsidRDefault="00C34E94" w:rsidP="00307D85">
            <w:pPr>
              <w:pStyle w:val="NormalWeb"/>
              <w:numPr>
                <w:ilvl w:val="0"/>
                <w:numId w:val="165"/>
              </w:numPr>
              <w:spacing w:before="0" w:beforeAutospacing="0" w:after="120" w:afterAutospacing="0"/>
              <w:jc w:val="both"/>
              <w:rPr>
                <w:rFonts w:ascii="Verdana" w:hAnsi="Verdana"/>
                <w:b w:val="0"/>
                <w:bCs w:val="0"/>
                <w:color w:val="002060"/>
                <w:sz w:val="18"/>
                <w:szCs w:val="18"/>
                <w:lang w:val="en-GB"/>
              </w:rPr>
            </w:pPr>
            <w:r w:rsidRPr="00C34E94">
              <w:rPr>
                <w:rFonts w:ascii="Verdana" w:hAnsi="Verdana"/>
                <w:b w:val="0"/>
                <w:bCs w:val="0"/>
                <w:i/>
                <w:iCs/>
                <w:color w:val="002060"/>
                <w:sz w:val="18"/>
                <w:szCs w:val="18"/>
                <w:lang w:val="en-GB"/>
              </w:rPr>
              <w:lastRenderedPageBreak/>
              <w:t>Mutatis Mutandis</w:t>
            </w:r>
            <w:r w:rsidRPr="00C34E94">
              <w:rPr>
                <w:rFonts w:ascii="Verdana" w:hAnsi="Verdana"/>
                <w:b w:val="0"/>
                <w:bCs w:val="0"/>
                <w:color w:val="002060"/>
                <w:sz w:val="18"/>
                <w:szCs w:val="18"/>
                <w:lang w:val="en-GB"/>
              </w:rPr>
              <w:t xml:space="preserve"> Application of the SICAV Analysis</w:t>
            </w:r>
          </w:p>
        </w:tc>
      </w:tr>
      <w:tr w:rsidR="00BA1499" w:rsidRPr="00307D85" w14:paraId="68DE2491" w14:textId="77777777" w:rsidTr="00A405B6">
        <w:tc>
          <w:tcPr>
            <w:tcW w:w="9714" w:type="dxa"/>
          </w:tcPr>
          <w:p w14:paraId="3C9630E2" w14:textId="4C3C3B52" w:rsidR="00BA1499" w:rsidRPr="00307D85" w:rsidRDefault="00C34E94"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C34E94">
              <w:rPr>
                <w:rFonts w:ascii="Verdana" w:hAnsi="Verdana"/>
                <w:b w:val="0"/>
                <w:bCs w:val="0"/>
                <w:sz w:val="18"/>
                <w:szCs w:val="18"/>
                <w:lang w:val="en-US"/>
              </w:rPr>
              <w:t xml:space="preserve">To avoid repetition, the core analytical conclusions developed for umbrella SICAVs apply </w:t>
            </w:r>
            <w:r w:rsidRPr="00C34E94">
              <w:rPr>
                <w:rFonts w:ascii="Verdana" w:hAnsi="Verdana"/>
                <w:b w:val="0"/>
                <w:bCs w:val="0"/>
                <w:i/>
                <w:iCs/>
                <w:sz w:val="18"/>
                <w:szCs w:val="18"/>
                <w:lang w:val="en-US"/>
              </w:rPr>
              <w:t xml:space="preserve">mutatis mutandis </w:t>
            </w:r>
            <w:r w:rsidRPr="00C34E94">
              <w:rPr>
                <w:rFonts w:ascii="Verdana" w:hAnsi="Verdana"/>
                <w:b w:val="0"/>
                <w:bCs w:val="0"/>
                <w:sz w:val="18"/>
                <w:szCs w:val="18"/>
                <w:lang w:val="en-US"/>
              </w:rPr>
              <w:t>to umbrella FCPs, subject to the fundamental qualification that an FCP enters into liquidation rather than undergoing the dissolution of a legal person</w:t>
            </w:r>
            <w:r>
              <w:rPr>
                <w:rFonts w:ascii="Verdana" w:hAnsi="Verdana"/>
                <w:b w:val="0"/>
                <w:bCs w:val="0"/>
                <w:sz w:val="18"/>
                <w:szCs w:val="18"/>
                <w:lang w:val="en-US"/>
              </w:rPr>
              <w:t xml:space="preserve"> </w:t>
            </w:r>
            <w:r w:rsidRPr="00307D85">
              <w:rPr>
                <w:rFonts w:ascii="Verdana" w:hAnsi="Verdana"/>
                <w:b w:val="0"/>
                <w:bCs w:val="0"/>
                <w:sz w:val="18"/>
                <w:szCs w:val="18"/>
                <w:lang w:val="en-US"/>
              </w:rPr>
              <w:t xml:space="preserve">(points </w:t>
            </w:r>
            <w:r w:rsidRPr="00307D85">
              <w:rPr>
                <w:rFonts w:ascii="Verdana" w:hAnsi="Verdana"/>
                <w:color w:val="002060"/>
                <w:sz w:val="18"/>
                <w:szCs w:val="18"/>
                <w:lang w:val="en-US"/>
              </w:rPr>
              <w:t>(44)</w:t>
            </w:r>
            <w:r w:rsidRPr="00307D85">
              <w:rPr>
                <w:rFonts w:ascii="Verdana" w:hAnsi="Verdana"/>
                <w:b w:val="0"/>
                <w:bCs w:val="0"/>
                <w:color w:val="002060"/>
                <w:sz w:val="18"/>
                <w:szCs w:val="18"/>
                <w:lang w:val="en-US"/>
              </w:rPr>
              <w:t xml:space="preserve"> </w:t>
            </w:r>
            <w:r w:rsidRPr="00307D85">
              <w:rPr>
                <w:rFonts w:ascii="Verdana" w:hAnsi="Verdana"/>
                <w:b w:val="0"/>
                <w:bCs w:val="0"/>
                <w:sz w:val="18"/>
                <w:szCs w:val="18"/>
                <w:lang w:val="en-US"/>
              </w:rPr>
              <w:t xml:space="preserve">to </w:t>
            </w:r>
            <w:r w:rsidRPr="00307D85">
              <w:rPr>
                <w:rFonts w:ascii="Verdana" w:hAnsi="Verdana"/>
                <w:color w:val="002060"/>
                <w:sz w:val="18"/>
                <w:szCs w:val="18"/>
                <w:lang w:val="en-US"/>
              </w:rPr>
              <w:t>(46)</w:t>
            </w:r>
            <w:r w:rsidRPr="00307D85">
              <w:rPr>
                <w:rFonts w:ascii="Verdana" w:hAnsi="Verdana"/>
                <w:b w:val="0"/>
                <w:bCs w:val="0"/>
                <w:sz w:val="18"/>
                <w:szCs w:val="18"/>
                <w:lang w:val="en-US"/>
              </w:rPr>
              <w:t>)</w:t>
            </w:r>
            <w:r w:rsidRPr="00C34E94">
              <w:rPr>
                <w:rFonts w:ascii="Verdana" w:hAnsi="Verdana"/>
                <w:b w:val="0"/>
                <w:bCs w:val="0"/>
                <w:sz w:val="18"/>
                <w:szCs w:val="18"/>
                <w:lang w:val="en-US"/>
              </w:rPr>
              <w:t>. This includes, in particular, the distinction between the opening and the completion of liquidation, and the identification of the triggering event as the act or occurrence placing the last compartment into liquidation</w:t>
            </w:r>
            <w:r>
              <w:rPr>
                <w:rFonts w:ascii="Verdana" w:hAnsi="Verdana"/>
                <w:b w:val="0"/>
                <w:bCs w:val="0"/>
                <w:sz w:val="18"/>
                <w:szCs w:val="18"/>
                <w:lang w:val="en-US"/>
              </w:rPr>
              <w:t xml:space="preserve"> </w:t>
            </w:r>
            <w:r w:rsidRPr="00307D85">
              <w:rPr>
                <w:rFonts w:ascii="Verdana" w:hAnsi="Verdana"/>
                <w:b w:val="0"/>
                <w:bCs w:val="0"/>
                <w:sz w:val="18"/>
                <w:szCs w:val="18"/>
                <w:lang w:val="en-US"/>
              </w:rPr>
              <w:t xml:space="preserve">(points </w:t>
            </w:r>
            <w:r w:rsidRPr="00C34E94">
              <w:rPr>
                <w:rFonts w:ascii="Verdana" w:hAnsi="Verdana"/>
                <w:color w:val="002060"/>
                <w:sz w:val="18"/>
                <w:szCs w:val="18"/>
                <w:lang w:val="en-US"/>
              </w:rPr>
              <w:t>(51)</w:t>
            </w:r>
            <w:r w:rsidRPr="00307D85">
              <w:rPr>
                <w:rFonts w:ascii="Verdana" w:hAnsi="Verdana"/>
                <w:b w:val="0"/>
                <w:bCs w:val="0"/>
                <w:sz w:val="18"/>
                <w:szCs w:val="18"/>
                <w:lang w:val="en-US"/>
              </w:rPr>
              <w:t xml:space="preserve"> to </w:t>
            </w:r>
            <w:r w:rsidRPr="00C34E94">
              <w:rPr>
                <w:rFonts w:ascii="Verdana" w:hAnsi="Verdana"/>
                <w:color w:val="002060"/>
                <w:sz w:val="18"/>
                <w:szCs w:val="18"/>
                <w:lang w:val="en-US"/>
              </w:rPr>
              <w:t>(54)</w:t>
            </w:r>
            <w:r w:rsidRPr="00307D85">
              <w:rPr>
                <w:rFonts w:ascii="Verdana" w:hAnsi="Verdana"/>
                <w:b w:val="0"/>
                <w:bCs w:val="0"/>
                <w:sz w:val="18"/>
                <w:szCs w:val="18"/>
                <w:lang w:val="en-US"/>
              </w:rPr>
              <w:t>)</w:t>
            </w:r>
            <w:r w:rsidRPr="00C34E94">
              <w:rPr>
                <w:rFonts w:ascii="Verdana" w:hAnsi="Verdana"/>
                <w:b w:val="0"/>
                <w:bCs w:val="0"/>
                <w:sz w:val="18"/>
                <w:szCs w:val="18"/>
                <w:lang w:val="en-US"/>
              </w:rPr>
              <w:t>. Likewise, where the umbrella FCP is regulated, the CSSF applies a broadly comparable supervisory framework, encompassing prior approval of the liquidator, deregistration upon commencement, continued supervision throughout liquidation, and post-liquidation oversight</w:t>
            </w:r>
            <w:r>
              <w:rPr>
                <w:rFonts w:ascii="Verdana" w:hAnsi="Verdana"/>
                <w:b w:val="0"/>
                <w:bCs w:val="0"/>
                <w:sz w:val="18"/>
                <w:szCs w:val="18"/>
                <w:lang w:val="en-US"/>
              </w:rPr>
              <w:t xml:space="preserve"> </w:t>
            </w:r>
            <w:r w:rsidRPr="00307D85">
              <w:rPr>
                <w:rFonts w:ascii="Verdana" w:hAnsi="Verdana"/>
                <w:b w:val="0"/>
                <w:bCs w:val="0"/>
                <w:sz w:val="18"/>
                <w:szCs w:val="18"/>
                <w:lang w:val="en-US"/>
              </w:rPr>
              <w:t xml:space="preserve">(points </w:t>
            </w:r>
            <w:r w:rsidRPr="00C34E94">
              <w:rPr>
                <w:rFonts w:ascii="Verdana" w:hAnsi="Verdana"/>
                <w:color w:val="002060"/>
                <w:sz w:val="18"/>
                <w:szCs w:val="18"/>
                <w:lang w:val="en-US"/>
              </w:rPr>
              <w:t>(55)</w:t>
            </w:r>
            <w:r w:rsidRPr="00307D85">
              <w:rPr>
                <w:rFonts w:ascii="Verdana" w:hAnsi="Verdana"/>
                <w:b w:val="0"/>
                <w:bCs w:val="0"/>
                <w:sz w:val="18"/>
                <w:szCs w:val="18"/>
                <w:lang w:val="en-US"/>
              </w:rPr>
              <w:t xml:space="preserve"> to </w:t>
            </w:r>
            <w:r w:rsidRPr="00C34E94">
              <w:rPr>
                <w:rFonts w:ascii="Verdana" w:hAnsi="Verdana"/>
                <w:color w:val="002060"/>
                <w:sz w:val="18"/>
                <w:szCs w:val="18"/>
                <w:lang w:val="en-US"/>
              </w:rPr>
              <w:t>(63)</w:t>
            </w:r>
            <w:r w:rsidRPr="00307D85">
              <w:rPr>
                <w:rFonts w:ascii="Verdana" w:hAnsi="Verdana"/>
                <w:b w:val="0"/>
                <w:bCs w:val="0"/>
                <w:sz w:val="18"/>
                <w:szCs w:val="18"/>
                <w:lang w:val="en-US"/>
              </w:rPr>
              <w:t>)</w:t>
            </w:r>
            <w:r w:rsidRPr="00C34E94">
              <w:rPr>
                <w:rFonts w:ascii="Verdana" w:hAnsi="Verdana"/>
                <w:b w:val="0"/>
                <w:bCs w:val="0"/>
                <w:sz w:val="18"/>
                <w:szCs w:val="18"/>
                <w:lang w:val="en-US"/>
              </w:rPr>
              <w:t>.</w:t>
            </w:r>
          </w:p>
        </w:tc>
      </w:tr>
      <w:tr w:rsidR="00BA1499" w:rsidRPr="00307D85" w14:paraId="4A820C45" w14:textId="77777777" w:rsidTr="00A405B6">
        <w:tc>
          <w:tcPr>
            <w:tcW w:w="9714" w:type="dxa"/>
          </w:tcPr>
          <w:p w14:paraId="345F63BD" w14:textId="55DB6164" w:rsidR="00BA1499" w:rsidRPr="00307D85" w:rsidRDefault="00BA1499" w:rsidP="00BA1499">
            <w:pPr>
              <w:pStyle w:val="NormalWeb"/>
              <w:spacing w:before="0" w:beforeAutospacing="0" w:after="120" w:afterAutospacing="0"/>
              <w:jc w:val="both"/>
              <w:rPr>
                <w:rFonts w:ascii="Verdana" w:hAnsi="Verdana"/>
                <w:b w:val="0"/>
                <w:bCs w:val="0"/>
                <w:sz w:val="18"/>
                <w:szCs w:val="18"/>
                <w:lang w:val="en-GB"/>
              </w:rPr>
            </w:pPr>
            <w:r w:rsidRPr="00307D85">
              <w:rPr>
                <w:rFonts w:ascii="Verdana" w:hAnsi="Verdana"/>
                <w:color w:val="002060"/>
                <w:sz w:val="18"/>
                <w:szCs w:val="18"/>
                <w:lang w:val="en-GB"/>
              </w:rPr>
              <w:t>Conclusion</w:t>
            </w:r>
          </w:p>
        </w:tc>
      </w:tr>
      <w:tr w:rsidR="00BA1499" w:rsidRPr="00307D85" w14:paraId="4C98F207" w14:textId="77777777" w:rsidTr="00A405B6">
        <w:tc>
          <w:tcPr>
            <w:tcW w:w="9714" w:type="dxa"/>
          </w:tcPr>
          <w:p w14:paraId="7449C1B3" w14:textId="22124FF0" w:rsidR="00BA1499" w:rsidRPr="002531C8" w:rsidRDefault="00E96C1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2531C8">
              <w:rPr>
                <w:rFonts w:ascii="Verdana" w:hAnsi="Verdana"/>
                <w:b w:val="0"/>
                <w:bCs w:val="0"/>
                <w:sz w:val="18"/>
                <w:szCs w:val="18"/>
                <w:lang w:val="en-US"/>
              </w:rPr>
              <w:t xml:space="preserve">The analysis confirms that </w:t>
            </w:r>
            <w:r w:rsidRPr="002531C8">
              <w:rPr>
                <w:rFonts w:ascii="Verdana" w:hAnsi="Verdana"/>
                <w:b w:val="0"/>
                <w:bCs w:val="0"/>
                <w:i/>
                <w:iCs/>
                <w:sz w:val="18"/>
                <w:szCs w:val="18"/>
                <w:lang w:val="en-US"/>
              </w:rPr>
              <w:t>ipso jure</w:t>
            </w:r>
            <w:r w:rsidRPr="002531C8">
              <w:rPr>
                <w:rFonts w:ascii="Verdana" w:hAnsi="Verdana"/>
                <w:b w:val="0"/>
                <w:bCs w:val="0"/>
                <w:sz w:val="18"/>
                <w:szCs w:val="18"/>
                <w:lang w:val="en-US"/>
              </w:rPr>
              <w:t xml:space="preserve"> dissolution in Luxembourg product-fund structures is neither anomalous nor conceptually incompatible with regulation. It is the direct expression of two distinct normative logics: the Civil Code’s contractual conception of the company or partnership, which gives binding effect to </w:t>
            </w:r>
            <w:r w:rsidRPr="002531C8">
              <w:rPr>
                <w:rFonts w:ascii="Verdana" w:hAnsi="Verdana"/>
                <w:b w:val="0"/>
                <w:bCs w:val="0"/>
                <w:i/>
                <w:iCs/>
                <w:sz w:val="18"/>
                <w:szCs w:val="18"/>
                <w:lang w:val="en-US"/>
              </w:rPr>
              <w:t>ex ante</w:t>
            </w:r>
            <w:r w:rsidRPr="002531C8">
              <w:rPr>
                <w:rFonts w:ascii="Verdana" w:hAnsi="Verdana"/>
                <w:b w:val="0"/>
                <w:bCs w:val="0"/>
                <w:sz w:val="18"/>
                <w:szCs w:val="18"/>
                <w:lang w:val="en-US"/>
              </w:rPr>
              <w:t xml:space="preserve"> commitments embedded in constitutive documents, and the Product Fund Laws’ structural architecture for compartmentalised umbrellas, which treats the continued existence of the umbrella as contingent upon the persistence of at least one compartment.</w:t>
            </w:r>
          </w:p>
        </w:tc>
      </w:tr>
      <w:tr w:rsidR="00BA1499" w:rsidRPr="00307D85" w14:paraId="1CE68772" w14:textId="77777777" w:rsidTr="00A405B6">
        <w:tc>
          <w:tcPr>
            <w:tcW w:w="9714" w:type="dxa"/>
          </w:tcPr>
          <w:p w14:paraId="2289D614" w14:textId="3EC30D84" w:rsidR="00BA1499" w:rsidRPr="002531C8" w:rsidRDefault="00E96C1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2531C8">
              <w:rPr>
                <w:rFonts w:ascii="Verdana" w:hAnsi="Verdana"/>
                <w:b w:val="0"/>
                <w:bCs w:val="0"/>
                <w:sz w:val="18"/>
                <w:szCs w:val="18"/>
                <w:lang w:val="en-US"/>
              </w:rPr>
              <w:t xml:space="preserve">Under Article 1865 of the Civil Code, the expiry of a fixed term operates as the paradigmatic </w:t>
            </w:r>
            <w:r w:rsidRPr="002531C8">
              <w:rPr>
                <w:rFonts w:ascii="Verdana" w:hAnsi="Verdana"/>
                <w:b w:val="0"/>
                <w:bCs w:val="0"/>
                <w:i/>
                <w:iCs/>
                <w:sz w:val="18"/>
                <w:szCs w:val="18"/>
                <w:lang w:val="en-US"/>
              </w:rPr>
              <w:t xml:space="preserve">ipso jure </w:t>
            </w:r>
            <w:r w:rsidRPr="002531C8">
              <w:rPr>
                <w:rFonts w:ascii="Verdana" w:hAnsi="Verdana"/>
                <w:b w:val="0"/>
                <w:bCs w:val="0"/>
                <w:sz w:val="18"/>
                <w:szCs w:val="18"/>
                <w:lang w:val="en-US"/>
              </w:rPr>
              <w:t>event. Its automaticity derives from the objective character of the trigger and the fact that the decisive corporate act – the acceptance of a finite duration – has already been performed and publicised. By contrast, extinction or frustration of corporate object occupies a more contingent position. While it is a dissolution ground in principle, it is not mechanically self-executing in practice because it depends on factual assessment, interpretative contestability and, crucially, the possibility of being neutralised by unanimous stakeholder agreement to rearticulate the corporate purpose and investment policy.</w:t>
            </w:r>
          </w:p>
        </w:tc>
      </w:tr>
      <w:tr w:rsidR="00E96C13" w:rsidRPr="00307D85" w14:paraId="037F4EE6" w14:textId="77777777" w:rsidTr="00A405B6">
        <w:tc>
          <w:tcPr>
            <w:tcW w:w="9714" w:type="dxa"/>
          </w:tcPr>
          <w:p w14:paraId="13822983" w14:textId="5C5E2BCD" w:rsidR="00E96C13" w:rsidRPr="002531C8" w:rsidRDefault="00E96C1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2531C8">
              <w:rPr>
                <w:rFonts w:ascii="Verdana" w:hAnsi="Verdana"/>
                <w:b w:val="0"/>
                <w:bCs w:val="0"/>
                <w:sz w:val="18"/>
                <w:szCs w:val="18"/>
                <w:lang w:val="en-US"/>
              </w:rPr>
              <w:t xml:space="preserve">The Product Fund Laws introduce a distinct </w:t>
            </w:r>
            <w:r w:rsidRPr="002531C8">
              <w:rPr>
                <w:rFonts w:ascii="Verdana" w:hAnsi="Verdana"/>
                <w:b w:val="0"/>
                <w:bCs w:val="0"/>
                <w:i/>
                <w:iCs/>
                <w:sz w:val="18"/>
                <w:szCs w:val="18"/>
                <w:lang w:val="en-US"/>
              </w:rPr>
              <w:t>ipso jure</w:t>
            </w:r>
            <w:r w:rsidRPr="002531C8">
              <w:rPr>
                <w:rFonts w:ascii="Verdana" w:hAnsi="Verdana"/>
                <w:b w:val="0"/>
                <w:bCs w:val="0"/>
                <w:sz w:val="18"/>
                <w:szCs w:val="18"/>
                <w:lang w:val="en-US"/>
              </w:rPr>
              <w:t xml:space="preserve"> mechanism through the last-compartment rule. For umbrella SICAVs, the rule functions as an additional statutory cause of dissolution operating alongside Civil Code grounds and derogating from the ordinary dissolution architecture of the Company Act 1915. Its coherence lies in the patrimonial configuration of the umbrella: the umbrella has no autonomous pool of assets independent of its compartments, so the liquidation of the last remaining compartment necessarily deprives it of any remaining economic and patrimonial </w:t>
            </w:r>
            <w:r w:rsidRPr="002531C8">
              <w:rPr>
                <w:rFonts w:ascii="Verdana" w:hAnsi="Verdana"/>
                <w:b w:val="0"/>
                <w:bCs w:val="0"/>
                <w:i/>
                <w:iCs/>
                <w:sz w:val="18"/>
                <w:szCs w:val="18"/>
                <w:lang w:val="en-US"/>
              </w:rPr>
              <w:t>substratum</w:t>
            </w:r>
            <w:r w:rsidRPr="002531C8">
              <w:rPr>
                <w:rFonts w:ascii="Verdana" w:hAnsi="Verdana"/>
                <w:b w:val="0"/>
                <w:bCs w:val="0"/>
                <w:sz w:val="18"/>
                <w:szCs w:val="18"/>
                <w:lang w:val="en-US"/>
              </w:rPr>
              <w:t>.</w:t>
            </w:r>
          </w:p>
        </w:tc>
      </w:tr>
      <w:tr w:rsidR="00E96C13" w:rsidRPr="00307D85" w14:paraId="6ABDAED3" w14:textId="77777777" w:rsidTr="00A405B6">
        <w:tc>
          <w:tcPr>
            <w:tcW w:w="9714" w:type="dxa"/>
          </w:tcPr>
          <w:p w14:paraId="46028BE5" w14:textId="7308FA52" w:rsidR="00E96C13" w:rsidRPr="002531C8" w:rsidRDefault="00E96C1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2531C8">
              <w:rPr>
                <w:rFonts w:ascii="Verdana" w:hAnsi="Verdana"/>
                <w:b w:val="0"/>
                <w:bCs w:val="0"/>
                <w:sz w:val="18"/>
                <w:szCs w:val="18"/>
                <w:lang w:val="en-US"/>
              </w:rPr>
              <w:t>The apparently simple statutory wording – “liquidation of the last remaining compartment” – requires functional interpretation. The legally relevant moment is the opening of liquidation of the final compartment (or the event producing an equivalent disappearance of the compartment as an investment pool), not the closing of that liquidation. For the same reason, merger-equivalent reorganisations of the last compartment should, where they extinguish the compartment as a distinct pool, be treated as triggering the rule. This is best managed through careful constitutional drafting that anticipates such reorganisations and aligns them with the statutory consequence that an umbrella cannot outlive its final compartment.</w:t>
            </w:r>
          </w:p>
        </w:tc>
      </w:tr>
      <w:tr w:rsidR="00E96C13" w:rsidRPr="00307D85" w14:paraId="11FD269A" w14:textId="77777777" w:rsidTr="00A405B6">
        <w:tc>
          <w:tcPr>
            <w:tcW w:w="9714" w:type="dxa"/>
          </w:tcPr>
          <w:p w14:paraId="59404753" w14:textId="6F656D44" w:rsidR="00E96C13" w:rsidRPr="002531C8" w:rsidRDefault="00E96C13" w:rsidP="00BA1499">
            <w:pPr>
              <w:pStyle w:val="NormalWeb"/>
              <w:numPr>
                <w:ilvl w:val="0"/>
                <w:numId w:val="75"/>
              </w:numPr>
              <w:spacing w:before="0" w:beforeAutospacing="0" w:after="120" w:afterAutospacing="0"/>
              <w:ind w:left="661" w:hanging="661"/>
              <w:jc w:val="both"/>
              <w:rPr>
                <w:rFonts w:ascii="Verdana" w:hAnsi="Verdana"/>
                <w:b w:val="0"/>
                <w:bCs w:val="0"/>
                <w:sz w:val="18"/>
                <w:szCs w:val="18"/>
                <w:lang w:val="en-US"/>
              </w:rPr>
            </w:pPr>
            <w:r w:rsidRPr="002531C8">
              <w:rPr>
                <w:rFonts w:ascii="Verdana" w:hAnsi="Verdana"/>
                <w:b w:val="0"/>
                <w:bCs w:val="0"/>
                <w:sz w:val="18"/>
                <w:szCs w:val="18"/>
                <w:lang w:val="en-US"/>
              </w:rPr>
              <w:t>For FCPs, the same structural outcomes are achieved through a different legal grammar. Because an FCP lacks legal personality, the relevant concept is not</w:t>
            </w:r>
            <w:r w:rsidR="002531C8">
              <w:rPr>
                <w:rFonts w:ascii="Verdana" w:hAnsi="Verdana"/>
                <w:b w:val="0"/>
                <w:bCs w:val="0"/>
                <w:sz w:val="18"/>
                <w:szCs w:val="18"/>
                <w:lang w:val="en-US"/>
              </w:rPr>
              <w:t xml:space="preserve"> </w:t>
            </w:r>
            <w:r w:rsidRPr="002531C8">
              <w:rPr>
                <w:rFonts w:ascii="Verdana" w:hAnsi="Verdana"/>
                <w:b w:val="0"/>
                <w:bCs w:val="0"/>
                <w:i/>
                <w:iCs/>
                <w:sz w:val="18"/>
                <w:szCs w:val="18"/>
                <w:lang w:val="en-US"/>
              </w:rPr>
              <w:t>ipso jure</w:t>
            </w:r>
            <w:r w:rsidR="002531C8">
              <w:rPr>
                <w:rFonts w:ascii="Verdana" w:hAnsi="Verdana"/>
                <w:b w:val="0"/>
                <w:bCs w:val="0"/>
                <w:sz w:val="18"/>
                <w:szCs w:val="18"/>
                <w:lang w:val="en-US"/>
              </w:rPr>
              <w:t xml:space="preserve"> </w:t>
            </w:r>
            <w:r w:rsidRPr="002531C8">
              <w:rPr>
                <w:rFonts w:ascii="Verdana" w:hAnsi="Verdana"/>
                <w:b w:val="0"/>
                <w:bCs w:val="0"/>
                <w:sz w:val="18"/>
                <w:szCs w:val="18"/>
                <w:lang w:val="en-US"/>
              </w:rPr>
              <w:t>dissolution, but</w:t>
            </w:r>
            <w:r w:rsidR="002531C8">
              <w:rPr>
                <w:rFonts w:ascii="Verdana" w:hAnsi="Verdana"/>
                <w:b w:val="0"/>
                <w:bCs w:val="0"/>
                <w:sz w:val="18"/>
                <w:szCs w:val="18"/>
                <w:lang w:val="en-US"/>
              </w:rPr>
              <w:t xml:space="preserve"> </w:t>
            </w:r>
            <w:r w:rsidRPr="002531C8">
              <w:rPr>
                <w:rFonts w:ascii="Verdana" w:hAnsi="Verdana"/>
                <w:b w:val="0"/>
                <w:bCs w:val="0"/>
                <w:i/>
                <w:iCs/>
                <w:sz w:val="18"/>
                <w:szCs w:val="18"/>
                <w:lang w:val="en-US"/>
              </w:rPr>
              <w:t>ipso jure</w:t>
            </w:r>
            <w:r w:rsidR="002531C8">
              <w:rPr>
                <w:rFonts w:ascii="Verdana" w:hAnsi="Verdana"/>
                <w:b w:val="0"/>
                <w:bCs w:val="0"/>
                <w:sz w:val="18"/>
                <w:szCs w:val="18"/>
                <w:lang w:val="en-US"/>
              </w:rPr>
              <w:t xml:space="preserve"> </w:t>
            </w:r>
            <w:r w:rsidRPr="002531C8">
              <w:rPr>
                <w:rFonts w:ascii="Verdana" w:hAnsi="Verdana"/>
                <w:b w:val="0"/>
                <w:bCs w:val="0"/>
                <w:sz w:val="18"/>
                <w:szCs w:val="18"/>
                <w:lang w:val="en-US"/>
              </w:rPr>
              <w:t>liquidation: a self-executing entry into liquidation predetermined by the management regulations and the relevant Product Fund Law. The statutory triggers exemplified by Article 20(1) of the SIF Act 2007 reflect the dependence of the FCP on the management company and depositary, and confirm that automatic liquidation is used as an investor-protection mechanism when the institutional preconditions for continued operation no longer exist.</w:t>
            </w:r>
          </w:p>
        </w:tc>
      </w:tr>
      <w:tr w:rsidR="00E96C13" w:rsidRPr="00307D85" w14:paraId="282EC29C" w14:textId="77777777" w:rsidTr="00A405B6">
        <w:tc>
          <w:tcPr>
            <w:tcW w:w="9714" w:type="dxa"/>
          </w:tcPr>
          <w:p w14:paraId="37BEA78E" w14:textId="2F68D67C" w:rsidR="00E96C13" w:rsidRPr="00307D85" w:rsidRDefault="002531C8" w:rsidP="00BA1499">
            <w:pPr>
              <w:pStyle w:val="NormalWeb"/>
              <w:numPr>
                <w:ilvl w:val="0"/>
                <w:numId w:val="75"/>
              </w:numPr>
              <w:spacing w:before="0" w:beforeAutospacing="0" w:after="120" w:afterAutospacing="0"/>
              <w:ind w:left="661" w:hanging="661"/>
              <w:jc w:val="both"/>
              <w:rPr>
                <w:rFonts w:ascii="Verdana" w:hAnsi="Verdana"/>
                <w:sz w:val="18"/>
                <w:szCs w:val="18"/>
                <w:lang w:val="en-GB"/>
              </w:rPr>
            </w:pPr>
            <w:r w:rsidRPr="002531C8">
              <w:rPr>
                <w:rFonts w:ascii="Verdana" w:hAnsi="Verdana"/>
                <w:b w:val="0"/>
                <w:bCs w:val="0"/>
                <w:sz w:val="18"/>
                <w:szCs w:val="18"/>
                <w:lang w:val="en-US"/>
              </w:rPr>
              <w:t xml:space="preserve">Finally, the paper highlights the practical complementarity between automaticity in law and implementation in practice. Even where dissolution or liquidation arises by operation of law, regulated vehicles remain embedded in a supervisory ecosystem in which the CSSF’s expectations regarding liquidator approval, reporting, AML/KYC remediation, consignment and orderly closure shape how the </w:t>
            </w:r>
            <w:r w:rsidRPr="002531C8">
              <w:rPr>
                <w:rFonts w:ascii="Verdana" w:hAnsi="Verdana"/>
                <w:b w:val="0"/>
                <w:bCs w:val="0"/>
                <w:i/>
                <w:iCs/>
                <w:sz w:val="18"/>
                <w:szCs w:val="18"/>
                <w:lang w:val="en-US"/>
              </w:rPr>
              <w:t xml:space="preserve">ipso jure </w:t>
            </w:r>
            <w:r w:rsidRPr="002531C8">
              <w:rPr>
                <w:rFonts w:ascii="Verdana" w:hAnsi="Verdana"/>
                <w:b w:val="0"/>
                <w:bCs w:val="0"/>
                <w:sz w:val="18"/>
                <w:szCs w:val="18"/>
                <w:lang w:val="en-US"/>
              </w:rPr>
              <w:t xml:space="preserve">event is operationalised. The central takeaway is therefore one of calibrated duality: </w:t>
            </w:r>
            <w:r w:rsidRPr="002531C8">
              <w:rPr>
                <w:rFonts w:ascii="Verdana" w:hAnsi="Verdana"/>
                <w:b w:val="0"/>
                <w:bCs w:val="0"/>
                <w:i/>
                <w:iCs/>
                <w:sz w:val="18"/>
                <w:szCs w:val="18"/>
                <w:lang w:val="en-US"/>
              </w:rPr>
              <w:t xml:space="preserve">ipso jure </w:t>
            </w:r>
            <w:r w:rsidRPr="002531C8">
              <w:rPr>
                <w:rFonts w:ascii="Verdana" w:hAnsi="Verdana"/>
                <w:b w:val="0"/>
                <w:bCs w:val="0"/>
                <w:sz w:val="18"/>
                <w:szCs w:val="18"/>
                <w:lang w:val="en-US"/>
              </w:rPr>
              <w:t xml:space="preserve">triggers secure legal certainty and structural coherence, while fund documentation, market practice and supervision supply the procedural architecture needed to </w:t>
            </w:r>
            <w:r w:rsidRPr="002531C8">
              <w:rPr>
                <w:rFonts w:ascii="Verdana" w:hAnsi="Verdana"/>
                <w:b w:val="0"/>
                <w:bCs w:val="0"/>
                <w:sz w:val="18"/>
                <w:szCs w:val="18"/>
                <w:lang w:val="en-US"/>
              </w:rPr>
              <w:lastRenderedPageBreak/>
              <w:t>translate that automatic legal consequence into an orderly liquidation that protects investors and third parties.</w:t>
            </w:r>
          </w:p>
        </w:tc>
      </w:tr>
    </w:tbl>
    <w:p w14:paraId="2E6189DB" w14:textId="77777777" w:rsidR="0074471F" w:rsidRPr="00307D85" w:rsidRDefault="0074471F" w:rsidP="00437F0B">
      <w:pPr>
        <w:pStyle w:val="NormalWeb"/>
        <w:spacing w:before="0" w:beforeAutospacing="0" w:after="120" w:afterAutospacing="0"/>
        <w:jc w:val="both"/>
        <w:rPr>
          <w:rFonts w:ascii="Verdana" w:hAnsi="Verdana"/>
          <w:color w:val="000000"/>
          <w:kern w:val="36"/>
          <w:sz w:val="18"/>
          <w:szCs w:val="18"/>
          <w:lang w:val="en-GB"/>
        </w:rPr>
      </w:pPr>
    </w:p>
    <w:sectPr w:rsidR="0074471F" w:rsidRPr="00307D85" w:rsidSect="00035CA1">
      <w:type w:val="continuous"/>
      <w:pgSz w:w="11906" w:h="16838"/>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s>
  <wne:toolbars>
    <wne:acdManifest>
      <wne:acdEntry wne:acdName="acd0"/>
      <wne:acdEntry wne:acdName="acd1"/>
      <wne:acdEntry wne:acdName="acd2"/>
      <wne:acdEntry wne:acdName="acd3"/>
      <wne:acdEntry wne:acdName="acd4"/>
      <wne:acdEntry wne:acdName="acd5"/>
    </wne:acdManifest>
  </wne:toolbars>
  <wne:acds>
    <wne:acd wne:argValue="AgBBAE8ASABlAGEAZAAxAA==" wne:acdName="acd0" wne:fciIndexBasedOn="0065"/>
    <wne:acd wne:argValue="AgBBAE8ASABlAGEAZAAyAA==" wne:acdName="acd1" wne:fciIndexBasedOn="0065"/>
    <wne:acd wne:argValue="AgBBAE8ASABlAGEAZAAzAA==" wne:acdName="acd2" wne:fciIndexBasedOn="0065"/>
    <wne:acd wne:argValue="AgBBAE8ASABlAGEAZAA0AA==" wne:acdName="acd3" wne:fciIndexBasedOn="0065"/>
    <wne:acd wne:argValue="AgBBAE8ASABlAGEAZAA1AA==" wne:acdName="acd4" wne:fciIndexBasedOn="0065"/>
    <wne:acd wne:argValue="AgBBAE8ASABlAGEAZAA2A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A8E6F" w14:textId="77777777" w:rsidR="00EB08D2" w:rsidRDefault="00EB08D2" w:rsidP="00B14CF1">
      <w:r>
        <w:separator/>
      </w:r>
    </w:p>
  </w:endnote>
  <w:endnote w:type="continuationSeparator" w:id="0">
    <w:p w14:paraId="50B0BBCF" w14:textId="77777777" w:rsidR="00EB08D2" w:rsidRDefault="00EB08D2" w:rsidP="00B14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36453014"/>
      <w:docPartObj>
        <w:docPartGallery w:val="Page Numbers (Bottom of Page)"/>
        <w:docPartUnique/>
      </w:docPartObj>
    </w:sdtPr>
    <w:sdtContent>
      <w:p w14:paraId="5CFE226B" w14:textId="77777777" w:rsidR="00B14CF1" w:rsidRDefault="00B14CF1" w:rsidP="00E20A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7B446E" w14:textId="77777777" w:rsidR="00B14CF1" w:rsidRDefault="00B14CF1" w:rsidP="00B14C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Verdana" w:hAnsi="Verdana"/>
        <w:sz w:val="16"/>
        <w:szCs w:val="16"/>
      </w:rPr>
      <w:id w:val="-1590237987"/>
      <w:docPartObj>
        <w:docPartGallery w:val="Page Numbers (Bottom of Page)"/>
        <w:docPartUnique/>
      </w:docPartObj>
    </w:sdtPr>
    <w:sdtContent>
      <w:p w14:paraId="66883082" w14:textId="511BAFB7" w:rsidR="00B14CF1" w:rsidRPr="00B14CF1" w:rsidRDefault="00B14CF1" w:rsidP="00E20A64">
        <w:pPr>
          <w:pStyle w:val="Footer"/>
          <w:framePr w:wrap="none" w:vAnchor="text" w:hAnchor="margin" w:xAlign="right" w:y="1"/>
          <w:rPr>
            <w:rStyle w:val="PageNumber"/>
            <w:rFonts w:ascii="Verdana" w:hAnsi="Verdana"/>
            <w:sz w:val="16"/>
            <w:szCs w:val="16"/>
          </w:rPr>
        </w:pPr>
        <w:r w:rsidRPr="00B14CF1">
          <w:rPr>
            <w:rStyle w:val="PageNumber"/>
            <w:rFonts w:ascii="Verdana" w:hAnsi="Verdana"/>
            <w:sz w:val="16"/>
            <w:szCs w:val="16"/>
          </w:rPr>
          <w:fldChar w:fldCharType="begin"/>
        </w:r>
        <w:r w:rsidRPr="00B14CF1">
          <w:rPr>
            <w:rStyle w:val="PageNumber"/>
            <w:rFonts w:ascii="Verdana" w:hAnsi="Verdana"/>
            <w:sz w:val="16"/>
            <w:szCs w:val="16"/>
          </w:rPr>
          <w:instrText xml:space="preserve"> PAGE </w:instrText>
        </w:r>
        <w:r w:rsidRPr="00B14CF1">
          <w:rPr>
            <w:rStyle w:val="PageNumber"/>
            <w:rFonts w:ascii="Verdana" w:hAnsi="Verdana"/>
            <w:sz w:val="16"/>
            <w:szCs w:val="16"/>
          </w:rPr>
          <w:fldChar w:fldCharType="separate"/>
        </w:r>
        <w:r w:rsidRPr="00B14CF1">
          <w:rPr>
            <w:rStyle w:val="PageNumber"/>
            <w:rFonts w:ascii="Verdana" w:hAnsi="Verdana"/>
            <w:noProof/>
            <w:sz w:val="16"/>
            <w:szCs w:val="16"/>
          </w:rPr>
          <w:t>1</w:t>
        </w:r>
        <w:r w:rsidRPr="00B14CF1">
          <w:rPr>
            <w:rStyle w:val="PageNumber"/>
            <w:rFonts w:ascii="Verdana" w:hAnsi="Verdana"/>
            <w:sz w:val="16"/>
            <w:szCs w:val="16"/>
          </w:rPr>
          <w:fldChar w:fldCharType="end"/>
        </w:r>
      </w:p>
    </w:sdtContent>
  </w:sdt>
  <w:p w14:paraId="11B9E00B" w14:textId="5831B12C" w:rsidR="00B14CF1" w:rsidRPr="00722899" w:rsidRDefault="00722899" w:rsidP="00722899">
    <w:pPr>
      <w:pStyle w:val="Footer"/>
      <w:ind w:right="360"/>
      <w:jc w:val="center"/>
      <w:rPr>
        <w:rFonts w:ascii="Verdana" w:hAnsi="Verdana"/>
        <w:b/>
        <w:bCs/>
        <w:i/>
        <w:iCs/>
        <w:color w:val="002060"/>
        <w:sz w:val="18"/>
        <w:szCs w:val="18"/>
        <w:lang w:val="de-DE"/>
      </w:rPr>
    </w:pPr>
    <w:proofErr w:type="spellStart"/>
    <w:r w:rsidRPr="00722899">
      <w:rPr>
        <w:rFonts w:ascii="Verdana" w:hAnsi="Verdana"/>
        <w:b/>
        <w:bCs/>
        <w:i/>
        <w:iCs/>
        <w:color w:val="002060"/>
        <w:sz w:val="18"/>
        <w:szCs w:val="18"/>
        <w:lang w:val="de-DE"/>
      </w:rPr>
      <w:t>NewTIFI</w:t>
    </w:r>
    <w:proofErr w:type="spellEnd"/>
    <w:r w:rsidRPr="00722899">
      <w:rPr>
        <w:rFonts w:ascii="Verdana" w:hAnsi="Verdana"/>
        <w:b/>
        <w:bCs/>
        <w:i/>
        <w:iCs/>
        <w:color w:val="002060"/>
        <w:sz w:val="18"/>
        <w:szCs w:val="18"/>
        <w:lang w:val="de-DE"/>
      </w:rPr>
      <w:t xml:space="preserve"> Publishing</w:t>
    </w:r>
  </w:p>
  <w:p w14:paraId="22D4C04B" w14:textId="77777777" w:rsidR="00B14CF1" w:rsidRPr="00B14CF1" w:rsidRDefault="00B14CF1" w:rsidP="00B14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70A21" w14:textId="77777777" w:rsidR="00EB08D2" w:rsidRDefault="00EB08D2" w:rsidP="00B14CF1">
      <w:r>
        <w:separator/>
      </w:r>
    </w:p>
  </w:footnote>
  <w:footnote w:type="continuationSeparator" w:id="0">
    <w:p w14:paraId="5CE239FA" w14:textId="77777777" w:rsidR="00EB08D2" w:rsidRDefault="00EB08D2" w:rsidP="00B14CF1">
      <w:r>
        <w:continuationSeparator/>
      </w:r>
    </w:p>
  </w:footnote>
  <w:footnote w:id="1">
    <w:p w14:paraId="372730B5" w14:textId="77777777" w:rsidR="00824F60" w:rsidRPr="00E01C47" w:rsidRDefault="00824F60"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w:t>
      </w:r>
      <w:r w:rsidRPr="00E01C47">
        <w:rPr>
          <w:rFonts w:ascii="Verdana" w:hAnsi="Verdana" w:cs="Arial"/>
          <w:color w:val="000000" w:themeColor="text1"/>
          <w:sz w:val="16"/>
          <w:szCs w:val="16"/>
          <w:lang w:val="en-GB"/>
        </w:rPr>
        <w:t>investment companies in risk capital (the “</w:t>
      </w:r>
      <w:r w:rsidRPr="00E01C47">
        <w:rPr>
          <w:rFonts w:ascii="Verdana" w:hAnsi="Verdana"/>
          <w:b/>
          <w:bCs/>
          <w:color w:val="002060"/>
          <w:sz w:val="16"/>
          <w:szCs w:val="16"/>
          <w:lang w:val="en-GB"/>
        </w:rPr>
        <w:t>SICARs</w:t>
      </w:r>
      <w:r w:rsidRPr="00E01C47">
        <w:rPr>
          <w:rFonts w:ascii="Verdana" w:hAnsi="Verdana"/>
          <w:color w:val="000000"/>
          <w:sz w:val="16"/>
          <w:szCs w:val="16"/>
          <w:lang w:val="en-GB"/>
        </w:rPr>
        <w:t>”) are</w:t>
      </w:r>
      <w:r w:rsidRPr="00E01C47">
        <w:rPr>
          <w:rFonts w:ascii="Verdana" w:hAnsi="Verdana" w:cs="Arial"/>
          <w:color w:val="000000" w:themeColor="text1"/>
          <w:sz w:val="16"/>
          <w:szCs w:val="16"/>
          <w:lang w:val="en-GB"/>
        </w:rPr>
        <w:t xml:space="preserve"> subject to the Luxembourg Act of 15 June 2004 relating to investment companies in risk capital, (the “</w:t>
      </w:r>
      <w:r w:rsidRPr="00E01C47">
        <w:rPr>
          <w:rFonts w:ascii="Verdana" w:hAnsi="Verdana" w:cs="Arial"/>
          <w:b/>
          <w:bCs/>
          <w:color w:val="002060"/>
          <w:sz w:val="16"/>
          <w:szCs w:val="16"/>
          <w:lang w:val="en-GB"/>
        </w:rPr>
        <w:t>SICAR Act 2004</w:t>
      </w:r>
      <w:r w:rsidRPr="00E01C47">
        <w:rPr>
          <w:rFonts w:ascii="Verdana" w:hAnsi="Verdana" w:cs="Arial"/>
          <w:color w:val="000000" w:themeColor="text1"/>
          <w:sz w:val="16"/>
          <w:szCs w:val="16"/>
          <w:lang w:val="en-GB"/>
        </w:rPr>
        <w:t>”) and amending (</w:t>
      </w:r>
      <w:proofErr w:type="spellStart"/>
      <w:r w:rsidRPr="00E01C47">
        <w:rPr>
          <w:rFonts w:ascii="Verdana" w:hAnsi="Verdana" w:cs="Arial"/>
          <w:color w:val="000000" w:themeColor="text1"/>
          <w:sz w:val="16"/>
          <w:szCs w:val="16"/>
          <w:lang w:val="en-GB"/>
        </w:rPr>
        <w:t>i</w:t>
      </w:r>
      <w:proofErr w:type="spellEnd"/>
      <w:r w:rsidRPr="00E01C47">
        <w:rPr>
          <w:rFonts w:ascii="Verdana" w:hAnsi="Verdana" w:cs="Arial"/>
          <w:color w:val="000000" w:themeColor="text1"/>
          <w:sz w:val="16"/>
          <w:szCs w:val="16"/>
          <w:lang w:val="en-GB"/>
        </w:rPr>
        <w:t xml:space="preserve">) the Act of 4 December 1967 on income tax, as amended; (ii) the Act of 16 October 1934 on wealth tax, as amended; (iii) the law of 1 December 1936 on business tax, as amended; (iv) the Act of 12 February 1979 on value added tax, as amended; (v) the Act of 20 December 2002 relating to undertakings for collective investment, as amended; </w:t>
      </w:r>
      <w:proofErr w:type="spellStart"/>
      <w:r w:rsidRPr="00E01C47">
        <w:rPr>
          <w:rFonts w:ascii="Verdana" w:hAnsi="Verdana" w:cs="Arial"/>
          <w:i/>
          <w:iCs/>
          <w:color w:val="000000" w:themeColor="text1"/>
          <w:sz w:val="16"/>
          <w:szCs w:val="16"/>
          <w:lang w:val="en-GB"/>
        </w:rPr>
        <w:t>Mémorial</w:t>
      </w:r>
      <w:proofErr w:type="spellEnd"/>
      <w:r w:rsidRPr="00E01C47">
        <w:rPr>
          <w:rFonts w:ascii="Verdana" w:hAnsi="Verdana" w:cs="Arial"/>
          <w:i/>
          <w:iCs/>
          <w:color w:val="000000" w:themeColor="text1"/>
          <w:sz w:val="16"/>
          <w:szCs w:val="16"/>
          <w:lang w:val="en-GB"/>
        </w:rPr>
        <w:t xml:space="preserve"> A – N° 95</w:t>
      </w:r>
      <w:r w:rsidRPr="00E01C47">
        <w:rPr>
          <w:rFonts w:ascii="Verdana" w:hAnsi="Verdana" w:cs="Arial"/>
          <w:color w:val="000000" w:themeColor="text1"/>
          <w:sz w:val="16"/>
          <w:szCs w:val="16"/>
          <w:lang w:val="en-GB"/>
        </w:rPr>
        <w:t xml:space="preserve">, 22 June 2004, Parl. doc. 5201; </w:t>
      </w:r>
      <w:hyperlink r:id="rId1" w:history="1">
        <w:r w:rsidRPr="00E01C47">
          <w:rPr>
            <w:rStyle w:val="Hyperlink"/>
            <w:rFonts w:ascii="Verdana" w:hAnsi="Verdana" w:cs="Arial"/>
            <w:sz w:val="16"/>
            <w:szCs w:val="16"/>
            <w:lang w:val="en-GB"/>
          </w:rPr>
          <w:t>https://legilux.public.lu/eli/etat/leg/loi/2004/06/15/n1/jo</w:t>
        </w:r>
      </w:hyperlink>
      <w:r w:rsidRPr="00E01C47">
        <w:rPr>
          <w:rFonts w:ascii="Verdana" w:hAnsi="Verdana" w:cs="Arial"/>
          <w:color w:val="000000" w:themeColor="text1"/>
          <w:sz w:val="16"/>
          <w:szCs w:val="16"/>
          <w:lang w:val="en-GB"/>
        </w:rPr>
        <w:t xml:space="preserve"> (last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 xml:space="preserve">2026); for its coordinated version see: </w:t>
      </w:r>
      <w:hyperlink r:id="rId2" w:history="1">
        <w:r w:rsidRPr="00E01C47">
          <w:rPr>
            <w:rStyle w:val="Hyperlink"/>
            <w:rFonts w:ascii="Verdana" w:hAnsi="Verdana"/>
            <w:sz w:val="16"/>
            <w:szCs w:val="16"/>
            <w:lang w:val="en-GB"/>
          </w:rPr>
          <w:t>https://www.cssf.lu/wp-content/uploads/L_150604_SICAReng.pdf</w:t>
        </w:r>
      </w:hyperlink>
      <w:r w:rsidRPr="00E01C47">
        <w:rPr>
          <w:rFonts w:ascii="Verdana" w:hAnsi="Verdana"/>
          <w:sz w:val="16"/>
          <w:szCs w:val="16"/>
          <w:lang w:val="en-GB"/>
        </w:rPr>
        <w:t xml:space="preserve"> </w:t>
      </w:r>
      <w:r w:rsidRPr="00E01C47">
        <w:rPr>
          <w:rFonts w:ascii="Verdana" w:hAnsi="Verdana" w:cs="Arial"/>
          <w:color w:val="000000" w:themeColor="text1"/>
          <w:sz w:val="16"/>
          <w:szCs w:val="16"/>
          <w:lang w:val="en-GB"/>
        </w:rPr>
        <w:t xml:space="preserve">(last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2026).</w:t>
      </w:r>
    </w:p>
  </w:footnote>
  <w:footnote w:id="2">
    <w:p w14:paraId="75845A4E" w14:textId="77777777" w:rsidR="00824F60" w:rsidRPr="00E01C47" w:rsidRDefault="00824F60"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w:t>
      </w:r>
      <w:r w:rsidRPr="00E01C47">
        <w:rPr>
          <w:rFonts w:ascii="Verdana" w:hAnsi="Verdana"/>
          <w:color w:val="000000"/>
          <w:sz w:val="16"/>
          <w:szCs w:val="16"/>
          <w:lang w:val="en-GB"/>
        </w:rPr>
        <w:t>Specialised investment funds (or “</w:t>
      </w:r>
      <w:r w:rsidRPr="00E01C47">
        <w:rPr>
          <w:rFonts w:ascii="Verdana" w:hAnsi="Verdana"/>
          <w:b/>
          <w:bCs/>
          <w:color w:val="002060"/>
          <w:sz w:val="16"/>
          <w:szCs w:val="16"/>
          <w:lang w:val="en-GB"/>
        </w:rPr>
        <w:t>SIFs</w:t>
      </w:r>
      <w:r w:rsidRPr="00E01C47">
        <w:rPr>
          <w:rFonts w:ascii="Verdana" w:hAnsi="Verdana"/>
          <w:color w:val="000000"/>
          <w:sz w:val="16"/>
          <w:szCs w:val="16"/>
          <w:lang w:val="en-GB"/>
        </w:rPr>
        <w:t xml:space="preserve">”) are </w:t>
      </w:r>
      <w:r w:rsidRPr="00E01C47">
        <w:rPr>
          <w:rFonts w:ascii="Verdana" w:hAnsi="Verdana" w:cs="Arial"/>
          <w:color w:val="000000" w:themeColor="text1"/>
          <w:sz w:val="16"/>
          <w:szCs w:val="16"/>
          <w:lang w:val="en-GB"/>
        </w:rPr>
        <w:t>subject to the Luxembourg Act of 13 February 2007 relating to specialised investment funds (the “</w:t>
      </w:r>
      <w:r w:rsidRPr="00E01C47">
        <w:rPr>
          <w:rFonts w:ascii="Verdana" w:hAnsi="Verdana" w:cs="Arial"/>
          <w:b/>
          <w:bCs/>
          <w:color w:val="002060"/>
          <w:sz w:val="16"/>
          <w:szCs w:val="16"/>
          <w:lang w:val="en-GB"/>
        </w:rPr>
        <w:t>SIF Act 2007</w:t>
      </w:r>
      <w:r w:rsidRPr="00E01C47">
        <w:rPr>
          <w:rFonts w:ascii="Verdana" w:hAnsi="Verdana" w:cs="Arial"/>
          <w:color w:val="000000" w:themeColor="text1"/>
          <w:sz w:val="16"/>
          <w:szCs w:val="16"/>
          <w:lang w:val="en-GB"/>
        </w:rPr>
        <w:t>”) (</w:t>
      </w:r>
      <w:proofErr w:type="spellStart"/>
      <w:r w:rsidRPr="00E01C47">
        <w:rPr>
          <w:rFonts w:ascii="Verdana" w:hAnsi="Verdana" w:cs="Arial"/>
          <w:color w:val="000000" w:themeColor="text1"/>
          <w:sz w:val="16"/>
          <w:szCs w:val="16"/>
          <w:lang w:val="en-GB"/>
        </w:rPr>
        <w:t>i</w:t>
      </w:r>
      <w:proofErr w:type="spellEnd"/>
      <w:r w:rsidRPr="00E01C47">
        <w:rPr>
          <w:rFonts w:ascii="Verdana" w:hAnsi="Verdana" w:cs="Arial"/>
          <w:color w:val="000000" w:themeColor="text1"/>
          <w:sz w:val="16"/>
          <w:szCs w:val="16"/>
          <w:lang w:val="en-GB"/>
        </w:rPr>
        <w:t xml:space="preserve">) amending the Act of 20 December 2002 relating to undertakings for collective investment, as amended; and (ii) amending the Act of 12 February 1979 on value added tax, as amended; </w:t>
      </w:r>
      <w:proofErr w:type="spellStart"/>
      <w:r w:rsidRPr="00E01C47">
        <w:rPr>
          <w:rFonts w:ascii="Verdana" w:hAnsi="Verdana" w:cs="Arial"/>
          <w:i/>
          <w:iCs/>
          <w:color w:val="000000" w:themeColor="text1"/>
          <w:sz w:val="16"/>
          <w:szCs w:val="16"/>
          <w:lang w:val="en-GB"/>
        </w:rPr>
        <w:t>Mémorial</w:t>
      </w:r>
      <w:proofErr w:type="spellEnd"/>
      <w:r w:rsidRPr="00E01C47">
        <w:rPr>
          <w:rFonts w:ascii="Verdana" w:hAnsi="Verdana" w:cs="Arial"/>
          <w:i/>
          <w:iCs/>
          <w:color w:val="000000" w:themeColor="text1"/>
          <w:sz w:val="16"/>
          <w:szCs w:val="16"/>
          <w:lang w:val="en-GB"/>
        </w:rPr>
        <w:t xml:space="preserve"> A – N° 13</w:t>
      </w:r>
      <w:r w:rsidRPr="00E01C47">
        <w:rPr>
          <w:rFonts w:ascii="Verdana" w:hAnsi="Verdana" w:cs="Arial"/>
          <w:color w:val="000000" w:themeColor="text1"/>
          <w:sz w:val="16"/>
          <w:szCs w:val="16"/>
          <w:lang w:val="en-GB"/>
        </w:rPr>
        <w:t xml:space="preserve">, 13 February 2007, Parl. doc. 5616; </w:t>
      </w:r>
      <w:hyperlink r:id="rId3" w:history="1">
        <w:r w:rsidRPr="00E01C47">
          <w:rPr>
            <w:rStyle w:val="Hyperlink"/>
            <w:rFonts w:ascii="Verdana" w:hAnsi="Verdana" w:cs="Arial"/>
            <w:sz w:val="16"/>
            <w:szCs w:val="16"/>
            <w:lang w:val="en-GB"/>
          </w:rPr>
          <w:t>https://legilux.public.lu/eli/etat/leg/loi/2007/02/13/n1/jo</w:t>
        </w:r>
      </w:hyperlink>
      <w:r w:rsidRPr="00E01C47">
        <w:rPr>
          <w:rFonts w:ascii="Verdana" w:hAnsi="Verdana" w:cs="Arial"/>
          <w:color w:val="000000" w:themeColor="text1"/>
          <w:sz w:val="16"/>
          <w:szCs w:val="16"/>
          <w:lang w:val="en-GB"/>
        </w:rPr>
        <w:t xml:space="preserve"> (last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 xml:space="preserve">2026); for its coordinated version see: </w:t>
      </w:r>
      <w:hyperlink r:id="rId4" w:history="1">
        <w:r w:rsidRPr="00E01C47">
          <w:rPr>
            <w:rStyle w:val="Hyperlink"/>
            <w:rFonts w:ascii="Verdana" w:hAnsi="Verdana" w:cs="Arial"/>
            <w:sz w:val="16"/>
            <w:szCs w:val="16"/>
            <w:lang w:val="en-GB"/>
          </w:rPr>
          <w:t>https://www.cssf.lu/wp-content/uploads/L_130207_SIF.pdf</w:t>
        </w:r>
      </w:hyperlink>
      <w:r w:rsidRPr="00E01C47">
        <w:rPr>
          <w:rFonts w:ascii="Verdana" w:hAnsi="Verdana" w:cs="Arial"/>
          <w:color w:val="000000" w:themeColor="text1"/>
          <w:sz w:val="16"/>
          <w:szCs w:val="16"/>
          <w:lang w:val="en-GB"/>
        </w:rPr>
        <w:t xml:space="preserve"> (last accessed on </w:t>
      </w:r>
      <w:r w:rsidRPr="00E01C47">
        <w:rPr>
          <w:rFonts w:ascii="Verdana" w:hAnsi="Verdana"/>
          <w:color w:val="000000"/>
          <w:sz w:val="16"/>
          <w:szCs w:val="16"/>
          <w:lang w:val="en-GB"/>
        </w:rPr>
        <w:t xml:space="preserve">3 January </w:t>
      </w:r>
      <w:r w:rsidRPr="00E01C47">
        <w:rPr>
          <w:rFonts w:ascii="Verdana" w:hAnsi="Verdana" w:cs="Arial"/>
          <w:color w:val="000000" w:themeColor="text1"/>
          <w:sz w:val="16"/>
          <w:szCs w:val="16"/>
          <w:lang w:val="en-GB"/>
        </w:rPr>
        <w:t>2026).</w:t>
      </w:r>
    </w:p>
  </w:footnote>
  <w:footnote w:id="3">
    <w:p w14:paraId="71895845" w14:textId="77777777" w:rsidR="00824F60" w:rsidRPr="00E01C47" w:rsidRDefault="00824F60" w:rsidP="00824F60">
      <w:pPr>
        <w:pStyle w:val="p1"/>
        <w:ind w:right="-330"/>
        <w:jc w:val="both"/>
        <w:rPr>
          <w:rFonts w:cs="Arial"/>
          <w:color w:val="000000" w:themeColor="text1"/>
          <w:sz w:val="16"/>
          <w:szCs w:val="16"/>
          <w:lang w:val="en-GB"/>
        </w:rPr>
      </w:pPr>
      <w:r w:rsidRPr="00E01C47">
        <w:rPr>
          <w:rStyle w:val="FootnoteReference"/>
          <w:sz w:val="16"/>
          <w:szCs w:val="16"/>
          <w:lang w:val="en-GB"/>
        </w:rPr>
        <w:footnoteRef/>
      </w:r>
      <w:r w:rsidRPr="00E01C47">
        <w:rPr>
          <w:sz w:val="16"/>
          <w:szCs w:val="16"/>
          <w:lang w:val="en-GB"/>
        </w:rPr>
        <w:t xml:space="preserve"> </w:t>
      </w:r>
      <w:r w:rsidRPr="00E01C47">
        <w:rPr>
          <w:rFonts w:cs="Arial"/>
          <w:color w:val="000000" w:themeColor="text1"/>
          <w:sz w:val="16"/>
          <w:szCs w:val="16"/>
          <w:lang w:val="en-GB"/>
        </w:rPr>
        <w:t>Undertakings for collective investment in transferable securities (the “</w:t>
      </w:r>
      <w:r w:rsidRPr="00E01C47">
        <w:rPr>
          <w:rFonts w:cs="Arial"/>
          <w:b/>
          <w:bCs/>
          <w:color w:val="002060"/>
          <w:sz w:val="16"/>
          <w:szCs w:val="16"/>
          <w:lang w:val="en-GB"/>
        </w:rPr>
        <w:t>UCITS</w:t>
      </w:r>
      <w:r w:rsidRPr="00E01C47">
        <w:rPr>
          <w:rFonts w:cs="Arial"/>
          <w:color w:val="000000" w:themeColor="text1"/>
          <w:sz w:val="16"/>
          <w:szCs w:val="16"/>
          <w:lang w:val="en-GB"/>
        </w:rPr>
        <w:t>”) and the other undertakings for collective investment referred to in the same Act (the “</w:t>
      </w:r>
      <w:r w:rsidRPr="00E01C47">
        <w:rPr>
          <w:rFonts w:cs="Arial"/>
          <w:b/>
          <w:bCs/>
          <w:color w:val="002060"/>
          <w:sz w:val="16"/>
          <w:szCs w:val="16"/>
          <w:lang w:val="en-GB"/>
        </w:rPr>
        <w:t>Part II UCIs</w:t>
      </w:r>
      <w:r w:rsidRPr="00E01C47">
        <w:rPr>
          <w:rFonts w:cs="Arial"/>
          <w:color w:val="000000" w:themeColor="text1"/>
          <w:sz w:val="16"/>
          <w:szCs w:val="16"/>
          <w:lang w:val="en-GB"/>
        </w:rPr>
        <w:t xml:space="preserve">”) </w:t>
      </w:r>
      <w:r w:rsidRPr="00E01C47">
        <w:rPr>
          <w:sz w:val="16"/>
          <w:szCs w:val="16"/>
          <w:lang w:val="en-GB"/>
        </w:rPr>
        <w:t xml:space="preserve">are subject </w:t>
      </w:r>
      <w:r w:rsidRPr="00E01C47">
        <w:rPr>
          <w:rFonts w:cs="Arial"/>
          <w:color w:val="000000" w:themeColor="text1"/>
          <w:sz w:val="16"/>
          <w:szCs w:val="16"/>
          <w:lang w:val="en-GB"/>
        </w:rPr>
        <w:t>to the Luxembourg Act of 17 December 2010 relating to undertakings for collective investment (the “</w:t>
      </w:r>
      <w:r w:rsidRPr="00E01C47">
        <w:rPr>
          <w:rFonts w:cs="Arial"/>
          <w:b/>
          <w:bCs/>
          <w:color w:val="002060"/>
          <w:sz w:val="16"/>
          <w:szCs w:val="16"/>
          <w:lang w:val="en-GB"/>
        </w:rPr>
        <w:t>UCI Act 2010</w:t>
      </w:r>
      <w:r w:rsidRPr="00E01C47">
        <w:rPr>
          <w:rFonts w:cs="Arial"/>
          <w:color w:val="000000" w:themeColor="text1"/>
          <w:sz w:val="16"/>
          <w:szCs w:val="16"/>
          <w:lang w:val="en-GB"/>
        </w:rPr>
        <w:t xml:space="preserve">”): transposing Directive 2009/65/EC of the European Parliament and of the Council of 13 July 2009 on the coordination of laws, regulations and administrative provisions relating to undertakings for collective investment in transferable securities (UCITS) (recast); amending: the Act of 20 December 2002 relating to undertakings for collective investment, as amended; the Act of 13 February 2007 relating to specialised investment funds, as amended; and Article 156 of the Law of 4 December 1967 on income tax; </w:t>
      </w:r>
      <w:proofErr w:type="spellStart"/>
      <w:r w:rsidRPr="00E01C47">
        <w:rPr>
          <w:rFonts w:cs="Arial"/>
          <w:i/>
          <w:iCs/>
          <w:color w:val="000000" w:themeColor="text1"/>
          <w:sz w:val="16"/>
          <w:szCs w:val="16"/>
          <w:lang w:val="en-GB"/>
        </w:rPr>
        <w:t>Mémorial</w:t>
      </w:r>
      <w:proofErr w:type="spellEnd"/>
      <w:r w:rsidRPr="00E01C47">
        <w:rPr>
          <w:rFonts w:cs="Arial"/>
          <w:i/>
          <w:iCs/>
          <w:color w:val="000000" w:themeColor="text1"/>
          <w:sz w:val="16"/>
          <w:szCs w:val="16"/>
          <w:lang w:val="en-GB"/>
        </w:rPr>
        <w:t xml:space="preserve"> A – N° 239</w:t>
      </w:r>
      <w:r w:rsidRPr="00E01C47">
        <w:rPr>
          <w:rFonts w:cs="Arial"/>
          <w:color w:val="000000" w:themeColor="text1"/>
          <w:sz w:val="16"/>
          <w:szCs w:val="16"/>
          <w:lang w:val="en-GB"/>
        </w:rPr>
        <w:t xml:space="preserve">, 17 December 2010, Doc. parl. 6170; </w:t>
      </w:r>
      <w:hyperlink r:id="rId5" w:history="1">
        <w:r w:rsidRPr="00E01C47">
          <w:rPr>
            <w:rStyle w:val="Hyperlink"/>
            <w:rFonts w:cs="Arial"/>
            <w:sz w:val="16"/>
            <w:szCs w:val="16"/>
            <w:lang w:val="en-GB"/>
          </w:rPr>
          <w:t>https://legilux.public.lu/eli/etat/leg/loi/2010/12/17/n9/jo</w:t>
        </w:r>
      </w:hyperlink>
      <w:r w:rsidRPr="00E01C47">
        <w:rPr>
          <w:rFonts w:cs="Arial"/>
          <w:color w:val="000000" w:themeColor="text1"/>
          <w:sz w:val="16"/>
          <w:szCs w:val="16"/>
          <w:lang w:val="en-GB"/>
        </w:rPr>
        <w:t xml:space="preserve"> (last accessed on </w:t>
      </w:r>
      <w:r w:rsidRPr="00E01C47">
        <w:rPr>
          <w:sz w:val="16"/>
          <w:szCs w:val="16"/>
          <w:lang w:val="en-GB"/>
        </w:rPr>
        <w:t xml:space="preserve">3 January </w:t>
      </w:r>
      <w:r w:rsidRPr="00E01C47">
        <w:rPr>
          <w:rFonts w:cs="Arial"/>
          <w:color w:val="000000" w:themeColor="text1"/>
          <w:sz w:val="16"/>
          <w:szCs w:val="16"/>
          <w:lang w:val="en-GB"/>
        </w:rPr>
        <w:t xml:space="preserve">2026); for its coordinated version see: </w:t>
      </w:r>
      <w:hyperlink r:id="rId6" w:history="1">
        <w:r w:rsidRPr="00E01C47">
          <w:rPr>
            <w:rStyle w:val="Hyperlink"/>
            <w:rFonts w:cs="Arial"/>
            <w:sz w:val="16"/>
            <w:szCs w:val="16"/>
            <w:lang w:val="en-GB"/>
          </w:rPr>
          <w:t>https://www.cssf.lu/wp-content/uploads/L_171210_UCI.pdf</w:t>
        </w:r>
      </w:hyperlink>
      <w:r w:rsidRPr="00E01C47">
        <w:rPr>
          <w:rFonts w:cs="Arial"/>
          <w:color w:val="000000" w:themeColor="text1"/>
          <w:sz w:val="16"/>
          <w:szCs w:val="16"/>
          <w:lang w:val="en-GB"/>
        </w:rPr>
        <w:t xml:space="preserve"> (last accessed on </w:t>
      </w:r>
      <w:r w:rsidRPr="00E01C47">
        <w:rPr>
          <w:sz w:val="16"/>
          <w:szCs w:val="16"/>
          <w:lang w:val="en-GB"/>
        </w:rPr>
        <w:t xml:space="preserve">3 January </w:t>
      </w:r>
      <w:r w:rsidRPr="00E01C47">
        <w:rPr>
          <w:rFonts w:cs="Arial"/>
          <w:color w:val="000000" w:themeColor="text1"/>
          <w:sz w:val="16"/>
          <w:szCs w:val="16"/>
          <w:lang w:val="en-GB"/>
        </w:rPr>
        <w:t>2026).</w:t>
      </w:r>
    </w:p>
  </w:footnote>
  <w:footnote w:id="4">
    <w:p w14:paraId="3D0C4B86" w14:textId="77777777" w:rsidR="00824F60" w:rsidRPr="00E01C47" w:rsidRDefault="00824F60" w:rsidP="00824F60">
      <w:pPr>
        <w:pStyle w:val="p1"/>
        <w:ind w:right="-330"/>
        <w:jc w:val="both"/>
        <w:rPr>
          <w:rFonts w:cs="Arial"/>
          <w:color w:val="000000" w:themeColor="text1"/>
          <w:sz w:val="16"/>
          <w:szCs w:val="16"/>
          <w:lang w:val="en-GB"/>
        </w:rPr>
      </w:pPr>
      <w:r w:rsidRPr="00E01C47">
        <w:rPr>
          <w:rStyle w:val="FootnoteReference"/>
          <w:sz w:val="16"/>
          <w:szCs w:val="16"/>
          <w:lang w:val="en-GB"/>
        </w:rPr>
        <w:footnoteRef/>
      </w:r>
      <w:r w:rsidRPr="00E01C47">
        <w:rPr>
          <w:sz w:val="16"/>
          <w:szCs w:val="16"/>
          <w:lang w:val="en-GB"/>
        </w:rPr>
        <w:t xml:space="preserve"> </w:t>
      </w:r>
      <w:r w:rsidRPr="00E01C47">
        <w:rPr>
          <w:rFonts w:cs="Arial"/>
          <w:color w:val="000000" w:themeColor="text1"/>
          <w:sz w:val="16"/>
          <w:szCs w:val="16"/>
          <w:lang w:val="en-GB"/>
        </w:rPr>
        <w:t>Reserved alternative investment funds (the “</w:t>
      </w:r>
      <w:r w:rsidRPr="00E01C47">
        <w:rPr>
          <w:b/>
          <w:bCs/>
          <w:color w:val="002060"/>
          <w:sz w:val="16"/>
          <w:szCs w:val="16"/>
          <w:lang w:val="en-GB"/>
        </w:rPr>
        <w:t>RAIFs</w:t>
      </w:r>
      <w:r w:rsidRPr="00E01C47">
        <w:rPr>
          <w:sz w:val="16"/>
          <w:szCs w:val="16"/>
          <w:lang w:val="en-GB"/>
        </w:rPr>
        <w:t xml:space="preserve">”) are subject </w:t>
      </w:r>
      <w:r w:rsidRPr="00E01C47">
        <w:rPr>
          <w:rFonts w:cs="Arial"/>
          <w:color w:val="000000" w:themeColor="text1"/>
          <w:sz w:val="16"/>
          <w:szCs w:val="16"/>
          <w:lang w:val="en-GB"/>
        </w:rPr>
        <w:t>to the Luxembourg Act of 23 July 2016 relating to reserved alternative investment funds (the “</w:t>
      </w:r>
      <w:r w:rsidRPr="00E01C47">
        <w:rPr>
          <w:rFonts w:cs="Arial"/>
          <w:b/>
          <w:bCs/>
          <w:color w:val="002060"/>
          <w:sz w:val="16"/>
          <w:szCs w:val="16"/>
          <w:lang w:val="en-GB"/>
        </w:rPr>
        <w:t>RAIF Act 2016</w:t>
      </w:r>
      <w:r w:rsidRPr="00E01C47">
        <w:rPr>
          <w:rFonts w:cs="Arial"/>
          <w:color w:val="000000" w:themeColor="text1"/>
          <w:sz w:val="16"/>
          <w:szCs w:val="16"/>
          <w:lang w:val="en-GB"/>
        </w:rPr>
        <w:t>”) and amending (</w:t>
      </w:r>
      <w:proofErr w:type="spellStart"/>
      <w:r w:rsidRPr="00E01C47">
        <w:rPr>
          <w:rFonts w:cs="Arial"/>
          <w:color w:val="000000" w:themeColor="text1"/>
          <w:sz w:val="16"/>
          <w:szCs w:val="16"/>
          <w:lang w:val="en-GB"/>
        </w:rPr>
        <w:t>i</w:t>
      </w:r>
      <w:proofErr w:type="spellEnd"/>
      <w:r w:rsidRPr="00E01C47">
        <w:rPr>
          <w:rFonts w:cs="Arial"/>
          <w:color w:val="000000" w:themeColor="text1"/>
          <w:sz w:val="16"/>
          <w:szCs w:val="16"/>
          <w:lang w:val="en-GB"/>
        </w:rPr>
        <w:t xml:space="preserve">) the Act of 16 October 1934 on wealth tax, as amended; (ii) the Act of 1 December 1936 on commercial tax, as amended; (iii) the Act of 4 December 1967 on income tax, as amended; (iv) the Act of 5 April 1993 on the financial sector, as amended; (v) the Act of 13 February 2007 relating to specialised investment funds, as amended; and (vi) the Act of 17 December 2010 relating to undertakings for collective investment, as amended; </w:t>
      </w:r>
      <w:proofErr w:type="spellStart"/>
      <w:r w:rsidRPr="00E01C47">
        <w:rPr>
          <w:rFonts w:cs="Arial"/>
          <w:i/>
          <w:iCs/>
          <w:color w:val="000000" w:themeColor="text1"/>
          <w:sz w:val="16"/>
          <w:szCs w:val="16"/>
          <w:lang w:val="en-GB"/>
        </w:rPr>
        <w:t>Mémorial</w:t>
      </w:r>
      <w:proofErr w:type="spellEnd"/>
      <w:r w:rsidRPr="00E01C47">
        <w:rPr>
          <w:rFonts w:cs="Arial"/>
          <w:i/>
          <w:iCs/>
          <w:color w:val="000000" w:themeColor="text1"/>
          <w:sz w:val="16"/>
          <w:szCs w:val="16"/>
          <w:lang w:val="en-GB"/>
        </w:rPr>
        <w:t xml:space="preserve"> A – N° 140</w:t>
      </w:r>
      <w:r w:rsidRPr="00E01C47">
        <w:rPr>
          <w:rFonts w:cs="Arial"/>
          <w:color w:val="000000" w:themeColor="text1"/>
          <w:sz w:val="16"/>
          <w:szCs w:val="16"/>
          <w:lang w:val="en-GB"/>
        </w:rPr>
        <w:t xml:space="preserve">, 28 July 2016, Doc. parl. 8183; </w:t>
      </w:r>
      <w:hyperlink r:id="rId7" w:history="1">
        <w:r w:rsidRPr="00E01C47">
          <w:rPr>
            <w:rStyle w:val="Hyperlink"/>
            <w:rFonts w:cs="Arial"/>
            <w:sz w:val="16"/>
            <w:szCs w:val="16"/>
            <w:lang w:val="en-GB"/>
          </w:rPr>
          <w:t>https://legilux.public.lu/eli/etat/leg/loi/2023/07/21/a442/jo</w:t>
        </w:r>
      </w:hyperlink>
      <w:r w:rsidRPr="00E01C47">
        <w:rPr>
          <w:rFonts w:cs="Arial"/>
          <w:color w:val="000000" w:themeColor="text1"/>
          <w:sz w:val="16"/>
          <w:szCs w:val="16"/>
          <w:lang w:val="en-GB"/>
        </w:rPr>
        <w:t xml:space="preserve"> (last accessed on </w:t>
      </w:r>
      <w:r w:rsidRPr="00E01C47">
        <w:rPr>
          <w:sz w:val="16"/>
          <w:szCs w:val="16"/>
          <w:lang w:val="en-GB"/>
        </w:rPr>
        <w:t xml:space="preserve">3 January </w:t>
      </w:r>
      <w:r w:rsidRPr="00E01C47">
        <w:rPr>
          <w:rFonts w:cs="Arial"/>
          <w:color w:val="000000" w:themeColor="text1"/>
          <w:sz w:val="16"/>
          <w:szCs w:val="16"/>
          <w:lang w:val="en-GB"/>
        </w:rPr>
        <w:t xml:space="preserve">2026); for its coordinated version see: </w:t>
      </w:r>
      <w:hyperlink r:id="rId8" w:history="1">
        <w:r w:rsidRPr="00E01C47">
          <w:rPr>
            <w:rStyle w:val="Hyperlink"/>
            <w:rFonts w:cs="Arial"/>
            <w:sz w:val="16"/>
            <w:szCs w:val="16"/>
            <w:lang w:val="en-GB"/>
          </w:rPr>
          <w:t>https://www.cssf.lu/wp-content/uploads/L_230716_RAIF_eng.pdf</w:t>
        </w:r>
      </w:hyperlink>
      <w:r w:rsidRPr="00E01C47">
        <w:rPr>
          <w:rFonts w:cs="Arial"/>
          <w:color w:val="000000" w:themeColor="text1"/>
          <w:sz w:val="16"/>
          <w:szCs w:val="16"/>
          <w:lang w:val="en-GB"/>
        </w:rPr>
        <w:t xml:space="preserve"> (last accessed on </w:t>
      </w:r>
      <w:r w:rsidRPr="00E01C47">
        <w:rPr>
          <w:sz w:val="16"/>
          <w:szCs w:val="16"/>
          <w:lang w:val="en-GB"/>
        </w:rPr>
        <w:t xml:space="preserve">3 January </w:t>
      </w:r>
      <w:r w:rsidRPr="00E01C47">
        <w:rPr>
          <w:rFonts w:cs="Arial"/>
          <w:color w:val="000000" w:themeColor="text1"/>
          <w:sz w:val="16"/>
          <w:szCs w:val="16"/>
          <w:lang w:val="en-GB"/>
        </w:rPr>
        <w:t>2026).</w:t>
      </w:r>
    </w:p>
  </w:footnote>
  <w:footnote w:id="5">
    <w:p w14:paraId="271163AA" w14:textId="0E69E254" w:rsidR="00E01C47" w:rsidRPr="00E01C47" w:rsidRDefault="002536BE"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w:t>
      </w:r>
      <w:r w:rsidR="00E01C47" w:rsidRPr="00E01C47">
        <w:rPr>
          <w:rFonts w:ascii="Verdana" w:hAnsi="Verdana"/>
          <w:sz w:val="16"/>
          <w:szCs w:val="16"/>
          <w:lang w:val="en-GB"/>
        </w:rPr>
        <w:t xml:space="preserve">See the </w:t>
      </w:r>
      <w:r w:rsidR="00E01C47">
        <w:rPr>
          <w:rFonts w:ascii="Verdana" w:hAnsi="Verdana"/>
          <w:sz w:val="16"/>
          <w:szCs w:val="16"/>
          <w:lang w:val="en-GB"/>
        </w:rPr>
        <w:t>coordinated</w:t>
      </w:r>
      <w:r w:rsidR="00E01C47" w:rsidRPr="00E01C47">
        <w:rPr>
          <w:rFonts w:ascii="Verdana" w:hAnsi="Verdana"/>
          <w:sz w:val="16"/>
          <w:szCs w:val="16"/>
          <w:lang w:val="en-GB"/>
        </w:rPr>
        <w:t xml:space="preserve"> version of the Luxembourg Act of 10 August 1915 on Commercial Companies</w:t>
      </w:r>
      <w:r w:rsidR="00DB1668">
        <w:rPr>
          <w:rFonts w:ascii="Verdana" w:hAnsi="Verdana"/>
          <w:sz w:val="16"/>
          <w:szCs w:val="16"/>
          <w:lang w:val="en-GB"/>
        </w:rPr>
        <w:t xml:space="preserve"> </w:t>
      </w:r>
      <w:r w:rsidR="00DB1668" w:rsidRPr="00616655">
        <w:rPr>
          <w:rFonts w:ascii="Verdana" w:hAnsi="Verdana" w:cs="Arial"/>
          <w:color w:val="000000" w:themeColor="text1"/>
          <w:sz w:val="16"/>
          <w:szCs w:val="16"/>
          <w:lang w:val="en-GB"/>
        </w:rPr>
        <w:t>(the “</w:t>
      </w:r>
      <w:r w:rsidR="00DB1668">
        <w:rPr>
          <w:rFonts w:ascii="Verdana" w:hAnsi="Verdana" w:cs="Arial"/>
          <w:b/>
          <w:bCs/>
          <w:color w:val="002060"/>
          <w:sz w:val="16"/>
          <w:szCs w:val="16"/>
          <w:lang w:val="en-GB"/>
        </w:rPr>
        <w:t>Company</w:t>
      </w:r>
      <w:r w:rsidR="00DB1668" w:rsidRPr="00616655">
        <w:rPr>
          <w:rFonts w:ascii="Verdana" w:hAnsi="Verdana" w:cs="Arial"/>
          <w:b/>
          <w:bCs/>
          <w:color w:val="002060"/>
          <w:sz w:val="16"/>
          <w:szCs w:val="16"/>
          <w:lang w:val="en-GB"/>
        </w:rPr>
        <w:t xml:space="preserve"> </w:t>
      </w:r>
      <w:r w:rsidR="00DB1668" w:rsidRPr="00616655">
        <w:rPr>
          <w:rFonts w:ascii="Verdana" w:hAnsi="Verdana" w:cs="Arial"/>
          <w:b/>
          <w:bCs/>
          <w:color w:val="002060"/>
          <w:sz w:val="16"/>
          <w:szCs w:val="16"/>
          <w:lang w:val="en-GB"/>
        </w:rPr>
        <w:t xml:space="preserve">Act </w:t>
      </w:r>
      <w:r w:rsidR="00DB1668">
        <w:rPr>
          <w:rFonts w:ascii="Verdana" w:hAnsi="Verdana" w:cs="Arial"/>
          <w:b/>
          <w:bCs/>
          <w:color w:val="002060"/>
          <w:sz w:val="16"/>
          <w:szCs w:val="16"/>
          <w:lang w:val="en-GB"/>
        </w:rPr>
        <w:t>1915</w:t>
      </w:r>
      <w:r w:rsidR="00DB1668" w:rsidRPr="00616655">
        <w:rPr>
          <w:rFonts w:ascii="Verdana" w:hAnsi="Verdana" w:cs="Arial"/>
          <w:color w:val="000000" w:themeColor="text1"/>
          <w:sz w:val="16"/>
          <w:szCs w:val="16"/>
          <w:lang w:val="en-GB"/>
        </w:rPr>
        <w:t>”)</w:t>
      </w:r>
      <w:r w:rsidR="00E01C47" w:rsidRPr="00E01C47">
        <w:rPr>
          <w:rFonts w:ascii="Verdana" w:hAnsi="Verdana"/>
          <w:sz w:val="16"/>
          <w:szCs w:val="16"/>
          <w:lang w:val="en-GB"/>
        </w:rPr>
        <w:t xml:space="preserve">: </w:t>
      </w:r>
      <w:hyperlink r:id="rId9" w:history="1">
        <w:r w:rsidR="00E01C47" w:rsidRPr="00E01C47">
          <w:rPr>
            <w:rStyle w:val="Hyperlink"/>
            <w:rFonts w:ascii="Verdana" w:hAnsi="Verdana"/>
            <w:sz w:val="16"/>
            <w:szCs w:val="16"/>
            <w:lang w:val="en-GB"/>
          </w:rPr>
          <w:t>https://legilux.public.lu/eli/etat/leg/loi/1915/08/10/n1/consolide/20250302</w:t>
        </w:r>
      </w:hyperlink>
      <w:r w:rsidR="00E01C47" w:rsidRPr="00E01C47">
        <w:rPr>
          <w:rFonts w:ascii="Verdana" w:hAnsi="Verdana"/>
          <w:sz w:val="16"/>
          <w:szCs w:val="16"/>
          <w:lang w:val="en-GB"/>
        </w:rPr>
        <w:t xml:space="preserve"> (</w:t>
      </w:r>
      <w:r w:rsidR="00E01C47" w:rsidRPr="00E01C47">
        <w:rPr>
          <w:rFonts w:ascii="Verdana" w:hAnsi="Verdana" w:cs="Arial"/>
          <w:color w:val="000000" w:themeColor="text1"/>
          <w:sz w:val="16"/>
          <w:szCs w:val="16"/>
          <w:lang w:val="en-GB"/>
        </w:rPr>
        <w:t xml:space="preserve">last accessed on </w:t>
      </w:r>
      <w:r w:rsidR="00E01C47" w:rsidRPr="00E01C47">
        <w:rPr>
          <w:rFonts w:ascii="Verdana" w:hAnsi="Verdana"/>
          <w:sz w:val="16"/>
          <w:szCs w:val="16"/>
          <w:lang w:val="en-GB"/>
        </w:rPr>
        <w:t xml:space="preserve">3 January </w:t>
      </w:r>
      <w:r w:rsidR="00E01C47" w:rsidRPr="00E01C47">
        <w:rPr>
          <w:rFonts w:ascii="Verdana" w:hAnsi="Verdana" w:cs="Arial"/>
          <w:color w:val="000000" w:themeColor="text1"/>
          <w:sz w:val="16"/>
          <w:szCs w:val="16"/>
          <w:lang w:val="en-GB"/>
        </w:rPr>
        <w:t>2026</w:t>
      </w:r>
      <w:r w:rsidR="00E01C47" w:rsidRPr="00E01C47">
        <w:rPr>
          <w:rFonts w:ascii="Verdana" w:hAnsi="Verdana"/>
          <w:sz w:val="16"/>
          <w:szCs w:val="16"/>
          <w:lang w:val="en-GB"/>
        </w:rPr>
        <w:t>).</w:t>
      </w:r>
    </w:p>
  </w:footnote>
  <w:footnote w:id="6">
    <w:p w14:paraId="0B935F02" w14:textId="0A404A03" w:rsidR="009144E3" w:rsidRPr="00E01C47" w:rsidRDefault="009144E3"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w:t>
      </w:r>
      <w:r w:rsidRPr="00E01C47">
        <w:rPr>
          <w:rFonts w:ascii="Verdana" w:hAnsi="Verdana"/>
          <w:i/>
          <w:iCs/>
          <w:sz w:val="16"/>
          <w:szCs w:val="16"/>
          <w:lang w:val="en-GB"/>
        </w:rPr>
        <w:t>i.e.</w:t>
      </w:r>
      <w:r w:rsidRPr="00E01C47">
        <w:rPr>
          <w:rFonts w:ascii="Verdana" w:hAnsi="Verdana"/>
          <w:sz w:val="16"/>
          <w:szCs w:val="16"/>
          <w:lang w:val="en-GB"/>
        </w:rPr>
        <w:t xml:space="preserve">, all Product </w:t>
      </w:r>
      <w:r w:rsidR="002536BE" w:rsidRPr="00E01C47">
        <w:rPr>
          <w:rFonts w:ascii="Verdana" w:hAnsi="Verdana"/>
          <w:sz w:val="16"/>
          <w:szCs w:val="16"/>
          <w:lang w:val="en-GB"/>
        </w:rPr>
        <w:t xml:space="preserve">Fund </w:t>
      </w:r>
      <w:r w:rsidRPr="00E01C47">
        <w:rPr>
          <w:rFonts w:ascii="Verdana" w:hAnsi="Verdana"/>
          <w:sz w:val="16"/>
          <w:szCs w:val="16"/>
          <w:lang w:val="en-GB"/>
        </w:rPr>
        <w:t xml:space="preserve">Laws with the exception of the SICAR Act 2004 which does not provide for the possibility of creating a SICAR in </w:t>
      </w:r>
      <w:r w:rsidR="002536BE" w:rsidRPr="00E01C47">
        <w:rPr>
          <w:rFonts w:ascii="Verdana" w:hAnsi="Verdana"/>
          <w:sz w:val="16"/>
          <w:szCs w:val="16"/>
          <w:lang w:val="en-GB"/>
        </w:rPr>
        <w:t>an</w:t>
      </w:r>
      <w:r w:rsidRPr="00E01C47">
        <w:rPr>
          <w:rFonts w:ascii="Verdana" w:hAnsi="Verdana"/>
          <w:sz w:val="16"/>
          <w:szCs w:val="16"/>
          <w:lang w:val="en-GB"/>
        </w:rPr>
        <w:t xml:space="preserve"> FCP form.</w:t>
      </w:r>
    </w:p>
  </w:footnote>
  <w:footnote w:id="7">
    <w:p w14:paraId="6046A131" w14:textId="600382FC"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4(2) of the SICAR Act, Article 25 of the SIF Act 2007, Article 93(1) of the UCI Act 2010, and Article 23 of the RAIF Act 2016. This variation of capital may come namely as a result of subscriptions and redemptions or the variation in value of the underlying portfolio, or debts accruing to the SICAV.</w:t>
      </w:r>
    </w:p>
  </w:footnote>
  <w:footnote w:id="8">
    <w:p w14:paraId="3BF16A67" w14:textId="496306A0"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3(2)-(3) of the SICAR Act, Article 71(1)-(2) of the SIF Act 2007, Article 181(1)-(2) of the UCI Act 2010, and Article 49(1)-(2) of the RAIF Act 2016.</w:t>
      </w:r>
      <w:r w:rsidR="00511911" w:rsidRPr="00E01C47">
        <w:rPr>
          <w:rFonts w:ascii="Verdana" w:hAnsi="Verdana"/>
          <w:sz w:val="16"/>
          <w:szCs w:val="16"/>
          <w:lang w:val="en-GB"/>
        </w:rPr>
        <w:t xml:space="preserve"> Please note that SICAFs may also be structured as umbrella funds but are rarely so</w:t>
      </w:r>
      <w:r w:rsidR="001F7250" w:rsidRPr="00E01C47">
        <w:rPr>
          <w:rFonts w:ascii="Verdana" w:hAnsi="Verdana"/>
          <w:sz w:val="16"/>
          <w:szCs w:val="16"/>
          <w:lang w:val="en-GB"/>
        </w:rPr>
        <w:t xml:space="preserve"> in practice</w:t>
      </w:r>
      <w:r w:rsidR="00511911" w:rsidRPr="00E01C47">
        <w:rPr>
          <w:rFonts w:ascii="Verdana" w:hAnsi="Verdana"/>
          <w:sz w:val="16"/>
          <w:szCs w:val="16"/>
          <w:lang w:val="en-GB"/>
        </w:rPr>
        <w:t>.</w:t>
      </w:r>
    </w:p>
  </w:footnote>
  <w:footnote w:id="9">
    <w:p w14:paraId="60B4BE10" w14:textId="71AE9E25"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3(5) of the SICAR Act, Article 71(5) of the SIF Act 2007, Article 181(5) of the UCI Act 2010, and Article 49(6) of the RAIF Act 2016.</w:t>
      </w:r>
    </w:p>
  </w:footnote>
  <w:footnote w:id="10">
    <w:p w14:paraId="3258BA6C" w14:textId="47C41C90"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3(6) of the SICAR Act, Article 71(6) of the SIF Act 2007, Article 181(6) of the UCI Act 2010, and Article 49(6) of the RAIF Act 2016.</w:t>
      </w:r>
    </w:p>
  </w:footnote>
  <w:footnote w:id="11">
    <w:p w14:paraId="03114F5B" w14:textId="366AE018" w:rsidR="003407A5" w:rsidRPr="00E01C47" w:rsidRDefault="003407A5"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3(7) of the SICAR Act, Article 71(7) of the SIF Act 2007, and Article 181(7) of the UCI Act 2010.</w:t>
      </w:r>
    </w:p>
  </w:footnote>
  <w:footnote w:id="12">
    <w:p w14:paraId="1302F915" w14:textId="479D6C0D"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3(6) of the SICAR Act, Article 71(6) of the SIF Act 2007, Article 181(6) of the UCI Act 2010, and Article 49(6) of the RAIF Act 2016.</w:t>
      </w:r>
    </w:p>
  </w:footnote>
  <w:footnote w:id="13">
    <w:p w14:paraId="3ABFFE6C" w14:textId="1F236DBB"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3(6) of the SICAR Act, Article 71(6) of the SIF Act 2007, Article 181(6) of the UCI Act 2010, and Article 49(6) of the RAIF Act 2016.</w:t>
      </w:r>
    </w:p>
  </w:footnote>
  <w:footnote w:id="14">
    <w:p w14:paraId="1AE50CDA" w14:textId="722B91DD" w:rsidR="00246B82" w:rsidRPr="00E01C47" w:rsidRDefault="00246B8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3(6) of the SICAR Act, Article 71(6) of the SIF Act 2007, Article 181(6) of the UCI Act 2010, and Article 49(6) of the RAIF Act 2016.</w:t>
      </w:r>
    </w:p>
  </w:footnote>
  <w:footnote w:id="15">
    <w:p w14:paraId="5F9B46F8" w14:textId="77777777" w:rsidR="00001B50" w:rsidRPr="00E01C47" w:rsidRDefault="00001B50"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3(1) of the SICAR Act 2004, Article 26(1) of the SIF Act 2007, Article 93(2) of the UCI Act 2010, and Article 24(1) of the RAIF Act 2016.</w:t>
      </w:r>
    </w:p>
  </w:footnote>
  <w:footnote w:id="16">
    <w:p w14:paraId="62FE74C7" w14:textId="77777777" w:rsidR="00001B50" w:rsidRPr="00E01C47" w:rsidRDefault="00001B50"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3(6) of the SICAR Act, Article 71(6) of the SIF Act 2007, Article 181(6) of the UCI Act 2010, and Article 49(6) of the RAIF Act 2016, each such provision being precisely such an exception. Please also note that the Chapter dedicated to SICAFs in the Product Fund Laws does not contain the same exception as the one contained under Article 3(1) of the SICAR Act 2004, Article 26(1) of the SIF Act 2007, Article 93(2) of the UCI Act 2010, and Article 24(1) of the RAIF Act 2016.</w:t>
      </w:r>
    </w:p>
  </w:footnote>
  <w:footnote w:id="17">
    <w:p w14:paraId="17190985" w14:textId="78468775" w:rsidR="004A6DE8" w:rsidRPr="00E01C47" w:rsidRDefault="004A6DE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w:t>
      </w:r>
      <w:r w:rsidR="00ED3656" w:rsidRPr="00E01C47">
        <w:rPr>
          <w:rFonts w:ascii="Verdana" w:hAnsi="Verdana"/>
          <w:sz w:val="16"/>
          <w:szCs w:val="16"/>
          <w:lang w:val="en-GB"/>
        </w:rPr>
        <w:t>20</w:t>
      </w:r>
      <w:r w:rsidRPr="00E01C47">
        <w:rPr>
          <w:rFonts w:ascii="Verdana" w:hAnsi="Verdana"/>
          <w:sz w:val="16"/>
          <w:szCs w:val="16"/>
          <w:lang w:val="en-GB"/>
        </w:rPr>
        <w:t xml:space="preserve">(1) of the SICAR Act 2004, Article 26(1) of the SIF Act 2007, Article </w:t>
      </w:r>
      <w:r w:rsidR="00FB13B8" w:rsidRPr="00E01C47">
        <w:rPr>
          <w:rFonts w:ascii="Verdana" w:hAnsi="Verdana"/>
          <w:sz w:val="16"/>
          <w:szCs w:val="16"/>
          <w:lang w:val="en-GB"/>
        </w:rPr>
        <w:t>144</w:t>
      </w:r>
      <w:r w:rsidRPr="00E01C47">
        <w:rPr>
          <w:rFonts w:ascii="Verdana" w:hAnsi="Verdana"/>
          <w:sz w:val="16"/>
          <w:szCs w:val="16"/>
          <w:lang w:val="en-GB"/>
        </w:rPr>
        <w:t>(</w:t>
      </w:r>
      <w:r w:rsidR="00FB13B8" w:rsidRPr="00E01C47">
        <w:rPr>
          <w:rFonts w:ascii="Verdana" w:hAnsi="Verdana"/>
          <w:sz w:val="16"/>
          <w:szCs w:val="16"/>
          <w:lang w:val="en-GB"/>
        </w:rPr>
        <w:t>1</w:t>
      </w:r>
      <w:r w:rsidRPr="00E01C47">
        <w:rPr>
          <w:rFonts w:ascii="Verdana" w:hAnsi="Verdana"/>
          <w:sz w:val="16"/>
          <w:szCs w:val="16"/>
          <w:lang w:val="en-GB"/>
        </w:rPr>
        <w:t xml:space="preserve">) of the UCI Act 2010, and Article </w:t>
      </w:r>
      <w:r w:rsidR="00FB13B8" w:rsidRPr="00E01C47">
        <w:rPr>
          <w:rFonts w:ascii="Verdana" w:hAnsi="Verdana"/>
          <w:sz w:val="16"/>
          <w:szCs w:val="16"/>
          <w:lang w:val="en-GB"/>
        </w:rPr>
        <w:t>36</w:t>
      </w:r>
      <w:r w:rsidRPr="00E01C47">
        <w:rPr>
          <w:rFonts w:ascii="Verdana" w:hAnsi="Verdana"/>
          <w:sz w:val="16"/>
          <w:szCs w:val="16"/>
          <w:lang w:val="en-GB"/>
        </w:rPr>
        <w:t>(1) of the RAIF Act 2016.</w:t>
      </w:r>
    </w:p>
  </w:footnote>
  <w:footnote w:id="18">
    <w:p w14:paraId="2B88BBA6" w14:textId="7305FF73" w:rsidR="004A6DE8" w:rsidRPr="00E01C47" w:rsidRDefault="004A6DE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w:t>
      </w:r>
      <w:r w:rsidR="00ED3656" w:rsidRPr="00E01C47">
        <w:rPr>
          <w:rFonts w:ascii="Verdana" w:hAnsi="Verdana"/>
          <w:sz w:val="16"/>
          <w:szCs w:val="16"/>
          <w:lang w:val="en-GB"/>
        </w:rPr>
        <w:t>18</w:t>
      </w:r>
      <w:r w:rsidRPr="00E01C47">
        <w:rPr>
          <w:rFonts w:ascii="Verdana" w:hAnsi="Verdana"/>
          <w:sz w:val="16"/>
          <w:szCs w:val="16"/>
          <w:lang w:val="en-GB"/>
        </w:rPr>
        <w:t xml:space="preserve"> of the SICAR Act 2004, Article </w:t>
      </w:r>
      <w:r w:rsidR="00ED3656" w:rsidRPr="00E01C47">
        <w:rPr>
          <w:rFonts w:ascii="Verdana" w:hAnsi="Verdana"/>
          <w:sz w:val="16"/>
          <w:szCs w:val="16"/>
          <w:lang w:val="en-GB"/>
        </w:rPr>
        <w:t>4</w:t>
      </w:r>
      <w:r w:rsidRPr="00E01C47">
        <w:rPr>
          <w:rFonts w:ascii="Verdana" w:hAnsi="Verdana"/>
          <w:sz w:val="16"/>
          <w:szCs w:val="16"/>
          <w:lang w:val="en-GB"/>
        </w:rPr>
        <w:t xml:space="preserve">6 of the SIF Act 2007, </w:t>
      </w:r>
      <w:r w:rsidR="00FB13B8" w:rsidRPr="00E01C47">
        <w:rPr>
          <w:rFonts w:ascii="Verdana" w:hAnsi="Verdana"/>
          <w:sz w:val="16"/>
          <w:szCs w:val="16"/>
          <w:lang w:val="en-GB"/>
        </w:rPr>
        <w:t xml:space="preserve">and </w:t>
      </w:r>
      <w:r w:rsidRPr="00E01C47">
        <w:rPr>
          <w:rFonts w:ascii="Verdana" w:hAnsi="Verdana"/>
          <w:sz w:val="16"/>
          <w:szCs w:val="16"/>
          <w:lang w:val="en-GB"/>
        </w:rPr>
        <w:t xml:space="preserve">Article </w:t>
      </w:r>
      <w:r w:rsidR="00ED3656" w:rsidRPr="00E01C47">
        <w:rPr>
          <w:rFonts w:ascii="Verdana" w:hAnsi="Verdana"/>
          <w:sz w:val="16"/>
          <w:szCs w:val="16"/>
          <w:lang w:val="en-GB"/>
        </w:rPr>
        <w:t>142</w:t>
      </w:r>
      <w:r w:rsidRPr="00E01C47">
        <w:rPr>
          <w:rFonts w:ascii="Verdana" w:hAnsi="Verdana"/>
          <w:sz w:val="16"/>
          <w:szCs w:val="16"/>
          <w:lang w:val="en-GB"/>
        </w:rPr>
        <w:t>(</w:t>
      </w:r>
      <w:r w:rsidR="00ED3656" w:rsidRPr="00E01C47">
        <w:rPr>
          <w:rFonts w:ascii="Verdana" w:hAnsi="Verdana"/>
          <w:sz w:val="16"/>
          <w:szCs w:val="16"/>
          <w:lang w:val="en-GB"/>
        </w:rPr>
        <w:t>3</w:t>
      </w:r>
      <w:r w:rsidRPr="00E01C47">
        <w:rPr>
          <w:rFonts w:ascii="Verdana" w:hAnsi="Verdana"/>
          <w:sz w:val="16"/>
          <w:szCs w:val="16"/>
          <w:lang w:val="en-GB"/>
        </w:rPr>
        <w:t>) of the UCI Act 2010.</w:t>
      </w:r>
    </w:p>
  </w:footnote>
  <w:footnote w:id="19">
    <w:p w14:paraId="213804C1" w14:textId="7C539874" w:rsidR="004A6DE8" w:rsidRPr="00E01C47" w:rsidRDefault="004A6DE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w:t>
      </w:r>
      <w:r w:rsidR="00ED3656" w:rsidRPr="00E01C47">
        <w:rPr>
          <w:rFonts w:ascii="Verdana" w:hAnsi="Verdana"/>
          <w:sz w:val="16"/>
          <w:szCs w:val="16"/>
          <w:lang w:val="en-GB"/>
        </w:rPr>
        <w:t>18</w:t>
      </w:r>
      <w:r w:rsidRPr="00E01C47">
        <w:rPr>
          <w:rFonts w:ascii="Verdana" w:hAnsi="Verdana"/>
          <w:sz w:val="16"/>
          <w:szCs w:val="16"/>
          <w:lang w:val="en-GB"/>
        </w:rPr>
        <w:t xml:space="preserve"> of the SICAR Act 2004, Article </w:t>
      </w:r>
      <w:r w:rsidR="00ED3656" w:rsidRPr="00E01C47">
        <w:rPr>
          <w:rFonts w:ascii="Verdana" w:hAnsi="Verdana"/>
          <w:sz w:val="16"/>
          <w:szCs w:val="16"/>
          <w:lang w:val="en-GB"/>
        </w:rPr>
        <w:t>4</w:t>
      </w:r>
      <w:r w:rsidRPr="00E01C47">
        <w:rPr>
          <w:rFonts w:ascii="Verdana" w:hAnsi="Verdana"/>
          <w:sz w:val="16"/>
          <w:szCs w:val="16"/>
          <w:lang w:val="en-GB"/>
        </w:rPr>
        <w:t xml:space="preserve">6 of the SIF Act 2007, </w:t>
      </w:r>
      <w:r w:rsidR="00FB13B8" w:rsidRPr="00E01C47">
        <w:rPr>
          <w:rFonts w:ascii="Verdana" w:hAnsi="Verdana"/>
          <w:sz w:val="16"/>
          <w:szCs w:val="16"/>
          <w:lang w:val="en-GB"/>
        </w:rPr>
        <w:t xml:space="preserve">and </w:t>
      </w:r>
      <w:r w:rsidRPr="00E01C47">
        <w:rPr>
          <w:rFonts w:ascii="Verdana" w:hAnsi="Verdana"/>
          <w:sz w:val="16"/>
          <w:szCs w:val="16"/>
          <w:lang w:val="en-GB"/>
        </w:rPr>
        <w:t xml:space="preserve">Article </w:t>
      </w:r>
      <w:r w:rsidR="00ED3656" w:rsidRPr="00E01C47">
        <w:rPr>
          <w:rFonts w:ascii="Verdana" w:hAnsi="Verdana"/>
          <w:sz w:val="16"/>
          <w:szCs w:val="16"/>
          <w:lang w:val="en-GB"/>
        </w:rPr>
        <w:t>142</w:t>
      </w:r>
      <w:r w:rsidRPr="00E01C47">
        <w:rPr>
          <w:rFonts w:ascii="Verdana" w:hAnsi="Verdana"/>
          <w:sz w:val="16"/>
          <w:szCs w:val="16"/>
          <w:lang w:val="en-GB"/>
        </w:rPr>
        <w:t>(</w:t>
      </w:r>
      <w:r w:rsidR="00ED3656" w:rsidRPr="00E01C47">
        <w:rPr>
          <w:rFonts w:ascii="Verdana" w:hAnsi="Verdana"/>
          <w:sz w:val="16"/>
          <w:szCs w:val="16"/>
          <w:lang w:val="en-GB"/>
        </w:rPr>
        <w:t>3</w:t>
      </w:r>
      <w:r w:rsidRPr="00E01C47">
        <w:rPr>
          <w:rFonts w:ascii="Verdana" w:hAnsi="Verdana"/>
          <w:sz w:val="16"/>
          <w:szCs w:val="16"/>
          <w:lang w:val="en-GB"/>
        </w:rPr>
        <w:t>) of the UCI Act 2010.</w:t>
      </w:r>
    </w:p>
  </w:footnote>
  <w:footnote w:id="20">
    <w:p w14:paraId="4BF39735" w14:textId="273937D6" w:rsidR="004A6DE8" w:rsidRPr="00E01C47" w:rsidRDefault="004A6DE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w:t>
      </w:r>
      <w:r w:rsidR="00ED3656" w:rsidRPr="00E01C47">
        <w:rPr>
          <w:rFonts w:ascii="Verdana" w:hAnsi="Verdana"/>
          <w:sz w:val="16"/>
          <w:szCs w:val="16"/>
          <w:lang w:val="en-GB"/>
        </w:rPr>
        <w:t>20</w:t>
      </w:r>
      <w:r w:rsidRPr="00E01C47">
        <w:rPr>
          <w:rFonts w:ascii="Verdana" w:hAnsi="Verdana"/>
          <w:sz w:val="16"/>
          <w:szCs w:val="16"/>
          <w:lang w:val="en-GB"/>
        </w:rPr>
        <w:t>(</w:t>
      </w:r>
      <w:r w:rsidR="00ED3656" w:rsidRPr="00E01C47">
        <w:rPr>
          <w:rFonts w:ascii="Verdana" w:hAnsi="Verdana"/>
          <w:sz w:val="16"/>
          <w:szCs w:val="16"/>
          <w:lang w:val="en-GB"/>
        </w:rPr>
        <w:t>2</w:t>
      </w:r>
      <w:r w:rsidRPr="00E01C47">
        <w:rPr>
          <w:rFonts w:ascii="Verdana" w:hAnsi="Verdana"/>
          <w:sz w:val="16"/>
          <w:szCs w:val="16"/>
          <w:lang w:val="en-GB"/>
        </w:rPr>
        <w:t xml:space="preserve">) of the SICAR Act 2004, Article 26(1) of the SIF Act 2007, Article </w:t>
      </w:r>
      <w:r w:rsidR="00FB13B8" w:rsidRPr="00E01C47">
        <w:rPr>
          <w:rFonts w:ascii="Verdana" w:hAnsi="Verdana"/>
          <w:sz w:val="16"/>
          <w:szCs w:val="16"/>
          <w:lang w:val="en-GB"/>
        </w:rPr>
        <w:t>144</w:t>
      </w:r>
      <w:r w:rsidRPr="00E01C47">
        <w:rPr>
          <w:rFonts w:ascii="Verdana" w:hAnsi="Verdana"/>
          <w:sz w:val="16"/>
          <w:szCs w:val="16"/>
          <w:lang w:val="en-GB"/>
        </w:rPr>
        <w:t xml:space="preserve">(2) of the UCI Act 2010, and Article </w:t>
      </w:r>
      <w:r w:rsidR="00FB13B8" w:rsidRPr="00E01C47">
        <w:rPr>
          <w:rFonts w:ascii="Verdana" w:hAnsi="Verdana"/>
          <w:sz w:val="16"/>
          <w:szCs w:val="16"/>
          <w:lang w:val="en-GB"/>
        </w:rPr>
        <w:t>36</w:t>
      </w:r>
      <w:r w:rsidRPr="00E01C47">
        <w:rPr>
          <w:rFonts w:ascii="Verdana" w:hAnsi="Verdana"/>
          <w:sz w:val="16"/>
          <w:szCs w:val="16"/>
          <w:lang w:val="en-GB"/>
        </w:rPr>
        <w:t>(</w:t>
      </w:r>
      <w:r w:rsidR="00FB13B8" w:rsidRPr="00E01C47">
        <w:rPr>
          <w:rFonts w:ascii="Verdana" w:hAnsi="Verdana"/>
          <w:sz w:val="16"/>
          <w:szCs w:val="16"/>
          <w:lang w:val="en-GB"/>
        </w:rPr>
        <w:t>2</w:t>
      </w:r>
      <w:r w:rsidRPr="00E01C47">
        <w:rPr>
          <w:rFonts w:ascii="Verdana" w:hAnsi="Verdana"/>
          <w:sz w:val="16"/>
          <w:szCs w:val="16"/>
          <w:lang w:val="en-GB"/>
        </w:rPr>
        <w:t>) of the RAIF Act 2016.</w:t>
      </w:r>
    </w:p>
  </w:footnote>
  <w:footnote w:id="21">
    <w:p w14:paraId="1A7D87BB" w14:textId="369042CE" w:rsidR="00FB13B8" w:rsidRPr="00E01C47" w:rsidRDefault="00FB13B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19(2) of the SICAR Act 2004, Article </w:t>
      </w:r>
      <w:r w:rsidR="00570787" w:rsidRPr="00E01C47">
        <w:rPr>
          <w:rFonts w:ascii="Verdana" w:hAnsi="Verdana"/>
          <w:sz w:val="16"/>
          <w:szCs w:val="16"/>
          <w:lang w:val="en-GB"/>
        </w:rPr>
        <w:t>47</w:t>
      </w:r>
      <w:r w:rsidRPr="00E01C47">
        <w:rPr>
          <w:rFonts w:ascii="Verdana" w:hAnsi="Verdana"/>
          <w:sz w:val="16"/>
          <w:szCs w:val="16"/>
          <w:lang w:val="en-GB"/>
        </w:rPr>
        <w:t>(</w:t>
      </w:r>
      <w:r w:rsidR="00570787" w:rsidRPr="00E01C47">
        <w:rPr>
          <w:rFonts w:ascii="Verdana" w:hAnsi="Verdana"/>
          <w:sz w:val="16"/>
          <w:szCs w:val="16"/>
          <w:lang w:val="en-GB"/>
        </w:rPr>
        <w:t>2</w:t>
      </w:r>
      <w:r w:rsidRPr="00E01C47">
        <w:rPr>
          <w:rFonts w:ascii="Verdana" w:hAnsi="Verdana"/>
          <w:sz w:val="16"/>
          <w:szCs w:val="16"/>
          <w:lang w:val="en-GB"/>
        </w:rPr>
        <w:t>) of the SIF Act 2007, Article 14</w:t>
      </w:r>
      <w:r w:rsidR="00570787" w:rsidRPr="00E01C47">
        <w:rPr>
          <w:rFonts w:ascii="Verdana" w:hAnsi="Verdana"/>
          <w:sz w:val="16"/>
          <w:szCs w:val="16"/>
          <w:lang w:val="en-GB"/>
        </w:rPr>
        <w:t>3</w:t>
      </w:r>
      <w:r w:rsidRPr="00E01C47">
        <w:rPr>
          <w:rFonts w:ascii="Verdana" w:hAnsi="Verdana"/>
          <w:sz w:val="16"/>
          <w:szCs w:val="16"/>
          <w:lang w:val="en-GB"/>
        </w:rPr>
        <w:t>(2) of the UCI Act 2010, and Article 3</w:t>
      </w:r>
      <w:r w:rsidR="00570787" w:rsidRPr="00E01C47">
        <w:rPr>
          <w:rFonts w:ascii="Verdana" w:hAnsi="Verdana"/>
          <w:sz w:val="16"/>
          <w:szCs w:val="16"/>
          <w:lang w:val="en-GB"/>
        </w:rPr>
        <w:t>5</w:t>
      </w:r>
      <w:r w:rsidRPr="00E01C47">
        <w:rPr>
          <w:rFonts w:ascii="Verdana" w:hAnsi="Verdana"/>
          <w:sz w:val="16"/>
          <w:szCs w:val="16"/>
          <w:lang w:val="en-GB"/>
        </w:rPr>
        <w:t>(2) of the RAIF Act 2016.</w:t>
      </w:r>
    </w:p>
  </w:footnote>
  <w:footnote w:id="22">
    <w:p w14:paraId="7BF64763" w14:textId="53027E66" w:rsidR="00FB13B8" w:rsidRPr="00E01C47" w:rsidRDefault="00FB13B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w:t>
      </w:r>
      <w:r w:rsidR="00570787" w:rsidRPr="00E01C47">
        <w:rPr>
          <w:rFonts w:ascii="Verdana" w:hAnsi="Verdana"/>
          <w:sz w:val="16"/>
          <w:szCs w:val="16"/>
          <w:lang w:val="en-GB"/>
        </w:rPr>
        <w:t>s</w:t>
      </w:r>
      <w:r w:rsidRPr="00E01C47">
        <w:rPr>
          <w:rFonts w:ascii="Verdana" w:hAnsi="Verdana"/>
          <w:sz w:val="16"/>
          <w:szCs w:val="16"/>
          <w:lang w:val="en-GB"/>
        </w:rPr>
        <w:t xml:space="preserve"> </w:t>
      </w:r>
      <w:r w:rsidR="00570787" w:rsidRPr="00E01C47">
        <w:rPr>
          <w:rFonts w:ascii="Verdana" w:hAnsi="Verdana"/>
          <w:sz w:val="16"/>
          <w:szCs w:val="16"/>
          <w:lang w:val="en-GB"/>
        </w:rPr>
        <w:t>19</w:t>
      </w:r>
      <w:r w:rsidRPr="00E01C47">
        <w:rPr>
          <w:rFonts w:ascii="Verdana" w:hAnsi="Verdana"/>
          <w:sz w:val="16"/>
          <w:szCs w:val="16"/>
          <w:lang w:val="en-GB"/>
        </w:rPr>
        <w:t>(2)</w:t>
      </w:r>
      <w:r w:rsidR="00570787" w:rsidRPr="00E01C47">
        <w:rPr>
          <w:rFonts w:ascii="Verdana" w:hAnsi="Verdana"/>
          <w:sz w:val="16"/>
          <w:szCs w:val="16"/>
          <w:lang w:val="en-GB"/>
        </w:rPr>
        <w:t xml:space="preserve"> and 20(2)</w:t>
      </w:r>
      <w:r w:rsidRPr="00E01C47">
        <w:rPr>
          <w:rFonts w:ascii="Verdana" w:hAnsi="Verdana"/>
          <w:sz w:val="16"/>
          <w:szCs w:val="16"/>
          <w:lang w:val="en-GB"/>
        </w:rPr>
        <w:t xml:space="preserve"> of the SICAR Act 2004, Article</w:t>
      </w:r>
      <w:r w:rsidR="00570787" w:rsidRPr="00E01C47">
        <w:rPr>
          <w:rFonts w:ascii="Verdana" w:hAnsi="Verdana"/>
          <w:sz w:val="16"/>
          <w:szCs w:val="16"/>
          <w:lang w:val="en-GB"/>
        </w:rPr>
        <w:t>s</w:t>
      </w:r>
      <w:r w:rsidRPr="00E01C47">
        <w:rPr>
          <w:rFonts w:ascii="Verdana" w:hAnsi="Verdana"/>
          <w:sz w:val="16"/>
          <w:szCs w:val="16"/>
          <w:lang w:val="en-GB"/>
        </w:rPr>
        <w:t xml:space="preserve"> </w:t>
      </w:r>
      <w:r w:rsidR="00570787" w:rsidRPr="00E01C47">
        <w:rPr>
          <w:rFonts w:ascii="Verdana" w:hAnsi="Verdana"/>
          <w:sz w:val="16"/>
          <w:szCs w:val="16"/>
          <w:lang w:val="en-GB"/>
        </w:rPr>
        <w:t>47</w:t>
      </w:r>
      <w:r w:rsidRPr="00E01C47">
        <w:rPr>
          <w:rFonts w:ascii="Verdana" w:hAnsi="Verdana"/>
          <w:sz w:val="16"/>
          <w:szCs w:val="16"/>
          <w:lang w:val="en-GB"/>
        </w:rPr>
        <w:t>(</w:t>
      </w:r>
      <w:r w:rsidR="00570787" w:rsidRPr="00E01C47">
        <w:rPr>
          <w:rFonts w:ascii="Verdana" w:hAnsi="Verdana"/>
          <w:sz w:val="16"/>
          <w:szCs w:val="16"/>
          <w:lang w:val="en-GB"/>
        </w:rPr>
        <w:t>2</w:t>
      </w:r>
      <w:r w:rsidRPr="00E01C47">
        <w:rPr>
          <w:rFonts w:ascii="Verdana" w:hAnsi="Verdana"/>
          <w:sz w:val="16"/>
          <w:szCs w:val="16"/>
          <w:lang w:val="en-GB"/>
        </w:rPr>
        <w:t>)</w:t>
      </w:r>
      <w:r w:rsidR="00570787" w:rsidRPr="00E01C47">
        <w:rPr>
          <w:rFonts w:ascii="Verdana" w:hAnsi="Verdana"/>
          <w:sz w:val="16"/>
          <w:szCs w:val="16"/>
          <w:lang w:val="en-GB"/>
        </w:rPr>
        <w:t xml:space="preserve"> and 47(4)</w:t>
      </w:r>
      <w:r w:rsidRPr="00E01C47">
        <w:rPr>
          <w:rFonts w:ascii="Verdana" w:hAnsi="Verdana"/>
          <w:sz w:val="16"/>
          <w:szCs w:val="16"/>
          <w:lang w:val="en-GB"/>
        </w:rPr>
        <w:t xml:space="preserve"> of the SIF Act 2007, Article</w:t>
      </w:r>
      <w:r w:rsidR="00570787" w:rsidRPr="00E01C47">
        <w:rPr>
          <w:rFonts w:ascii="Verdana" w:hAnsi="Verdana"/>
          <w:sz w:val="16"/>
          <w:szCs w:val="16"/>
          <w:lang w:val="en-GB"/>
        </w:rPr>
        <w:t>s</w:t>
      </w:r>
      <w:r w:rsidRPr="00E01C47">
        <w:rPr>
          <w:rFonts w:ascii="Verdana" w:hAnsi="Verdana"/>
          <w:sz w:val="16"/>
          <w:szCs w:val="16"/>
          <w:lang w:val="en-GB"/>
        </w:rPr>
        <w:t xml:space="preserve"> 14</w:t>
      </w:r>
      <w:r w:rsidR="00570787" w:rsidRPr="00E01C47">
        <w:rPr>
          <w:rFonts w:ascii="Verdana" w:hAnsi="Verdana"/>
          <w:sz w:val="16"/>
          <w:szCs w:val="16"/>
          <w:lang w:val="en-GB"/>
        </w:rPr>
        <w:t>3</w:t>
      </w:r>
      <w:r w:rsidRPr="00E01C47">
        <w:rPr>
          <w:rFonts w:ascii="Verdana" w:hAnsi="Verdana"/>
          <w:sz w:val="16"/>
          <w:szCs w:val="16"/>
          <w:lang w:val="en-GB"/>
        </w:rPr>
        <w:t>(2)</w:t>
      </w:r>
      <w:r w:rsidR="00570787" w:rsidRPr="00E01C47">
        <w:rPr>
          <w:rFonts w:ascii="Verdana" w:hAnsi="Verdana"/>
          <w:sz w:val="16"/>
          <w:szCs w:val="16"/>
          <w:lang w:val="en-GB"/>
        </w:rPr>
        <w:t xml:space="preserve"> and 143(4)</w:t>
      </w:r>
      <w:r w:rsidRPr="00E01C47">
        <w:rPr>
          <w:rFonts w:ascii="Verdana" w:hAnsi="Verdana"/>
          <w:sz w:val="16"/>
          <w:szCs w:val="16"/>
          <w:lang w:val="en-GB"/>
        </w:rPr>
        <w:t xml:space="preserve"> of the UCI Act 2010, and Article</w:t>
      </w:r>
      <w:r w:rsidR="00570787" w:rsidRPr="00E01C47">
        <w:rPr>
          <w:rFonts w:ascii="Verdana" w:hAnsi="Verdana"/>
          <w:sz w:val="16"/>
          <w:szCs w:val="16"/>
          <w:lang w:val="en-GB"/>
        </w:rPr>
        <w:t>s</w:t>
      </w:r>
      <w:r w:rsidRPr="00E01C47">
        <w:rPr>
          <w:rFonts w:ascii="Verdana" w:hAnsi="Verdana"/>
          <w:sz w:val="16"/>
          <w:szCs w:val="16"/>
          <w:lang w:val="en-GB"/>
        </w:rPr>
        <w:t xml:space="preserve"> 3</w:t>
      </w:r>
      <w:r w:rsidR="00570787" w:rsidRPr="00E01C47">
        <w:rPr>
          <w:rFonts w:ascii="Verdana" w:hAnsi="Verdana"/>
          <w:sz w:val="16"/>
          <w:szCs w:val="16"/>
          <w:lang w:val="en-GB"/>
        </w:rPr>
        <w:t>5</w:t>
      </w:r>
      <w:r w:rsidRPr="00E01C47">
        <w:rPr>
          <w:rFonts w:ascii="Verdana" w:hAnsi="Verdana"/>
          <w:sz w:val="16"/>
          <w:szCs w:val="16"/>
          <w:lang w:val="en-GB"/>
        </w:rPr>
        <w:t>(2)</w:t>
      </w:r>
      <w:r w:rsidR="00570787" w:rsidRPr="00E01C47">
        <w:rPr>
          <w:rFonts w:ascii="Verdana" w:hAnsi="Verdana"/>
          <w:sz w:val="16"/>
          <w:szCs w:val="16"/>
          <w:lang w:val="en-GB"/>
        </w:rPr>
        <w:t xml:space="preserve"> and 35(4)</w:t>
      </w:r>
      <w:r w:rsidRPr="00E01C47">
        <w:rPr>
          <w:rFonts w:ascii="Verdana" w:hAnsi="Verdana"/>
          <w:sz w:val="16"/>
          <w:szCs w:val="16"/>
          <w:lang w:val="en-GB"/>
        </w:rPr>
        <w:t xml:space="preserve"> of the RAIF Act 2016.</w:t>
      </w:r>
    </w:p>
  </w:footnote>
  <w:footnote w:id="23">
    <w:p w14:paraId="7D6C1F46" w14:textId="29F21CA5" w:rsidR="00FB13B8" w:rsidRPr="00E01C47" w:rsidRDefault="00FB13B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19(4) of the SICAR Act 2004, Article </w:t>
      </w:r>
      <w:r w:rsidR="00570787" w:rsidRPr="00E01C47">
        <w:rPr>
          <w:rFonts w:ascii="Verdana" w:hAnsi="Verdana"/>
          <w:sz w:val="16"/>
          <w:szCs w:val="16"/>
          <w:lang w:val="en-GB"/>
        </w:rPr>
        <w:t>47</w:t>
      </w:r>
      <w:r w:rsidRPr="00E01C47">
        <w:rPr>
          <w:rFonts w:ascii="Verdana" w:hAnsi="Verdana"/>
          <w:sz w:val="16"/>
          <w:szCs w:val="16"/>
          <w:lang w:val="en-GB"/>
        </w:rPr>
        <w:t>(</w:t>
      </w:r>
      <w:r w:rsidR="00570787" w:rsidRPr="00E01C47">
        <w:rPr>
          <w:rFonts w:ascii="Verdana" w:hAnsi="Verdana"/>
          <w:sz w:val="16"/>
          <w:szCs w:val="16"/>
          <w:lang w:val="en-GB"/>
        </w:rPr>
        <w:t>4</w:t>
      </w:r>
      <w:r w:rsidRPr="00E01C47">
        <w:rPr>
          <w:rFonts w:ascii="Verdana" w:hAnsi="Verdana"/>
          <w:sz w:val="16"/>
          <w:szCs w:val="16"/>
          <w:lang w:val="en-GB"/>
        </w:rPr>
        <w:t>) of the SIF Act 2007, Article 14</w:t>
      </w:r>
      <w:r w:rsidR="00570787" w:rsidRPr="00E01C47">
        <w:rPr>
          <w:rFonts w:ascii="Verdana" w:hAnsi="Verdana"/>
          <w:sz w:val="16"/>
          <w:szCs w:val="16"/>
          <w:lang w:val="en-GB"/>
        </w:rPr>
        <w:t>3</w:t>
      </w:r>
      <w:r w:rsidRPr="00E01C47">
        <w:rPr>
          <w:rFonts w:ascii="Verdana" w:hAnsi="Verdana"/>
          <w:sz w:val="16"/>
          <w:szCs w:val="16"/>
          <w:lang w:val="en-GB"/>
        </w:rPr>
        <w:t>(</w:t>
      </w:r>
      <w:r w:rsidR="00570787" w:rsidRPr="00E01C47">
        <w:rPr>
          <w:rFonts w:ascii="Verdana" w:hAnsi="Verdana"/>
          <w:sz w:val="16"/>
          <w:szCs w:val="16"/>
          <w:lang w:val="en-GB"/>
        </w:rPr>
        <w:t>4</w:t>
      </w:r>
      <w:r w:rsidRPr="00E01C47">
        <w:rPr>
          <w:rFonts w:ascii="Verdana" w:hAnsi="Verdana"/>
          <w:sz w:val="16"/>
          <w:szCs w:val="16"/>
          <w:lang w:val="en-GB"/>
        </w:rPr>
        <w:t>) of the UCI Act 2010, and Article 3</w:t>
      </w:r>
      <w:r w:rsidR="00570787" w:rsidRPr="00E01C47">
        <w:rPr>
          <w:rFonts w:ascii="Verdana" w:hAnsi="Verdana"/>
          <w:sz w:val="16"/>
          <w:szCs w:val="16"/>
          <w:lang w:val="en-GB"/>
        </w:rPr>
        <w:t>5</w:t>
      </w:r>
      <w:r w:rsidRPr="00E01C47">
        <w:rPr>
          <w:rFonts w:ascii="Verdana" w:hAnsi="Verdana"/>
          <w:sz w:val="16"/>
          <w:szCs w:val="16"/>
          <w:lang w:val="en-GB"/>
        </w:rPr>
        <w:t>(</w:t>
      </w:r>
      <w:r w:rsidR="00570787" w:rsidRPr="00E01C47">
        <w:rPr>
          <w:rFonts w:ascii="Verdana" w:hAnsi="Verdana"/>
          <w:sz w:val="16"/>
          <w:szCs w:val="16"/>
          <w:lang w:val="en-GB"/>
        </w:rPr>
        <w:t>4</w:t>
      </w:r>
      <w:r w:rsidRPr="00E01C47">
        <w:rPr>
          <w:rFonts w:ascii="Verdana" w:hAnsi="Verdana"/>
          <w:sz w:val="16"/>
          <w:szCs w:val="16"/>
          <w:lang w:val="en-GB"/>
        </w:rPr>
        <w:t>) of the RAIF Act 2016.</w:t>
      </w:r>
    </w:p>
  </w:footnote>
  <w:footnote w:id="24">
    <w:p w14:paraId="19B5EEA3" w14:textId="2C30D46D" w:rsidR="00FB13B8" w:rsidRPr="00E01C47" w:rsidRDefault="00FB13B8"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19(9) of the SICAR Act 2004, Article </w:t>
      </w:r>
      <w:r w:rsidR="00570787" w:rsidRPr="00E01C47">
        <w:rPr>
          <w:rFonts w:ascii="Verdana" w:hAnsi="Verdana"/>
          <w:sz w:val="16"/>
          <w:szCs w:val="16"/>
          <w:lang w:val="en-GB"/>
        </w:rPr>
        <w:t>47</w:t>
      </w:r>
      <w:r w:rsidRPr="00E01C47">
        <w:rPr>
          <w:rFonts w:ascii="Verdana" w:hAnsi="Verdana"/>
          <w:sz w:val="16"/>
          <w:szCs w:val="16"/>
          <w:lang w:val="en-GB"/>
        </w:rPr>
        <w:t>(</w:t>
      </w:r>
      <w:r w:rsidR="00570787" w:rsidRPr="00E01C47">
        <w:rPr>
          <w:rFonts w:ascii="Verdana" w:hAnsi="Verdana"/>
          <w:sz w:val="16"/>
          <w:szCs w:val="16"/>
          <w:lang w:val="en-GB"/>
        </w:rPr>
        <w:t>9</w:t>
      </w:r>
      <w:r w:rsidRPr="00E01C47">
        <w:rPr>
          <w:rFonts w:ascii="Verdana" w:hAnsi="Verdana"/>
          <w:sz w:val="16"/>
          <w:szCs w:val="16"/>
          <w:lang w:val="en-GB"/>
        </w:rPr>
        <w:t>) of the SIF Act 2007, Article 14</w:t>
      </w:r>
      <w:r w:rsidR="00570787" w:rsidRPr="00E01C47">
        <w:rPr>
          <w:rFonts w:ascii="Verdana" w:hAnsi="Verdana"/>
          <w:sz w:val="16"/>
          <w:szCs w:val="16"/>
          <w:lang w:val="en-GB"/>
        </w:rPr>
        <w:t>3</w:t>
      </w:r>
      <w:r w:rsidRPr="00E01C47">
        <w:rPr>
          <w:rFonts w:ascii="Verdana" w:hAnsi="Verdana"/>
          <w:sz w:val="16"/>
          <w:szCs w:val="16"/>
          <w:lang w:val="en-GB"/>
        </w:rPr>
        <w:t>(</w:t>
      </w:r>
      <w:r w:rsidR="00570787" w:rsidRPr="00E01C47">
        <w:rPr>
          <w:rFonts w:ascii="Verdana" w:hAnsi="Verdana"/>
          <w:sz w:val="16"/>
          <w:szCs w:val="16"/>
          <w:lang w:val="en-GB"/>
        </w:rPr>
        <w:t>9</w:t>
      </w:r>
      <w:r w:rsidRPr="00E01C47">
        <w:rPr>
          <w:rFonts w:ascii="Verdana" w:hAnsi="Verdana"/>
          <w:sz w:val="16"/>
          <w:szCs w:val="16"/>
          <w:lang w:val="en-GB"/>
        </w:rPr>
        <w:t>) of the UCI Act 2010, and Article 3</w:t>
      </w:r>
      <w:r w:rsidR="00570787" w:rsidRPr="00E01C47">
        <w:rPr>
          <w:rFonts w:ascii="Verdana" w:hAnsi="Verdana"/>
          <w:sz w:val="16"/>
          <w:szCs w:val="16"/>
          <w:lang w:val="en-GB"/>
        </w:rPr>
        <w:t>5</w:t>
      </w:r>
      <w:r w:rsidRPr="00E01C47">
        <w:rPr>
          <w:rFonts w:ascii="Verdana" w:hAnsi="Verdana"/>
          <w:sz w:val="16"/>
          <w:szCs w:val="16"/>
          <w:lang w:val="en-GB"/>
        </w:rPr>
        <w:t>(</w:t>
      </w:r>
      <w:r w:rsidR="00570787" w:rsidRPr="00E01C47">
        <w:rPr>
          <w:rFonts w:ascii="Verdana" w:hAnsi="Verdana"/>
          <w:sz w:val="16"/>
          <w:szCs w:val="16"/>
          <w:lang w:val="en-GB"/>
        </w:rPr>
        <w:t>9</w:t>
      </w:r>
      <w:r w:rsidRPr="00E01C47">
        <w:rPr>
          <w:rFonts w:ascii="Verdana" w:hAnsi="Verdana"/>
          <w:sz w:val="16"/>
          <w:szCs w:val="16"/>
          <w:lang w:val="en-GB"/>
        </w:rPr>
        <w:t>) of the RAIF Act 2016.</w:t>
      </w:r>
    </w:p>
  </w:footnote>
  <w:footnote w:id="25">
    <w:p w14:paraId="0CBFF3F1" w14:textId="77777777" w:rsidR="0059701A" w:rsidRPr="00E01C47" w:rsidRDefault="0059701A"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18 of the SICAR Act 2004, Article 46 of the SIF Act 2007, and Article 142(3) of the UCI Act 2010.</w:t>
      </w:r>
    </w:p>
  </w:footnote>
  <w:footnote w:id="26">
    <w:p w14:paraId="0D4E912A" w14:textId="44615F36" w:rsidR="001B426E" w:rsidRPr="00E01C47" w:rsidRDefault="001B426E"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w:t>
      </w:r>
      <w:r w:rsidR="00D45630" w:rsidRPr="00E01C47">
        <w:rPr>
          <w:rFonts w:ascii="Verdana" w:hAnsi="Verdana"/>
          <w:sz w:val="16"/>
          <w:szCs w:val="16"/>
          <w:lang w:val="en-GB"/>
        </w:rPr>
        <w:t>For further information, s</w:t>
      </w:r>
      <w:r w:rsidRPr="00E01C47">
        <w:rPr>
          <w:rFonts w:ascii="Verdana" w:hAnsi="Verdana"/>
          <w:sz w:val="16"/>
          <w:szCs w:val="16"/>
          <w:lang w:val="en-GB"/>
        </w:rPr>
        <w:t xml:space="preserve">ee </w:t>
      </w:r>
      <w:proofErr w:type="spellStart"/>
      <w:r w:rsidRPr="00E01C47">
        <w:rPr>
          <w:rFonts w:ascii="Verdana" w:hAnsi="Verdana"/>
          <w:sz w:val="16"/>
          <w:szCs w:val="16"/>
          <w:lang w:val="en-GB"/>
        </w:rPr>
        <w:t>Conférence</w:t>
      </w:r>
      <w:proofErr w:type="spellEnd"/>
      <w:r w:rsidRPr="00E01C47">
        <w:rPr>
          <w:rFonts w:ascii="Verdana" w:hAnsi="Verdana"/>
          <w:sz w:val="16"/>
          <w:szCs w:val="16"/>
          <w:lang w:val="en-GB"/>
        </w:rPr>
        <w:t xml:space="preserve"> Saint-Yves, ‘Voluntary Liquidation of Regulated Investment Funds’ (2021) </w:t>
      </w:r>
      <w:r w:rsidRPr="00E01C47">
        <w:rPr>
          <w:rFonts w:ascii="Verdana" w:hAnsi="Verdana"/>
          <w:i/>
          <w:iCs/>
          <w:sz w:val="16"/>
          <w:szCs w:val="16"/>
          <w:lang w:val="en-GB"/>
        </w:rPr>
        <w:t xml:space="preserve">Association </w:t>
      </w:r>
      <w:proofErr w:type="spellStart"/>
      <w:r w:rsidRPr="00E01C47">
        <w:rPr>
          <w:rFonts w:ascii="Verdana" w:hAnsi="Verdana"/>
          <w:i/>
          <w:iCs/>
          <w:sz w:val="16"/>
          <w:szCs w:val="16"/>
          <w:lang w:val="en-GB"/>
        </w:rPr>
        <w:t>Luxembourgeoises</w:t>
      </w:r>
      <w:proofErr w:type="spellEnd"/>
      <w:r w:rsidRPr="00E01C47">
        <w:rPr>
          <w:rFonts w:ascii="Verdana" w:hAnsi="Verdana"/>
          <w:i/>
          <w:iCs/>
          <w:sz w:val="16"/>
          <w:szCs w:val="16"/>
          <w:lang w:val="en-GB"/>
        </w:rPr>
        <w:t xml:space="preserve"> des </w:t>
      </w:r>
      <w:proofErr w:type="spellStart"/>
      <w:r w:rsidRPr="00E01C47">
        <w:rPr>
          <w:rFonts w:ascii="Verdana" w:hAnsi="Verdana"/>
          <w:i/>
          <w:iCs/>
          <w:sz w:val="16"/>
          <w:szCs w:val="16"/>
          <w:lang w:val="en-GB"/>
        </w:rPr>
        <w:t>Juristes</w:t>
      </w:r>
      <w:proofErr w:type="spellEnd"/>
      <w:r w:rsidRPr="00E01C47">
        <w:rPr>
          <w:rFonts w:ascii="Verdana" w:hAnsi="Verdana"/>
          <w:i/>
          <w:iCs/>
          <w:sz w:val="16"/>
          <w:szCs w:val="16"/>
          <w:lang w:val="en-GB"/>
        </w:rPr>
        <w:t xml:space="preserve"> </w:t>
      </w:r>
      <w:proofErr w:type="spellStart"/>
      <w:r w:rsidRPr="00E01C47">
        <w:rPr>
          <w:rFonts w:ascii="Verdana" w:hAnsi="Verdana"/>
          <w:i/>
          <w:iCs/>
          <w:sz w:val="16"/>
          <w:szCs w:val="16"/>
          <w:lang w:val="en-GB"/>
        </w:rPr>
        <w:t>Catholiques</w:t>
      </w:r>
      <w:proofErr w:type="spellEnd"/>
      <w:r w:rsidRPr="00E01C47">
        <w:rPr>
          <w:rFonts w:ascii="Verdana" w:hAnsi="Verdana"/>
          <w:sz w:val="16"/>
          <w:szCs w:val="16"/>
          <w:lang w:val="en-GB"/>
        </w:rPr>
        <w:t xml:space="preserve">, </w:t>
      </w:r>
      <w:r w:rsidRPr="00E01C47">
        <w:rPr>
          <w:rFonts w:ascii="Verdana" w:hAnsi="Verdana"/>
          <w:i/>
          <w:iCs/>
          <w:sz w:val="16"/>
          <w:szCs w:val="16"/>
          <w:lang w:val="en-GB"/>
        </w:rPr>
        <w:t>Revue Pratique de Droit des Affaires</w:t>
      </w:r>
      <w:r w:rsidRPr="00E01C47">
        <w:rPr>
          <w:rFonts w:ascii="Verdana" w:hAnsi="Verdana"/>
          <w:sz w:val="16"/>
          <w:szCs w:val="16"/>
          <w:lang w:val="en-GB"/>
        </w:rPr>
        <w:t xml:space="preserve">, </w:t>
      </w:r>
      <w:proofErr w:type="spellStart"/>
      <w:r w:rsidRPr="00E01C47">
        <w:rPr>
          <w:rFonts w:ascii="Verdana" w:hAnsi="Verdana"/>
          <w:sz w:val="16"/>
          <w:szCs w:val="16"/>
          <w:lang w:val="en-GB"/>
        </w:rPr>
        <w:t>Legitech</w:t>
      </w:r>
      <w:proofErr w:type="spellEnd"/>
      <w:r w:rsidRPr="00E01C47">
        <w:rPr>
          <w:rFonts w:ascii="Verdana" w:hAnsi="Verdana"/>
          <w:sz w:val="16"/>
          <w:szCs w:val="16"/>
          <w:lang w:val="en-GB"/>
        </w:rPr>
        <w:t xml:space="preserve">, 11-19; </w:t>
      </w:r>
      <w:hyperlink r:id="rId10" w:history="1">
        <w:r w:rsidRPr="00E01C47">
          <w:rPr>
            <w:rStyle w:val="Hyperlink"/>
            <w:rFonts w:ascii="Verdana" w:hAnsi="Verdana"/>
            <w:sz w:val="16"/>
            <w:szCs w:val="16"/>
            <w:lang w:val="en-GB"/>
          </w:rPr>
          <w:t>https://www.researchgate.net/publication/396855553_Voluntary_liquidation_of_regulated_investments_funds</w:t>
        </w:r>
      </w:hyperlink>
      <w:r w:rsidRPr="00E01C47">
        <w:rPr>
          <w:rFonts w:ascii="Verdana" w:hAnsi="Verdana"/>
          <w:sz w:val="16"/>
          <w:szCs w:val="16"/>
          <w:lang w:val="en-GB"/>
        </w:rPr>
        <w:t xml:space="preserve"> (last accessed on 3 January 2026).</w:t>
      </w:r>
    </w:p>
  </w:footnote>
  <w:footnote w:id="27">
    <w:p w14:paraId="16839053" w14:textId="088055A9" w:rsidR="001B426E" w:rsidRPr="00E01C47" w:rsidRDefault="001B426E"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w:t>
      </w:r>
      <w:r w:rsidR="0059701A" w:rsidRPr="00E01C47">
        <w:rPr>
          <w:rFonts w:ascii="Verdana" w:hAnsi="Verdana"/>
          <w:sz w:val="16"/>
          <w:szCs w:val="16"/>
          <w:lang w:val="en-GB"/>
        </w:rPr>
        <w:t>21</w:t>
      </w:r>
      <w:r w:rsidRPr="00E01C47">
        <w:rPr>
          <w:rFonts w:ascii="Verdana" w:hAnsi="Verdana"/>
          <w:sz w:val="16"/>
          <w:szCs w:val="16"/>
          <w:lang w:val="en-GB"/>
        </w:rPr>
        <w:t xml:space="preserve"> of the SICAR Act 2004, Article 4</w:t>
      </w:r>
      <w:r w:rsidR="0059701A" w:rsidRPr="00E01C47">
        <w:rPr>
          <w:rFonts w:ascii="Verdana" w:hAnsi="Verdana"/>
          <w:sz w:val="16"/>
          <w:szCs w:val="16"/>
          <w:lang w:val="en-GB"/>
        </w:rPr>
        <w:t>9</w:t>
      </w:r>
      <w:r w:rsidRPr="00E01C47">
        <w:rPr>
          <w:rFonts w:ascii="Verdana" w:hAnsi="Verdana"/>
          <w:sz w:val="16"/>
          <w:szCs w:val="16"/>
          <w:lang w:val="en-GB"/>
        </w:rPr>
        <w:t xml:space="preserve"> of the SIF Act 2007, and Article 14</w:t>
      </w:r>
      <w:r w:rsidR="0059701A" w:rsidRPr="00E01C47">
        <w:rPr>
          <w:rFonts w:ascii="Verdana" w:hAnsi="Verdana"/>
          <w:sz w:val="16"/>
          <w:szCs w:val="16"/>
          <w:lang w:val="en-GB"/>
        </w:rPr>
        <w:t>5</w:t>
      </w:r>
      <w:r w:rsidRPr="00E01C47">
        <w:rPr>
          <w:rFonts w:ascii="Verdana" w:hAnsi="Verdana"/>
          <w:sz w:val="16"/>
          <w:szCs w:val="16"/>
          <w:lang w:val="en-GB"/>
        </w:rPr>
        <w:t xml:space="preserve"> of the UCI Act 2010.</w:t>
      </w:r>
    </w:p>
  </w:footnote>
  <w:footnote w:id="28">
    <w:p w14:paraId="2C956507" w14:textId="71CBA8E7" w:rsidR="0059701A" w:rsidRPr="00E01C47" w:rsidRDefault="0059701A"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21 of the SICAR Act 2004, Article 50 of the SIF Act 2007, and Article 146 of the UCI Act 2010.</w:t>
      </w:r>
    </w:p>
  </w:footnote>
  <w:footnote w:id="29">
    <w:p w14:paraId="5C28F7F3" w14:textId="292CDBC1" w:rsidR="001C537D" w:rsidRPr="00E01C47" w:rsidRDefault="001C537D"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19(10) of the SICAR Act 2004, Article 47(10) of the SIF Act 2007, and Article 143(10) of the UCI Act 2010.</w:t>
      </w:r>
    </w:p>
  </w:footnote>
  <w:footnote w:id="30">
    <w:p w14:paraId="617CB4CE" w14:textId="393BAA2E" w:rsidR="00F14571" w:rsidRPr="00E01C47" w:rsidRDefault="00D9197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20(1)(e) of the SIF Act 2007, Article 22(1)(e) of the UCI Act 2010, and Article 19(1)(e) of the RAIF Act 2016.</w:t>
      </w:r>
      <w:r w:rsidR="00F14571" w:rsidRPr="00E01C47">
        <w:rPr>
          <w:rFonts w:ascii="Verdana" w:hAnsi="Verdana"/>
          <w:sz w:val="16"/>
          <w:szCs w:val="16"/>
          <w:lang w:val="en-GB"/>
        </w:rPr>
        <w:t xml:space="preserve"> The aforementioned paragraphs (e) of said Product Fund Laws expressly preserve the primacy of the management regulations as the contractual constitution of the FCP, by allowing them to specify additional liquidation cases. Doctrine underlines that such cases do not require confirmation by a decision of the management company or unitholders if they are drafted as self-executing triggers (for example, certain market-disruption clauses, or minimum-size triggers drafted as automatic). The “automaticity” is therefore not anchored in Civil Code Article 1865, but in the combined effect of (i) statutory investor-protection constraints and (ii) the management regulations’ ex ante allocation of termination consequences.</w:t>
      </w:r>
    </w:p>
  </w:footnote>
  <w:footnote w:id="31">
    <w:p w14:paraId="57C54A83" w14:textId="087A56F2" w:rsidR="00F14571" w:rsidRPr="00E01C47" w:rsidRDefault="00E53863"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20(1)(a) of the SIF Act 2007, Article </w:t>
      </w:r>
      <w:r w:rsidR="00D91972" w:rsidRPr="00E01C47">
        <w:rPr>
          <w:rFonts w:ascii="Verdana" w:hAnsi="Verdana"/>
          <w:sz w:val="16"/>
          <w:szCs w:val="16"/>
          <w:lang w:val="en-GB"/>
        </w:rPr>
        <w:t>22(1)(a)</w:t>
      </w:r>
      <w:r w:rsidRPr="00E01C47">
        <w:rPr>
          <w:rFonts w:ascii="Verdana" w:hAnsi="Verdana"/>
          <w:sz w:val="16"/>
          <w:szCs w:val="16"/>
          <w:lang w:val="en-GB"/>
        </w:rPr>
        <w:t xml:space="preserve"> of the UCI Act 2010, and Article 1</w:t>
      </w:r>
      <w:r w:rsidR="00D91972" w:rsidRPr="00E01C47">
        <w:rPr>
          <w:rFonts w:ascii="Verdana" w:hAnsi="Verdana"/>
          <w:sz w:val="16"/>
          <w:szCs w:val="16"/>
          <w:lang w:val="en-GB"/>
        </w:rPr>
        <w:t>9</w:t>
      </w:r>
      <w:r w:rsidRPr="00E01C47">
        <w:rPr>
          <w:rFonts w:ascii="Verdana" w:hAnsi="Verdana"/>
          <w:sz w:val="16"/>
          <w:szCs w:val="16"/>
          <w:lang w:val="en-GB"/>
        </w:rPr>
        <w:t>(1)</w:t>
      </w:r>
      <w:r w:rsidR="00D91972" w:rsidRPr="00E01C47">
        <w:rPr>
          <w:rFonts w:ascii="Verdana" w:hAnsi="Verdana"/>
          <w:sz w:val="16"/>
          <w:szCs w:val="16"/>
          <w:lang w:val="en-GB"/>
        </w:rPr>
        <w:t>(a)</w:t>
      </w:r>
      <w:r w:rsidRPr="00E01C47">
        <w:rPr>
          <w:rFonts w:ascii="Verdana" w:hAnsi="Verdana"/>
          <w:sz w:val="16"/>
          <w:szCs w:val="16"/>
          <w:lang w:val="en-GB"/>
        </w:rPr>
        <w:t xml:space="preserve"> of the RAIF Act 2016.</w:t>
      </w:r>
      <w:r w:rsidR="00F14571" w:rsidRPr="00E01C47">
        <w:rPr>
          <w:rFonts w:ascii="Verdana" w:hAnsi="Verdana"/>
          <w:sz w:val="16"/>
          <w:szCs w:val="16"/>
          <w:lang w:val="en-GB"/>
        </w:rPr>
        <w:t xml:space="preserve"> In doctrinal terms, this is the closest contractual analogue to Article 1865 Civil Code “expiry of duration”. The decisive act is embedded </w:t>
      </w:r>
      <w:r w:rsidR="00F14571" w:rsidRPr="00E01C47">
        <w:rPr>
          <w:rFonts w:ascii="Verdana" w:hAnsi="Verdana"/>
          <w:i/>
          <w:iCs/>
          <w:sz w:val="16"/>
          <w:szCs w:val="16"/>
          <w:lang w:val="en-GB"/>
        </w:rPr>
        <w:t>ex ante</w:t>
      </w:r>
      <w:r w:rsidR="00F14571" w:rsidRPr="00E01C47">
        <w:rPr>
          <w:rFonts w:ascii="Verdana" w:hAnsi="Verdana"/>
          <w:sz w:val="16"/>
          <w:szCs w:val="16"/>
          <w:lang w:val="en-GB"/>
        </w:rPr>
        <w:t xml:space="preserve"> in the constitutive contractual framework: by stipulating a fixed term, the management regulations predetermine that the FCP will cease to operate as a going concern on the expiry date, without requiring any discretionary decision by the management company or unitholders at that time.</w:t>
      </w:r>
    </w:p>
  </w:footnote>
  <w:footnote w:id="32">
    <w:p w14:paraId="488DDA69" w14:textId="23B38EFF" w:rsidR="00F14571" w:rsidRPr="00E01C47" w:rsidRDefault="00D9197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20(1)(b) of the SIF Act 2007, Article 22(1)(b) of the UCI Act 2010, and Article 19(1)(b) of the RAIF Act 2016.</w:t>
      </w:r>
      <w:r w:rsidR="00F14571" w:rsidRPr="00E01C47">
        <w:rPr>
          <w:rFonts w:ascii="Verdana" w:hAnsi="Verdana"/>
          <w:sz w:val="16"/>
          <w:szCs w:val="16"/>
          <w:lang w:val="en-GB"/>
        </w:rPr>
        <w:t xml:space="preserve"> The aforementioned paragraphs (e) of said Product Fund Laws address structural breakdown of the FCP’s two institutional pillars. They provide that liquidation shall take place where the management company or the depositary ceases to perform its duties in the circumstances contemplated by said provisions, and is not replaced within the required period (in practice, a two-month window is the statutory reference point, subject to the specific sub-case of bankruptcy of the management company. The logic is functional and investor-protection driven. Because an FCP cannot act in its own name, and because custody/oversight is central to the integrity of the vehicle, the continued existence of the fund is treated as untenable if either (i) the management company that represents and operates it, or (ii) the depositary that safeguards and monitors it, disappears without timely replacement. The </w:t>
      </w:r>
      <w:r w:rsidR="00F14571" w:rsidRPr="00E01C47">
        <w:rPr>
          <w:rFonts w:ascii="Verdana" w:hAnsi="Verdana"/>
          <w:i/>
          <w:iCs/>
          <w:sz w:val="16"/>
          <w:szCs w:val="16"/>
          <w:lang w:val="en-GB"/>
        </w:rPr>
        <w:t>ipso jure</w:t>
      </w:r>
      <w:r w:rsidR="00F14571" w:rsidRPr="00E01C47">
        <w:rPr>
          <w:rFonts w:ascii="Verdana" w:hAnsi="Verdana"/>
          <w:sz w:val="16"/>
          <w:szCs w:val="16"/>
          <w:lang w:val="en-GB"/>
        </w:rPr>
        <w:t xml:space="preserve"> character stems from the fact that the statutory consequence – liquidation – does not depend on any evaluative judgment about whether the fund could limp on in some reduced form: the legislator pre-allocates the outcome once the non-replacement condition is met.</w:t>
      </w:r>
    </w:p>
  </w:footnote>
  <w:footnote w:id="33">
    <w:p w14:paraId="209859BE" w14:textId="350D2152" w:rsidR="006229A6" w:rsidRPr="00E01C47" w:rsidRDefault="00D9197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20(1)(c) of the SIF Act 2007, Article 22(1)(c) of the UCI Act 2010, and Article 19(1)(c) of the RAIF Act 2016.</w:t>
      </w:r>
      <w:r w:rsidR="006229A6" w:rsidRPr="00E01C47">
        <w:rPr>
          <w:rFonts w:ascii="Verdana" w:hAnsi="Verdana"/>
          <w:sz w:val="16"/>
          <w:szCs w:val="16"/>
          <w:lang w:val="en-GB"/>
        </w:rPr>
        <w:t xml:space="preserve"> The aforementioned paragraphs (c) of said Product Fund Laws single out the bankruptcy of the management company as a distinct liquidation trigger. This is not merely a special case </w:t>
      </w:r>
      <w:proofErr w:type="gramStart"/>
      <w:r w:rsidR="006229A6" w:rsidRPr="00E01C47">
        <w:rPr>
          <w:rFonts w:ascii="Verdana" w:hAnsi="Verdana"/>
          <w:sz w:val="16"/>
          <w:szCs w:val="16"/>
          <w:lang w:val="en-GB"/>
        </w:rPr>
        <w:t>paragraphs (b)</w:t>
      </w:r>
      <w:proofErr w:type="gramEnd"/>
      <w:r w:rsidR="006229A6" w:rsidRPr="00E01C47">
        <w:rPr>
          <w:rFonts w:ascii="Verdana" w:hAnsi="Verdana"/>
          <w:sz w:val="16"/>
          <w:szCs w:val="16"/>
          <w:lang w:val="en-GB"/>
        </w:rPr>
        <w:t xml:space="preserve">. The logic is stricter: doctrine notes that liquidation follows even if another management company would, in principle, be ready to take over. The rule therefore treats the bankruptcy itself as a disqualifying event that breaks the continuity of the FCP’s operational and representational framework in a manner that the legislature chose not to leave to ad hoc remedial substitution. From an </w:t>
      </w:r>
      <w:r w:rsidR="006229A6" w:rsidRPr="00E01C47">
        <w:rPr>
          <w:rFonts w:ascii="Verdana" w:hAnsi="Verdana"/>
          <w:i/>
          <w:iCs/>
          <w:sz w:val="16"/>
          <w:szCs w:val="16"/>
          <w:lang w:val="en-GB"/>
        </w:rPr>
        <w:t>ipso jure</w:t>
      </w:r>
      <w:r w:rsidR="006229A6" w:rsidRPr="00E01C47">
        <w:rPr>
          <w:rFonts w:ascii="Verdana" w:hAnsi="Verdana"/>
          <w:sz w:val="16"/>
          <w:szCs w:val="16"/>
          <w:lang w:val="en-GB"/>
        </w:rPr>
        <w:t xml:space="preserve"> standpoint, this is one of the strongest statutory examples of automaticity in the contractual fund sphere: the trigger is binary (bankruptcy/no bankruptcy) and the legal consequence is predefined (liquidation), without any room for “neutralisation” by stakeholder agreement comparable to what may occur, under Civil Code Article 1865, in the case of frustration of corporate object.</w:t>
      </w:r>
    </w:p>
  </w:footnote>
  <w:footnote w:id="34">
    <w:p w14:paraId="17F0CE88" w14:textId="452A0206" w:rsidR="006229A6" w:rsidRPr="00E01C47" w:rsidRDefault="00D9197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20(1)(d) of the SIF Act 2007, Article 22(1)(d) of the UCI Act 2010, and Article 19(1)(d) of the RAIF Act 2016.</w:t>
      </w:r>
      <w:r w:rsidR="006229A6" w:rsidRPr="00E01C47">
        <w:rPr>
          <w:rFonts w:ascii="Verdana" w:hAnsi="Verdana"/>
          <w:sz w:val="16"/>
          <w:szCs w:val="16"/>
          <w:lang w:val="en-GB"/>
        </w:rPr>
        <w:t xml:space="preserve"> The aforementioned paragraphs (d) of said Product Fund Laws provide that liquidation shall take place if the net assets of the FCP have fallen for more than six months below one quarter of the legal minimum. This is an objective, time-based trigger: it combines (i) a quantitative test (net assets below the relevant fraction of the legal minimum) and (ii) a temporal persistence test (more than six months). As such, it is structurally designed to operate automatically, removing discretion and reducing the scope for dispute about whether liquidation is “appropriate”. In addition, practice materials distinguish this automatic trigger from the adjacent supervisory mechanism where net assets fall below two-thirds of the legal minimum. In that latter case, the management company must inform the CSSF, which may compel liquidation; by contrast, the one-quarter / six-month threshold is framed as automatic liquidation. This two-tier structure reflects a sliding scale: the deeper and sustained the impairment, the more the law shifts from regulatory discretion to statutory automaticity.</w:t>
      </w:r>
    </w:p>
  </w:footnote>
  <w:footnote w:id="35">
    <w:p w14:paraId="3219AB24" w14:textId="3FC9176F" w:rsidR="00D91972" w:rsidRPr="00E01C47" w:rsidRDefault="00D91972" w:rsidP="00824F60">
      <w:pPr>
        <w:pStyle w:val="FootnoteText"/>
        <w:ind w:right="-330"/>
        <w:jc w:val="both"/>
        <w:rPr>
          <w:rFonts w:ascii="Verdana" w:hAnsi="Verdana"/>
          <w:sz w:val="16"/>
          <w:szCs w:val="16"/>
          <w:lang w:val="en-GB"/>
        </w:rPr>
      </w:pPr>
      <w:r w:rsidRPr="00E01C47">
        <w:rPr>
          <w:rStyle w:val="FootnoteReference"/>
          <w:rFonts w:ascii="Verdana" w:hAnsi="Verdana"/>
          <w:sz w:val="16"/>
          <w:szCs w:val="16"/>
          <w:lang w:val="en-GB"/>
        </w:rPr>
        <w:footnoteRef/>
      </w:r>
      <w:r w:rsidRPr="00E01C47">
        <w:rPr>
          <w:rFonts w:ascii="Verdana" w:hAnsi="Verdana"/>
          <w:sz w:val="16"/>
          <w:szCs w:val="16"/>
          <w:lang w:val="en-GB"/>
        </w:rPr>
        <w:t xml:space="preserve"> See Article 20(2) of the SIF Act 2007, Article 22(2) of the UCI Act 2010, and Article 19(2) of the RAIF Act 2016.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EB23A" w14:textId="4BB6C0B6" w:rsidR="00C157EC" w:rsidRDefault="00C92445" w:rsidP="00C157EC">
    <w:pPr>
      <w:pStyle w:val="Header"/>
    </w:pPr>
    <w:r>
      <w:rPr>
        <w:noProof/>
      </w:rPr>
      <mc:AlternateContent>
        <mc:Choice Requires="wps">
          <w:drawing>
            <wp:anchor distT="0" distB="0" distL="114300" distR="114300" simplePos="0" relativeHeight="251663360" behindDoc="0" locked="0" layoutInCell="1" allowOverlap="1" wp14:anchorId="3D0BD83D" wp14:editId="0A737900">
              <wp:simplePos x="0" y="0"/>
              <wp:positionH relativeFrom="column">
                <wp:posOffset>3722370</wp:posOffset>
              </wp:positionH>
              <wp:positionV relativeFrom="paragraph">
                <wp:posOffset>287020</wp:posOffset>
              </wp:positionV>
              <wp:extent cx="2908248" cy="523344"/>
              <wp:effectExtent l="0" t="0" r="0" b="0"/>
              <wp:wrapNone/>
              <wp:docPr id="12" name="Textbox 12"/>
              <wp:cNvGraphicFramePr/>
              <a:graphic xmlns:a="http://schemas.openxmlformats.org/drawingml/2006/main">
                <a:graphicData uri="http://schemas.microsoft.com/office/word/2010/wordprocessingShape">
                  <wps:wsp>
                    <wps:cNvSpPr txBox="1"/>
                    <wps:spPr>
                      <a:xfrm>
                        <a:off x="0" y="0"/>
                        <a:ext cx="2908248" cy="523344"/>
                      </a:xfrm>
                      <a:prstGeom prst="rect">
                        <a:avLst/>
                      </a:prstGeom>
                    </wps:spPr>
                    <wps:txbx>
                      <w:txbxContent>
                        <w:p w14:paraId="0E1D4D95" w14:textId="4B25A373" w:rsidR="00C92445" w:rsidRPr="002F59D7" w:rsidRDefault="00714DB3"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4FDDD1A5"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00714DB3">
                            <w:rPr>
                              <w:rFonts w:ascii="Verdana" w:hAnsi="Verdana"/>
                              <w:color w:val="FFFFFF" w:themeColor="background1"/>
                              <w:sz w:val="16"/>
                              <w:szCs w:val="16"/>
                              <w:lang w:val="en-US"/>
                            </w:rPr>
                            <w:t>2</w:t>
                          </w:r>
                          <w:r>
                            <w:rPr>
                              <w:rFonts w:ascii="Verdana" w:hAnsi="Verdana"/>
                              <w:color w:val="FFFFFF" w:themeColor="background1"/>
                              <w:sz w:val="16"/>
                              <w:szCs w:val="16"/>
                              <w:lang w:val="en-US"/>
                            </w:rPr>
                            <w:t xml:space="preserve"> – pp</w:t>
                          </w:r>
                          <w:r w:rsidR="004E269A">
                            <w:rPr>
                              <w:rFonts w:ascii="Verdana" w:hAnsi="Verdana"/>
                              <w:color w:val="FFFFFF" w:themeColor="background1"/>
                              <w:sz w:val="16"/>
                              <w:szCs w:val="16"/>
                              <w:lang w:val="en-US"/>
                            </w:rPr>
                            <w:t xml:space="preserve">. </w:t>
                          </w:r>
                          <w:r w:rsidR="00714DB3">
                            <w:rPr>
                              <w:rFonts w:ascii="Verdana" w:hAnsi="Verdana"/>
                              <w:color w:val="FFFFFF" w:themeColor="background1"/>
                              <w:sz w:val="16"/>
                              <w:szCs w:val="16"/>
                              <w:lang w:val="en-US"/>
                            </w:rPr>
                            <w:t>13-</w:t>
                          </w:r>
                          <w:r w:rsidR="004E2C67">
                            <w:rPr>
                              <w:rFonts w:ascii="Verdana" w:hAnsi="Verdana"/>
                              <w:color w:val="FFFFFF" w:themeColor="background1"/>
                              <w:sz w:val="16"/>
                              <w:szCs w:val="16"/>
                              <w:lang w:val="en-US"/>
                            </w:rPr>
                            <w:t>25</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0BD83D" id="_x0000_t202" coordsize="21600,21600" o:spt="202" path="m,l,21600r21600,l21600,xe">
              <v:stroke joinstyle="miter"/>
              <v:path gradientshapeok="t" o:connecttype="rect"/>
            </v:shapetype>
            <v:shape id="Textbox 12" o:spid="_x0000_s1026" type="#_x0000_t202" style="position:absolute;margin-left:293.1pt;margin-top:22.6pt;width:229pt;height:4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" filled="f" stroked="f">
              <v:textbox inset="0,0,0,0">
                <w:txbxContent>
                  <w:p w14:paraId="0E1D4D95" w14:textId="4B25A373" w:rsidR="00C92445" w:rsidRPr="002F59D7" w:rsidRDefault="00714DB3" w:rsidP="004E269A">
                    <w:pPr>
                      <w:pStyle w:val="Footer"/>
                      <w:ind w:right="360"/>
                      <w:jc w:val="center"/>
                      <w:rPr>
                        <w:rFonts w:ascii="Verdana" w:hAnsi="Verdana"/>
                        <w:i/>
                        <w:iCs/>
                        <w:color w:val="FFFFFF" w:themeColor="background1"/>
                        <w:sz w:val="16"/>
                        <w:szCs w:val="16"/>
                        <w:lang w:val="en-US"/>
                      </w:rPr>
                    </w:pPr>
                    <w:proofErr w:type="spellStart"/>
                    <w:r>
                      <w:rPr>
                        <w:rFonts w:ascii="Verdana" w:hAnsi="Verdana"/>
                        <w:i/>
                        <w:iCs/>
                        <w:color w:val="FFFFFF" w:themeColor="background1"/>
                        <w:sz w:val="16"/>
                        <w:szCs w:val="16"/>
                        <w:lang w:val="en-US"/>
                      </w:rPr>
                      <w:t>NewTIFI</w:t>
                    </w:r>
                    <w:proofErr w:type="spellEnd"/>
                    <w:r w:rsidR="00C92445" w:rsidRPr="002F59D7">
                      <w:rPr>
                        <w:rFonts w:ascii="Verdana" w:hAnsi="Verdana"/>
                        <w:i/>
                        <w:iCs/>
                        <w:color w:val="FFFFFF" w:themeColor="background1"/>
                        <w:sz w:val="16"/>
                        <w:szCs w:val="16"/>
                        <w:lang w:val="en-US"/>
                      </w:rPr>
                      <w:t xml:space="preserve"> </w:t>
                    </w:r>
                    <w:r w:rsidR="004E269A">
                      <w:rPr>
                        <w:rFonts w:ascii="Verdana" w:hAnsi="Verdana"/>
                        <w:i/>
                        <w:iCs/>
                        <w:color w:val="FFFFFF" w:themeColor="background1"/>
                        <w:sz w:val="16"/>
                        <w:szCs w:val="16"/>
                        <w:lang w:val="en-US"/>
                      </w:rPr>
                      <w:t>Restructuring</w:t>
                    </w:r>
                    <w:r>
                      <w:rPr>
                        <w:rFonts w:ascii="Verdana" w:hAnsi="Verdana"/>
                        <w:i/>
                        <w:iCs/>
                        <w:color w:val="FFFFFF" w:themeColor="background1"/>
                        <w:sz w:val="16"/>
                        <w:szCs w:val="16"/>
                        <w:lang w:val="en-US"/>
                      </w:rPr>
                      <w:t xml:space="preserve"> &amp; Insolvency</w:t>
                    </w:r>
                    <w:r w:rsidR="004E269A">
                      <w:rPr>
                        <w:rFonts w:ascii="Verdana" w:hAnsi="Verdana"/>
                        <w:i/>
                        <w:iCs/>
                        <w:color w:val="FFFFFF" w:themeColor="background1"/>
                        <w:sz w:val="16"/>
                        <w:szCs w:val="16"/>
                        <w:lang w:val="en-US"/>
                      </w:rPr>
                      <w:t xml:space="preserve"> </w:t>
                    </w:r>
                    <w:r w:rsidR="00C92445" w:rsidRPr="002F59D7">
                      <w:rPr>
                        <w:rFonts w:ascii="Verdana" w:hAnsi="Verdana"/>
                        <w:i/>
                        <w:iCs/>
                        <w:color w:val="FFFFFF" w:themeColor="background1"/>
                        <w:sz w:val="16"/>
                        <w:szCs w:val="16"/>
                        <w:lang w:val="en-US"/>
                      </w:rPr>
                      <w:t>Journal</w:t>
                    </w:r>
                  </w:p>
                  <w:p w14:paraId="1535F299" w14:textId="4FDDD1A5" w:rsidR="00C92445" w:rsidRPr="002F59D7" w:rsidRDefault="00C92445" w:rsidP="00C92445">
                    <w:pPr>
                      <w:pStyle w:val="Footer"/>
                      <w:ind w:right="360"/>
                      <w:jc w:val="center"/>
                      <w:rPr>
                        <w:rFonts w:ascii="Verdana" w:hAnsi="Verdana"/>
                        <w:color w:val="FFFFFF" w:themeColor="background1"/>
                        <w:spacing w:val="5"/>
                        <w:sz w:val="16"/>
                        <w:szCs w:val="16"/>
                        <w:lang w:val="en-US"/>
                      </w:rPr>
                    </w:pPr>
                    <w:r w:rsidRPr="002F59D7">
                      <w:rPr>
                        <w:rFonts w:ascii="Verdana" w:hAnsi="Verdana"/>
                        <w:color w:val="FFFFFF" w:themeColor="background1"/>
                        <w:sz w:val="16"/>
                        <w:szCs w:val="16"/>
                        <w:lang w:val="en-US"/>
                      </w:rPr>
                      <w:t>Vol.</w:t>
                    </w:r>
                    <w:r w:rsidRPr="002F59D7">
                      <w:rPr>
                        <w:rFonts w:ascii="Verdana" w:hAnsi="Verdana"/>
                        <w:color w:val="FFFFFF" w:themeColor="background1"/>
                        <w:spacing w:val="5"/>
                        <w:sz w:val="16"/>
                        <w:szCs w:val="16"/>
                        <w:lang w:val="en-US"/>
                      </w:rPr>
                      <w:t xml:space="preserve"> </w:t>
                    </w:r>
                    <w:r>
                      <w:rPr>
                        <w:rFonts w:ascii="Verdana" w:hAnsi="Verdana"/>
                        <w:color w:val="FFFFFF" w:themeColor="background1"/>
                        <w:sz w:val="16"/>
                        <w:szCs w:val="16"/>
                        <w:lang w:val="en-US"/>
                      </w:rPr>
                      <w:t>1</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z w:val="16"/>
                        <w:szCs w:val="16"/>
                        <w:lang w:val="en-US"/>
                      </w:rPr>
                      <w:t>– N°</w:t>
                    </w:r>
                    <w:r w:rsidR="00714DB3">
                      <w:rPr>
                        <w:rFonts w:ascii="Verdana" w:hAnsi="Verdana"/>
                        <w:color w:val="FFFFFF" w:themeColor="background1"/>
                        <w:sz w:val="16"/>
                        <w:szCs w:val="16"/>
                        <w:lang w:val="en-US"/>
                      </w:rPr>
                      <w:t>2</w:t>
                    </w:r>
                    <w:r>
                      <w:rPr>
                        <w:rFonts w:ascii="Verdana" w:hAnsi="Verdana"/>
                        <w:color w:val="FFFFFF" w:themeColor="background1"/>
                        <w:sz w:val="16"/>
                        <w:szCs w:val="16"/>
                        <w:lang w:val="en-US"/>
                      </w:rPr>
                      <w:t xml:space="preserve"> – pp</w:t>
                    </w:r>
                    <w:r w:rsidR="004E269A">
                      <w:rPr>
                        <w:rFonts w:ascii="Verdana" w:hAnsi="Verdana"/>
                        <w:color w:val="FFFFFF" w:themeColor="background1"/>
                        <w:sz w:val="16"/>
                        <w:szCs w:val="16"/>
                        <w:lang w:val="en-US"/>
                      </w:rPr>
                      <w:t xml:space="preserve">. </w:t>
                    </w:r>
                    <w:r w:rsidR="00714DB3">
                      <w:rPr>
                        <w:rFonts w:ascii="Verdana" w:hAnsi="Verdana"/>
                        <w:color w:val="FFFFFF" w:themeColor="background1"/>
                        <w:sz w:val="16"/>
                        <w:szCs w:val="16"/>
                        <w:lang w:val="en-US"/>
                      </w:rPr>
                      <w:t>13-</w:t>
                    </w:r>
                    <w:r w:rsidR="004E2C67">
                      <w:rPr>
                        <w:rFonts w:ascii="Verdana" w:hAnsi="Verdana"/>
                        <w:color w:val="FFFFFF" w:themeColor="background1"/>
                        <w:sz w:val="16"/>
                        <w:szCs w:val="16"/>
                        <w:lang w:val="en-US"/>
                      </w:rPr>
                      <w:t>25</w:t>
                    </w:r>
                  </w:p>
                  <w:p w14:paraId="51A8842A" w14:textId="1B5E59BD" w:rsidR="00C92445" w:rsidRPr="002F59D7" w:rsidRDefault="00C92445" w:rsidP="00C92445">
                    <w:pPr>
                      <w:pStyle w:val="Footer"/>
                      <w:ind w:right="360"/>
                      <w:jc w:val="center"/>
                      <w:rPr>
                        <w:rFonts w:ascii="Verdana" w:hAnsi="Verdana"/>
                        <w:b/>
                        <w:color w:val="FFFFFF" w:themeColor="background1"/>
                        <w:sz w:val="16"/>
                        <w:szCs w:val="16"/>
                      </w:rPr>
                    </w:pPr>
                    <w:proofErr w:type="spellStart"/>
                    <w:r w:rsidRPr="002F59D7">
                      <w:rPr>
                        <w:rFonts w:ascii="Verdana" w:hAnsi="Verdana"/>
                        <w:color w:val="FFFFFF" w:themeColor="background1"/>
                        <w:sz w:val="16"/>
                        <w:szCs w:val="16"/>
                        <w:lang w:val="en-US"/>
                      </w:rPr>
                      <w:t>eISSN</w:t>
                    </w:r>
                    <w:proofErr w:type="spellEnd"/>
                    <w:r w:rsidRPr="002F59D7">
                      <w:rPr>
                        <w:rFonts w:ascii="Verdana" w:hAnsi="Verdana"/>
                        <w:color w:val="FFFFFF" w:themeColor="background1"/>
                        <w:sz w:val="16"/>
                        <w:szCs w:val="16"/>
                        <w:lang w:val="en-US"/>
                      </w:rPr>
                      <w:t>:</w:t>
                    </w:r>
                    <w:r w:rsidRPr="002F59D7">
                      <w:rPr>
                        <w:rFonts w:ascii="Verdana" w:hAnsi="Verdana"/>
                        <w:color w:val="FFFFFF" w:themeColor="background1"/>
                        <w:spacing w:val="5"/>
                        <w:sz w:val="16"/>
                        <w:szCs w:val="16"/>
                        <w:lang w:val="en-US"/>
                      </w:rPr>
                      <w:t xml:space="preserve"> </w:t>
                    </w:r>
                    <w:r w:rsidRPr="002F59D7">
                      <w:rPr>
                        <w:rFonts w:ascii="Verdana" w:hAnsi="Verdana"/>
                        <w:color w:val="FFFFFF" w:themeColor="background1"/>
                        <w:spacing w:val="-2"/>
                        <w:sz w:val="16"/>
                        <w:szCs w:val="16"/>
                        <w:lang w:val="en-US"/>
                      </w:rPr>
                      <w:t>XXXX-</w:t>
                    </w:r>
                    <w:r w:rsidRPr="002F59D7">
                      <w:rPr>
                        <w:rFonts w:ascii="Verdana" w:hAnsi="Verdana"/>
                        <w:color w:val="FFFFFF" w:themeColor="background1"/>
                        <w:sz w:val="16"/>
                        <w:szCs w:val="16"/>
                      </w:rPr>
                      <w:t>XXXX</w:t>
                    </w:r>
                  </w:p>
                  <w:p w14:paraId="48E31C05" w14:textId="77777777" w:rsidR="00C92445" w:rsidRPr="002F59D7" w:rsidRDefault="00C92445" w:rsidP="00C92445">
                    <w:pPr>
                      <w:pStyle w:val="Footer"/>
                      <w:ind w:right="360"/>
                      <w:jc w:val="center"/>
                      <w:rPr>
                        <w:rFonts w:ascii="Verdana" w:hAnsi="Verdana"/>
                        <w:i/>
                        <w:iCs/>
                        <w:color w:val="FFFFFF" w:themeColor="background1"/>
                        <w:sz w:val="16"/>
                        <w:szCs w:val="16"/>
                        <w:lang w:val="en-US"/>
                      </w:rPr>
                    </w:pPr>
                    <w:r w:rsidRPr="002F59D7">
                      <w:rPr>
                        <w:rFonts w:ascii="Verdana" w:hAnsi="Verdana"/>
                        <w:color w:val="FFFFFF" w:themeColor="background1"/>
                        <w:sz w:val="16"/>
                        <w:szCs w:val="16"/>
                        <w:lang w:val="en-US"/>
                      </w:rPr>
                      <w:t>Quarterly publication</w:t>
                    </w:r>
                  </w:p>
                </w:txbxContent>
              </v:textbox>
            </v:shape>
          </w:pict>
        </mc:Fallback>
      </mc:AlternateContent>
    </w:r>
    <w:r w:rsidR="00C157EC">
      <w:rPr>
        <w:noProof/>
      </w:rPr>
      <mc:AlternateContent>
        <mc:Choice Requires="wps">
          <w:drawing>
            <wp:anchor distT="0" distB="0" distL="114300" distR="114300" simplePos="0" relativeHeight="251661312" behindDoc="0" locked="0" layoutInCell="1" allowOverlap="1" wp14:anchorId="094EA7C0" wp14:editId="38E2D8E5">
              <wp:simplePos x="0" y="0"/>
              <wp:positionH relativeFrom="column">
                <wp:posOffset>2519680</wp:posOffset>
              </wp:positionH>
              <wp:positionV relativeFrom="paragraph">
                <wp:posOffset>287948</wp:posOffset>
              </wp:positionV>
              <wp:extent cx="1202690" cy="524510"/>
              <wp:effectExtent l="0" t="0" r="3810" b="0"/>
              <wp:wrapNone/>
              <wp:docPr id="1026356458" name="Graphic 11"/>
              <wp:cNvGraphicFramePr/>
              <a:graphic xmlns:a="http://schemas.openxmlformats.org/drawingml/2006/main">
                <a:graphicData uri="http://schemas.microsoft.com/office/word/2010/wordprocessingShape">
                  <wps:wsp>
                    <wps:cNvSpPr/>
                    <wps:spPr>
                      <a:xfrm>
                        <a:off x="0" y="0"/>
                        <a:ext cx="1202690" cy="524510"/>
                      </a:xfrm>
                      <a:custGeom>
                        <a:avLst/>
                        <a:gdLst/>
                        <a:ahLst/>
                        <a:cxnLst/>
                        <a:rect l="l" t="t" r="r" b="b"/>
                        <a:pathLst>
                          <a:path w="1203325" h="525145">
                            <a:moveTo>
                              <a:pt x="601583" y="524588"/>
                            </a:moveTo>
                            <a:lnTo>
                              <a:pt x="0" y="524588"/>
                            </a:lnTo>
                            <a:lnTo>
                              <a:pt x="601583" y="0"/>
                            </a:lnTo>
                            <a:lnTo>
                              <a:pt x="1202864" y="0"/>
                            </a:lnTo>
                            <a:lnTo>
                              <a:pt x="1202864" y="263"/>
                            </a:lnTo>
                            <a:lnTo>
                              <a:pt x="601583" y="524588"/>
                            </a:lnTo>
                            <a:close/>
                          </a:path>
                        </a:pathLst>
                      </a:custGeom>
                      <a:solidFill>
                        <a:srgbClr val="46B3B9"/>
                      </a:solidFill>
                    </wps:spPr>
                    <wps:bodyPr wrap="square" lIns="0" tIns="0" rIns="0" bIns="0" rtlCol="0">
                      <a:prstTxWarp prst="textNoShape">
                        <a:avLst/>
                      </a:prstTxWarp>
                      <a:noAutofit/>
                    </wps:bodyPr>
                  </wps:wsp>
                </a:graphicData>
              </a:graphic>
            </wp:anchor>
          </w:drawing>
        </mc:Choice>
        <mc:Fallback>
          <w:pict>
            <v:shape w14:anchorId="533445A1" id="Graphic 11" o:spid="_x0000_s1026" style="position:absolute;margin-left:198.4pt;margin-top:22.65pt;width:94.7pt;height:41.3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0332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" path="m601583,524588l,524588,601583,r601281,l1202864,263,601583,524588xe" fillcolor="#46b3b9" stroked="f">
              <v:path arrowok="t"/>
            </v:shape>
          </w:pict>
        </mc:Fallback>
      </mc:AlternateContent>
    </w:r>
    <w:r w:rsidR="00C157EC">
      <w:rPr>
        <w:noProof/>
      </w:rPr>
      <mc:AlternateContent>
        <mc:Choice Requires="wps">
          <w:drawing>
            <wp:anchor distT="0" distB="0" distL="114300" distR="114300" simplePos="0" relativeHeight="251659264" behindDoc="0" locked="0" layoutInCell="1" allowOverlap="1" wp14:anchorId="19903D99" wp14:editId="4D97E435">
              <wp:simplePos x="0" y="0"/>
              <wp:positionH relativeFrom="column">
                <wp:posOffset>3235569</wp:posOffset>
              </wp:positionH>
              <wp:positionV relativeFrom="paragraph">
                <wp:posOffset>288974</wp:posOffset>
              </wp:positionV>
              <wp:extent cx="3393440" cy="524401"/>
              <wp:effectExtent l="0" t="0" r="0" b="0"/>
              <wp:wrapNone/>
              <wp:docPr id="10" name="Graphic 10"/>
              <wp:cNvGraphicFramePr/>
              <a:graphic xmlns:a="http://schemas.openxmlformats.org/drawingml/2006/main">
                <a:graphicData uri="http://schemas.microsoft.com/office/word/2010/wordprocessingShape">
                  <wps:wsp>
                    <wps:cNvSpPr/>
                    <wps:spPr>
                      <a:xfrm>
                        <a:off x="0" y="0"/>
                        <a:ext cx="3393440" cy="524401"/>
                      </a:xfrm>
                      <a:custGeom>
                        <a:avLst/>
                        <a:gdLst/>
                        <a:ahLst/>
                        <a:cxnLst/>
                        <a:rect l="l" t="t" r="r" b="b"/>
                        <a:pathLst>
                          <a:path w="3394075" h="525145">
                            <a:moveTo>
                              <a:pt x="3393491" y="524588"/>
                            </a:moveTo>
                            <a:lnTo>
                              <a:pt x="0" y="524588"/>
                            </a:lnTo>
                            <a:lnTo>
                              <a:pt x="601583" y="0"/>
                            </a:lnTo>
                            <a:lnTo>
                              <a:pt x="3393491" y="0"/>
                            </a:lnTo>
                            <a:lnTo>
                              <a:pt x="3393491" y="524588"/>
                            </a:lnTo>
                            <a:close/>
                          </a:path>
                        </a:pathLst>
                      </a:custGeom>
                      <a:solidFill>
                        <a:srgbClr val="002E61"/>
                      </a:solidFill>
                    </wps:spPr>
                    <wps:bodyPr wrap="square" lIns="0" tIns="0" rIns="0" bIns="0" rtlCol="0">
                      <a:prstTxWarp prst="textNoShape">
                        <a:avLst/>
                      </a:prstTxWarp>
                      <a:noAutofit/>
                    </wps:bodyPr>
                  </wps:wsp>
                </a:graphicData>
              </a:graphic>
            </wp:anchor>
          </w:drawing>
        </mc:Choice>
        <mc:Fallback>
          <w:pict>
            <v:shape w14:anchorId="03961135" id="Graphic 10" o:spid="_x0000_s1026" style="position:absolute;margin-left:254.75pt;margin-top:22.75pt;width:267.2pt;height:41.3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3394075,525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" path="m3393491,524588l,524588,601583,,3393491,r,524588xe" fillcolor="#002e61" stroked="f">
              <v:path arrowok="t"/>
            </v:shape>
          </w:pict>
        </mc:Fallback>
      </mc:AlternateContent>
    </w:r>
    <w:r w:rsidR="00C157EC">
      <w:rPr>
        <w:noProof/>
        <w:sz w:val="20"/>
      </w:rPr>
      <w:drawing>
        <wp:inline distT="0" distB="0" distL="0" distR="0" wp14:anchorId="571AA5FC" wp14:editId="345EA17E">
          <wp:extent cx="1737505" cy="820864"/>
          <wp:effectExtent l="0" t="0" r="0" b="0"/>
          <wp:docPr id="132461467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1737505" cy="820864"/>
                  </a:xfrm>
                  <a:prstGeom prst="rect">
                    <a:avLst/>
                  </a:prstGeom>
                </pic:spPr>
              </pic:pic>
            </a:graphicData>
          </a:graphic>
        </wp:inline>
      </w:drawing>
    </w:r>
  </w:p>
  <w:p w14:paraId="0C34E77A" w14:textId="77777777" w:rsidR="004D5C77" w:rsidRPr="00C157EC" w:rsidRDefault="004D5C77" w:rsidP="00C157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A5E"/>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1C50E5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C8724A"/>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20A70B9"/>
    <w:multiLevelType w:val="multilevel"/>
    <w:tmpl w:val="5E5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F7A2A"/>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3796D9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05517F"/>
    <w:multiLevelType w:val="hybridMultilevel"/>
    <w:tmpl w:val="81CCF4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3C787E"/>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69777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7B3181D"/>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94A17D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85394B"/>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AAA50AA"/>
    <w:multiLevelType w:val="hybridMultilevel"/>
    <w:tmpl w:val="66100734"/>
    <w:lvl w:ilvl="0" w:tplc="20AA9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D826DA7"/>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DB162B7"/>
    <w:multiLevelType w:val="multilevel"/>
    <w:tmpl w:val="8D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A573B"/>
    <w:multiLevelType w:val="hybridMultilevel"/>
    <w:tmpl w:val="5E429242"/>
    <w:lvl w:ilvl="0" w:tplc="84228BE4">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E922DDF"/>
    <w:multiLevelType w:val="multilevel"/>
    <w:tmpl w:val="22F4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6F4E13"/>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0356476"/>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0471C5E"/>
    <w:multiLevelType w:val="multilevel"/>
    <w:tmpl w:val="10DC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582170"/>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1FC3064"/>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2225E16"/>
    <w:multiLevelType w:val="hybridMultilevel"/>
    <w:tmpl w:val="D05E32F4"/>
    <w:lvl w:ilvl="0" w:tplc="2738F0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29C29A8"/>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314144A"/>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3851B9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3A72F76"/>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143B4CE3"/>
    <w:multiLevelType w:val="hybridMultilevel"/>
    <w:tmpl w:val="5D9243BC"/>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1476152A"/>
    <w:multiLevelType w:val="hybridMultilevel"/>
    <w:tmpl w:val="2E8C1104"/>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29" w15:restartNumberingAfterBreak="0">
    <w:nsid w:val="156A3EBB"/>
    <w:multiLevelType w:val="hybridMultilevel"/>
    <w:tmpl w:val="871E2BFA"/>
    <w:lvl w:ilvl="0" w:tplc="5F42D282">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58000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5F57F19"/>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6C5390B"/>
    <w:multiLevelType w:val="multilevel"/>
    <w:tmpl w:val="42F6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E75022"/>
    <w:multiLevelType w:val="hybridMultilevel"/>
    <w:tmpl w:val="4AB21604"/>
    <w:lvl w:ilvl="0" w:tplc="FB7EAEAC">
      <w:start w:val="1"/>
      <w:numFmt w:val="upp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7CB7231"/>
    <w:multiLevelType w:val="multilevel"/>
    <w:tmpl w:val="230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703344"/>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9812682"/>
    <w:multiLevelType w:val="multilevel"/>
    <w:tmpl w:val="299A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A15772"/>
    <w:multiLevelType w:val="multilevel"/>
    <w:tmpl w:val="CD72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B37E7B"/>
    <w:multiLevelType w:val="multilevel"/>
    <w:tmpl w:val="F6B4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E31FB7"/>
    <w:multiLevelType w:val="hybridMultilevel"/>
    <w:tmpl w:val="3BE63156"/>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1CE06BD5"/>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1E63038A"/>
    <w:multiLevelType w:val="hybridMultilevel"/>
    <w:tmpl w:val="4AB21604"/>
    <w:lvl w:ilvl="0" w:tplc="FFFFFFFF">
      <w:start w:val="1"/>
      <w:numFmt w:val="upp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F343294"/>
    <w:multiLevelType w:val="multilevel"/>
    <w:tmpl w:val="46F8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54227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0C72C32"/>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1957A08"/>
    <w:multiLevelType w:val="multilevel"/>
    <w:tmpl w:val="B49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B4D3A"/>
    <w:multiLevelType w:val="hybridMultilevel"/>
    <w:tmpl w:val="C28649A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2247245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2339041B"/>
    <w:multiLevelType w:val="multilevel"/>
    <w:tmpl w:val="518C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92431C"/>
    <w:multiLevelType w:val="hybridMultilevel"/>
    <w:tmpl w:val="9D401B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240E636F"/>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418577D"/>
    <w:multiLevelType w:val="multilevel"/>
    <w:tmpl w:val="5690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464A44"/>
    <w:multiLevelType w:val="multilevel"/>
    <w:tmpl w:val="B83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2F33E3"/>
    <w:multiLevelType w:val="hybridMultilevel"/>
    <w:tmpl w:val="AA1C6FC8"/>
    <w:lvl w:ilvl="0" w:tplc="028AE50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6512FC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27C03B3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27FB00D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285927E5"/>
    <w:multiLevelType w:val="hybridMultilevel"/>
    <w:tmpl w:val="76701B8A"/>
    <w:lvl w:ilvl="0" w:tplc="FFFFFFFF">
      <w:start w:val="1"/>
      <w:numFmt w:val="bullet"/>
      <w:lvlText w:val=""/>
      <w:lvlJc w:val="left"/>
      <w:pPr>
        <w:ind w:left="1211" w:hanging="360"/>
      </w:pPr>
      <w:rPr>
        <w:rFonts w:ascii="Symbol" w:hAnsi="Symbol" w:hint="default"/>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58" w15:restartNumberingAfterBreak="0">
    <w:nsid w:val="293D353A"/>
    <w:multiLevelType w:val="hybridMultilevel"/>
    <w:tmpl w:val="6C0EAC16"/>
    <w:lvl w:ilvl="0" w:tplc="FFFFFFFF">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2BB876D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C6B4BC7"/>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CA042E1"/>
    <w:multiLevelType w:val="hybridMultilevel"/>
    <w:tmpl w:val="5D9243BC"/>
    <w:lvl w:ilvl="0" w:tplc="CE669A5C">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2CA6117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EA0601F"/>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2EC74FE8"/>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03E7AF4"/>
    <w:multiLevelType w:val="hybridMultilevel"/>
    <w:tmpl w:val="66567690"/>
    <w:lvl w:ilvl="0" w:tplc="08090001">
      <w:start w:val="1"/>
      <w:numFmt w:val="bullet"/>
      <w:lvlText w:val=""/>
      <w:lvlJc w:val="left"/>
      <w:pPr>
        <w:ind w:left="1381" w:hanging="360"/>
      </w:pPr>
      <w:rPr>
        <w:rFonts w:ascii="Symbol" w:hAnsi="Symbol" w:hint="default"/>
      </w:rPr>
    </w:lvl>
    <w:lvl w:ilvl="1" w:tplc="08090003">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66" w15:restartNumberingAfterBreak="0">
    <w:nsid w:val="306D792B"/>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1096EB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18D1F36"/>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324C5293"/>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32AD6120"/>
    <w:multiLevelType w:val="multilevel"/>
    <w:tmpl w:val="A87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6028E8"/>
    <w:multiLevelType w:val="multilevel"/>
    <w:tmpl w:val="0A2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E1076C"/>
    <w:multiLevelType w:val="hybridMultilevel"/>
    <w:tmpl w:val="C5562D58"/>
    <w:lvl w:ilvl="0" w:tplc="DBEA63FE">
      <w:start w:val="1"/>
      <w:numFmt w:val="decimal"/>
      <w:lvlText w:val="(%1)"/>
      <w:lvlJc w:val="left"/>
      <w:pPr>
        <w:ind w:left="720" w:hanging="360"/>
      </w:pPr>
      <w:rPr>
        <w:rFonts w:ascii="Arial" w:hAnsi="Arial" w:cs="Arial" w:hint="default"/>
        <w:i w:val="0"/>
        <w:iCs w:val="0"/>
        <w:color w:val="000000" w:themeColor="text1"/>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350B1A41"/>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35CB699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3606304D"/>
    <w:multiLevelType w:val="hybridMultilevel"/>
    <w:tmpl w:val="0772EE34"/>
    <w:lvl w:ilvl="0" w:tplc="05107C30">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37EB6DBC"/>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38460B33"/>
    <w:multiLevelType w:val="hybridMultilevel"/>
    <w:tmpl w:val="EDB4AFD0"/>
    <w:lvl w:ilvl="0" w:tplc="886E89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38595FC2"/>
    <w:multiLevelType w:val="multilevel"/>
    <w:tmpl w:val="D730E88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9" w15:restartNumberingAfterBreak="0">
    <w:nsid w:val="385C677A"/>
    <w:multiLevelType w:val="multilevel"/>
    <w:tmpl w:val="FF82B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F259D"/>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FD432F"/>
    <w:multiLevelType w:val="multilevel"/>
    <w:tmpl w:val="56D6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C348C3"/>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3CDD1DD1"/>
    <w:multiLevelType w:val="hybridMultilevel"/>
    <w:tmpl w:val="3BA212E8"/>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84" w15:restartNumberingAfterBreak="0">
    <w:nsid w:val="3F724782"/>
    <w:multiLevelType w:val="multilevel"/>
    <w:tmpl w:val="31EC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F822B6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05B2480"/>
    <w:multiLevelType w:val="multilevel"/>
    <w:tmpl w:val="149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18E351E"/>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1A77046"/>
    <w:multiLevelType w:val="multilevel"/>
    <w:tmpl w:val="DCD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0A1157"/>
    <w:multiLevelType w:val="hybridMultilevel"/>
    <w:tmpl w:val="FBC8C656"/>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45E822FE"/>
    <w:multiLevelType w:val="hybridMultilevel"/>
    <w:tmpl w:val="C1CE9F8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76F2AA5"/>
    <w:multiLevelType w:val="multilevel"/>
    <w:tmpl w:val="51CA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9949FB"/>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48F23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491E43A0"/>
    <w:multiLevelType w:val="hybridMultilevel"/>
    <w:tmpl w:val="4B4871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4B0C5EE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4B8148F8"/>
    <w:multiLevelType w:val="hybridMultilevel"/>
    <w:tmpl w:val="14C2B2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4BC80B36"/>
    <w:multiLevelType w:val="multilevel"/>
    <w:tmpl w:val="868E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3F5BB7"/>
    <w:multiLevelType w:val="hybridMultilevel"/>
    <w:tmpl w:val="C82AA04C"/>
    <w:lvl w:ilvl="0" w:tplc="1048D8E6">
      <w:start w:val="1"/>
      <w:numFmt w:val="decimal"/>
      <w:lvlText w:val="(%1)"/>
      <w:lvlJc w:val="left"/>
      <w:pPr>
        <w:ind w:left="360" w:hanging="360"/>
      </w:pPr>
      <w:rPr>
        <w:rFonts w:ascii="Verdana" w:hAnsi="Verdana" w:hint="default"/>
        <w:b w:val="0"/>
        <w:bCs w:val="0"/>
        <w:sz w:val="18"/>
        <w:szCs w:val="18"/>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9" w15:restartNumberingAfterBreak="0">
    <w:nsid w:val="4C615784"/>
    <w:multiLevelType w:val="hybridMultilevel"/>
    <w:tmpl w:val="76A8B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E5A20DA"/>
    <w:multiLevelType w:val="multilevel"/>
    <w:tmpl w:val="F52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DC1F1F"/>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4FCF03E1"/>
    <w:multiLevelType w:val="multilevel"/>
    <w:tmpl w:val="E48C4D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15207E3"/>
    <w:multiLevelType w:val="multilevel"/>
    <w:tmpl w:val="75FA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72459D"/>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5457263"/>
    <w:multiLevelType w:val="multilevel"/>
    <w:tmpl w:val="339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9E04FA"/>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7" w15:restartNumberingAfterBreak="0">
    <w:nsid w:val="58C00688"/>
    <w:multiLevelType w:val="multilevel"/>
    <w:tmpl w:val="82D6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4A45DE"/>
    <w:multiLevelType w:val="multilevel"/>
    <w:tmpl w:val="403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833667"/>
    <w:multiLevelType w:val="hybridMultilevel"/>
    <w:tmpl w:val="99B641D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0" w15:restartNumberingAfterBreak="0">
    <w:nsid w:val="59A83BC9"/>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5AD852F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5AFB17E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5B19290F"/>
    <w:multiLevelType w:val="hybridMultilevel"/>
    <w:tmpl w:val="8C423106"/>
    <w:lvl w:ilvl="0" w:tplc="054EDBB4">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4" w15:restartNumberingAfterBreak="0">
    <w:nsid w:val="5BF0524E"/>
    <w:multiLevelType w:val="multilevel"/>
    <w:tmpl w:val="5CE6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2C55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5CDF1BFE"/>
    <w:multiLevelType w:val="multilevel"/>
    <w:tmpl w:val="3DC6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071E0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8" w15:restartNumberingAfterBreak="0">
    <w:nsid w:val="5D265466"/>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D2D5472"/>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5E2D22AF"/>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E3C7255"/>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5F627C7D"/>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3" w15:restartNumberingAfterBreak="0">
    <w:nsid w:val="5F701D12"/>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05603CB"/>
    <w:multiLevelType w:val="multilevel"/>
    <w:tmpl w:val="6F8A684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5" w15:restartNumberingAfterBreak="0">
    <w:nsid w:val="60E15715"/>
    <w:multiLevelType w:val="hybridMultilevel"/>
    <w:tmpl w:val="EEBE945C"/>
    <w:lvl w:ilvl="0" w:tplc="FAF4291E">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6" w15:restartNumberingAfterBreak="0">
    <w:nsid w:val="6108414C"/>
    <w:multiLevelType w:val="hybridMultilevel"/>
    <w:tmpl w:val="871E2BFA"/>
    <w:lvl w:ilvl="0" w:tplc="FFFFFFFF">
      <w:start w:val="1"/>
      <w:numFmt w:val="lowerRoman"/>
      <w:lvlText w:val="(%1)"/>
      <w:lvlJc w:val="left"/>
      <w:pPr>
        <w:ind w:left="720" w:hanging="72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7" w15:restartNumberingAfterBreak="0">
    <w:nsid w:val="6228577C"/>
    <w:multiLevelType w:val="multilevel"/>
    <w:tmpl w:val="16946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3366B1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9" w15:restartNumberingAfterBreak="0">
    <w:nsid w:val="64500AB0"/>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54A0D9A"/>
    <w:multiLevelType w:val="hybridMultilevel"/>
    <w:tmpl w:val="18AE48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1" w15:restartNumberingAfterBreak="0">
    <w:nsid w:val="657C1C6A"/>
    <w:multiLevelType w:val="hybridMultilevel"/>
    <w:tmpl w:val="71E8586A"/>
    <w:lvl w:ilvl="0" w:tplc="FFFFFFFF">
      <w:start w:val="1"/>
      <w:numFmt w:val="lowerRoman"/>
      <w:lvlText w:val="(%1)"/>
      <w:lvlJc w:val="left"/>
      <w:pPr>
        <w:ind w:left="720" w:hanging="360"/>
      </w:pPr>
      <w:rPr>
        <w:rFonts w:hint="default"/>
        <w:b w:val="0"/>
        <w:bCs w:val="0"/>
        <w:i/>
        <w:i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659F4753"/>
    <w:multiLevelType w:val="hybridMultilevel"/>
    <w:tmpl w:val="FE92CAD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3" w15:restartNumberingAfterBreak="0">
    <w:nsid w:val="65A956B0"/>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81823B3"/>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35" w15:restartNumberingAfterBreak="0">
    <w:nsid w:val="6B91606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6BA57653"/>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BD05B94"/>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6E7F508B"/>
    <w:multiLevelType w:val="hybridMultilevel"/>
    <w:tmpl w:val="6AA22A14"/>
    <w:lvl w:ilvl="0" w:tplc="FFFFFFFF">
      <w:start w:val="1"/>
      <w:numFmt w:val="decimal"/>
      <w:lvlText w:val="%1)"/>
      <w:lvlJc w:val="left"/>
      <w:pPr>
        <w:ind w:left="1381" w:hanging="360"/>
      </w:pPr>
    </w:lvl>
    <w:lvl w:ilvl="1" w:tplc="FFFFFFFF" w:tentative="1">
      <w:start w:val="1"/>
      <w:numFmt w:val="lowerLetter"/>
      <w:lvlText w:val="%2."/>
      <w:lvlJc w:val="left"/>
      <w:pPr>
        <w:ind w:left="2101" w:hanging="360"/>
      </w:pPr>
    </w:lvl>
    <w:lvl w:ilvl="2" w:tplc="FFFFFFFF" w:tentative="1">
      <w:start w:val="1"/>
      <w:numFmt w:val="lowerRoman"/>
      <w:lvlText w:val="%3."/>
      <w:lvlJc w:val="right"/>
      <w:pPr>
        <w:ind w:left="2821" w:hanging="180"/>
      </w:pPr>
    </w:lvl>
    <w:lvl w:ilvl="3" w:tplc="FFFFFFFF" w:tentative="1">
      <w:start w:val="1"/>
      <w:numFmt w:val="decimal"/>
      <w:lvlText w:val="%4."/>
      <w:lvlJc w:val="left"/>
      <w:pPr>
        <w:ind w:left="3541" w:hanging="360"/>
      </w:pPr>
    </w:lvl>
    <w:lvl w:ilvl="4" w:tplc="FFFFFFFF" w:tentative="1">
      <w:start w:val="1"/>
      <w:numFmt w:val="lowerLetter"/>
      <w:lvlText w:val="%5."/>
      <w:lvlJc w:val="left"/>
      <w:pPr>
        <w:ind w:left="4261" w:hanging="360"/>
      </w:pPr>
    </w:lvl>
    <w:lvl w:ilvl="5" w:tplc="FFFFFFFF" w:tentative="1">
      <w:start w:val="1"/>
      <w:numFmt w:val="lowerRoman"/>
      <w:lvlText w:val="%6."/>
      <w:lvlJc w:val="right"/>
      <w:pPr>
        <w:ind w:left="4981" w:hanging="180"/>
      </w:pPr>
    </w:lvl>
    <w:lvl w:ilvl="6" w:tplc="FFFFFFFF" w:tentative="1">
      <w:start w:val="1"/>
      <w:numFmt w:val="decimal"/>
      <w:lvlText w:val="%7."/>
      <w:lvlJc w:val="left"/>
      <w:pPr>
        <w:ind w:left="5701" w:hanging="360"/>
      </w:pPr>
    </w:lvl>
    <w:lvl w:ilvl="7" w:tplc="FFFFFFFF" w:tentative="1">
      <w:start w:val="1"/>
      <w:numFmt w:val="lowerLetter"/>
      <w:lvlText w:val="%8."/>
      <w:lvlJc w:val="left"/>
      <w:pPr>
        <w:ind w:left="6421" w:hanging="360"/>
      </w:pPr>
    </w:lvl>
    <w:lvl w:ilvl="8" w:tplc="FFFFFFFF" w:tentative="1">
      <w:start w:val="1"/>
      <w:numFmt w:val="lowerRoman"/>
      <w:lvlText w:val="%9."/>
      <w:lvlJc w:val="right"/>
      <w:pPr>
        <w:ind w:left="7141" w:hanging="180"/>
      </w:pPr>
    </w:lvl>
  </w:abstractNum>
  <w:abstractNum w:abstractNumId="139" w15:restartNumberingAfterBreak="0">
    <w:nsid w:val="6E841F66"/>
    <w:multiLevelType w:val="hybridMultilevel"/>
    <w:tmpl w:val="6AA22A14"/>
    <w:lvl w:ilvl="0" w:tplc="08090011">
      <w:start w:val="1"/>
      <w:numFmt w:val="decimal"/>
      <w:lvlText w:val="%1)"/>
      <w:lvlJc w:val="left"/>
      <w:pPr>
        <w:ind w:left="1381" w:hanging="360"/>
      </w:pPr>
    </w:lvl>
    <w:lvl w:ilvl="1" w:tplc="08090019" w:tentative="1">
      <w:start w:val="1"/>
      <w:numFmt w:val="lowerLetter"/>
      <w:lvlText w:val="%2."/>
      <w:lvlJc w:val="left"/>
      <w:pPr>
        <w:ind w:left="2101" w:hanging="360"/>
      </w:pPr>
    </w:lvl>
    <w:lvl w:ilvl="2" w:tplc="0809001B" w:tentative="1">
      <w:start w:val="1"/>
      <w:numFmt w:val="lowerRoman"/>
      <w:lvlText w:val="%3."/>
      <w:lvlJc w:val="right"/>
      <w:pPr>
        <w:ind w:left="2821" w:hanging="180"/>
      </w:pPr>
    </w:lvl>
    <w:lvl w:ilvl="3" w:tplc="0809000F" w:tentative="1">
      <w:start w:val="1"/>
      <w:numFmt w:val="decimal"/>
      <w:lvlText w:val="%4."/>
      <w:lvlJc w:val="left"/>
      <w:pPr>
        <w:ind w:left="3541" w:hanging="360"/>
      </w:pPr>
    </w:lvl>
    <w:lvl w:ilvl="4" w:tplc="08090019" w:tentative="1">
      <w:start w:val="1"/>
      <w:numFmt w:val="lowerLetter"/>
      <w:lvlText w:val="%5."/>
      <w:lvlJc w:val="left"/>
      <w:pPr>
        <w:ind w:left="4261" w:hanging="360"/>
      </w:pPr>
    </w:lvl>
    <w:lvl w:ilvl="5" w:tplc="0809001B" w:tentative="1">
      <w:start w:val="1"/>
      <w:numFmt w:val="lowerRoman"/>
      <w:lvlText w:val="%6."/>
      <w:lvlJc w:val="right"/>
      <w:pPr>
        <w:ind w:left="4981" w:hanging="180"/>
      </w:pPr>
    </w:lvl>
    <w:lvl w:ilvl="6" w:tplc="0809000F" w:tentative="1">
      <w:start w:val="1"/>
      <w:numFmt w:val="decimal"/>
      <w:lvlText w:val="%7."/>
      <w:lvlJc w:val="left"/>
      <w:pPr>
        <w:ind w:left="5701" w:hanging="360"/>
      </w:pPr>
    </w:lvl>
    <w:lvl w:ilvl="7" w:tplc="08090019" w:tentative="1">
      <w:start w:val="1"/>
      <w:numFmt w:val="lowerLetter"/>
      <w:lvlText w:val="%8."/>
      <w:lvlJc w:val="left"/>
      <w:pPr>
        <w:ind w:left="6421" w:hanging="360"/>
      </w:pPr>
    </w:lvl>
    <w:lvl w:ilvl="8" w:tplc="0809001B" w:tentative="1">
      <w:start w:val="1"/>
      <w:numFmt w:val="lowerRoman"/>
      <w:lvlText w:val="%9."/>
      <w:lvlJc w:val="right"/>
      <w:pPr>
        <w:ind w:left="7141" w:hanging="180"/>
      </w:pPr>
    </w:lvl>
  </w:abstractNum>
  <w:abstractNum w:abstractNumId="140" w15:restartNumberingAfterBreak="0">
    <w:nsid w:val="6EE8143F"/>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1" w15:restartNumberingAfterBreak="0">
    <w:nsid w:val="6FD33580"/>
    <w:multiLevelType w:val="hybridMultilevel"/>
    <w:tmpl w:val="6AACAFEA"/>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2" w15:restartNumberingAfterBreak="0">
    <w:nsid w:val="7000039D"/>
    <w:multiLevelType w:val="hybridMultilevel"/>
    <w:tmpl w:val="D4EAA29A"/>
    <w:lvl w:ilvl="0" w:tplc="989E93DC">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3" w15:restartNumberingAfterBreak="0">
    <w:nsid w:val="70082C08"/>
    <w:multiLevelType w:val="hybridMultilevel"/>
    <w:tmpl w:val="6C0EAC16"/>
    <w:lvl w:ilvl="0" w:tplc="36F6F7D4">
      <w:start w:val="1"/>
      <w:numFmt w:val="lowerRoman"/>
      <w:lvlText w:val="(%1)"/>
      <w:lvlJc w:val="left"/>
      <w:pPr>
        <w:ind w:left="360" w:hanging="360"/>
      </w:pPr>
      <w:rPr>
        <w:rFonts w:hint="default"/>
        <w:b w:val="0"/>
        <w:bCs w:val="0"/>
        <w:i/>
        <w:i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4" w15:restartNumberingAfterBreak="0">
    <w:nsid w:val="707044B3"/>
    <w:multiLevelType w:val="hybridMultilevel"/>
    <w:tmpl w:val="3BE63156"/>
    <w:lvl w:ilvl="0" w:tplc="2A1AA0FA">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5" w15:restartNumberingAfterBreak="0">
    <w:nsid w:val="741D4748"/>
    <w:multiLevelType w:val="multilevel"/>
    <w:tmpl w:val="9AFC61EA"/>
    <w:name w:val="AOHead1"/>
    <w:lvl w:ilvl="0">
      <w:start w:val="1"/>
      <w:numFmt w:val="decimal"/>
      <w:pStyle w:val="AOHead1"/>
      <w:lvlText w:val="%1."/>
      <w:lvlJc w:val="left"/>
      <w:pPr>
        <w:tabs>
          <w:tab w:val="num" w:pos="720"/>
        </w:tabs>
        <w:ind w:left="720" w:hanging="720"/>
      </w:pPr>
      <w:rPr>
        <w:rFonts w:hint="default"/>
      </w:rPr>
    </w:lvl>
    <w:lvl w:ilvl="1">
      <w:start w:val="1"/>
      <w:numFmt w:val="decimal"/>
      <w:pStyle w:val="AOHead2"/>
      <w:lvlText w:val="%1.%2"/>
      <w:lvlJc w:val="left"/>
      <w:pPr>
        <w:tabs>
          <w:tab w:val="num" w:pos="720"/>
        </w:tabs>
        <w:ind w:left="720" w:hanging="720"/>
      </w:pPr>
      <w:rPr>
        <w:rFonts w:hint="default"/>
        <w:b w:val="0"/>
      </w:rPr>
    </w:lvl>
    <w:lvl w:ilvl="2">
      <w:start w:val="1"/>
      <w:numFmt w:val="lowerLetter"/>
      <w:pStyle w:val="AOHead3"/>
      <w:lvlText w:val="(%3)"/>
      <w:lvlJc w:val="left"/>
      <w:pPr>
        <w:tabs>
          <w:tab w:val="num" w:pos="1440"/>
        </w:tabs>
        <w:ind w:left="1440" w:hanging="720"/>
      </w:pPr>
      <w:rPr>
        <w:rFonts w:hint="default"/>
        <w:b w:val="0"/>
      </w:rPr>
    </w:lvl>
    <w:lvl w:ilvl="3">
      <w:start w:val="1"/>
      <w:numFmt w:val="lowerRoman"/>
      <w:pStyle w:val="AOHead4"/>
      <w:lvlText w:val="(%4)"/>
      <w:lvlJc w:val="left"/>
      <w:pPr>
        <w:tabs>
          <w:tab w:val="num" w:pos="2160"/>
        </w:tabs>
        <w:ind w:left="2160" w:hanging="720"/>
      </w:pPr>
      <w:rPr>
        <w:rFonts w:hint="default"/>
      </w:rPr>
    </w:lvl>
    <w:lvl w:ilvl="4">
      <w:start w:val="1"/>
      <w:numFmt w:val="upperLetter"/>
      <w:pStyle w:val="AOHead5"/>
      <w:lvlText w:val="(%5)"/>
      <w:lvlJc w:val="left"/>
      <w:pPr>
        <w:tabs>
          <w:tab w:val="num" w:pos="2880"/>
        </w:tabs>
        <w:ind w:left="2880" w:hanging="720"/>
      </w:pPr>
      <w:rPr>
        <w:rFonts w:hint="default"/>
      </w:rPr>
    </w:lvl>
    <w:lvl w:ilvl="5">
      <w:start w:val="1"/>
      <w:numFmt w:val="upperRoman"/>
      <w:pStyle w:val="AOHead6"/>
      <w:lvlText w:val="%6."/>
      <w:lvlJc w:val="left"/>
      <w:pPr>
        <w:tabs>
          <w:tab w:val="num" w:pos="3600"/>
        </w:tabs>
        <w:ind w:left="3600" w:hanging="72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6" w15:restartNumberingAfterBreak="0">
    <w:nsid w:val="74357376"/>
    <w:multiLevelType w:val="hybridMultilevel"/>
    <w:tmpl w:val="799A88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74BF1742"/>
    <w:multiLevelType w:val="hybridMultilevel"/>
    <w:tmpl w:val="FD429B6E"/>
    <w:lvl w:ilvl="0" w:tplc="78F4966A">
      <w:start w:val="2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757136CD"/>
    <w:multiLevelType w:val="hybridMultilevel"/>
    <w:tmpl w:val="0772EE34"/>
    <w:lvl w:ilvl="0" w:tplc="FFFFFFFF">
      <w:start w:val="1"/>
      <w:numFmt w:val="lowerRoman"/>
      <w:lvlText w:val="(%1)"/>
      <w:lvlJc w:val="left"/>
      <w:pPr>
        <w:ind w:left="360" w:hanging="360"/>
      </w:pPr>
      <w:rPr>
        <w:rFonts w:hint="default"/>
        <w:b w:val="0"/>
        <w:bCs w:val="0"/>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75AA3ACC"/>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75AB00F7"/>
    <w:multiLevelType w:val="hybridMultilevel"/>
    <w:tmpl w:val="71E8586A"/>
    <w:lvl w:ilvl="0" w:tplc="FFFFFFFF">
      <w:start w:val="1"/>
      <w:numFmt w:val="lowerRoman"/>
      <w:lvlText w:val="(%1)"/>
      <w:lvlJc w:val="left"/>
      <w:pPr>
        <w:ind w:left="720" w:hanging="360"/>
      </w:pPr>
      <w:rPr>
        <w:rFonts w:hint="default"/>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75B1684B"/>
    <w:multiLevelType w:val="multilevel"/>
    <w:tmpl w:val="B5AAC0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2" w15:restartNumberingAfterBreak="0">
    <w:nsid w:val="76AD220B"/>
    <w:multiLevelType w:val="multilevel"/>
    <w:tmpl w:val="6950A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A96A9F"/>
    <w:multiLevelType w:val="multilevel"/>
    <w:tmpl w:val="46E0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A44EEA"/>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5" w15:restartNumberingAfterBreak="0">
    <w:nsid w:val="79F16F0A"/>
    <w:multiLevelType w:val="hybridMultilevel"/>
    <w:tmpl w:val="8BA6DB7C"/>
    <w:lvl w:ilvl="0" w:tplc="D77C3BB6">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7A2B2174"/>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BAA0B5B"/>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8" w15:restartNumberingAfterBreak="0">
    <w:nsid w:val="7C406FDF"/>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7C854EB5"/>
    <w:multiLevelType w:val="hybridMultilevel"/>
    <w:tmpl w:val="4B4871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7CAC17E9"/>
    <w:multiLevelType w:val="hybridMultilevel"/>
    <w:tmpl w:val="8BA6DB7C"/>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1" w15:restartNumberingAfterBreak="0">
    <w:nsid w:val="7D851E9C"/>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7E583DF9"/>
    <w:multiLevelType w:val="hybridMultilevel"/>
    <w:tmpl w:val="D4EAA29A"/>
    <w:lvl w:ilvl="0" w:tplc="FFFFFFFF">
      <w:start w:val="1"/>
      <w:numFmt w:val="lowerRoman"/>
      <w:lvlText w:val="(%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3" w15:restartNumberingAfterBreak="0">
    <w:nsid w:val="7ECF0C8B"/>
    <w:multiLevelType w:val="hybridMultilevel"/>
    <w:tmpl w:val="18AE48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7F77403C"/>
    <w:multiLevelType w:val="hybridMultilevel"/>
    <w:tmpl w:val="71E8586A"/>
    <w:lvl w:ilvl="0" w:tplc="FFFFFFFF">
      <w:start w:val="1"/>
      <w:numFmt w:val="lowerRoman"/>
      <w:lvlText w:val="(%1)"/>
      <w:lvlJc w:val="left"/>
      <w:pPr>
        <w:ind w:left="720" w:hanging="360"/>
      </w:pPr>
      <w:rPr>
        <w:rFonts w:hint="default"/>
        <w:b w:val="0"/>
        <w:bCs w:val="0"/>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13200068">
    <w:abstractNumId w:val="124"/>
  </w:num>
  <w:num w:numId="2" w16cid:durableId="126358207">
    <w:abstractNumId w:val="151"/>
  </w:num>
  <w:num w:numId="3" w16cid:durableId="1188056994">
    <w:abstractNumId w:val="78"/>
  </w:num>
  <w:num w:numId="4" w16cid:durableId="1096950115">
    <w:abstractNumId w:val="12"/>
  </w:num>
  <w:num w:numId="5" w16cid:durableId="600723521">
    <w:abstractNumId w:val="22"/>
  </w:num>
  <w:num w:numId="6" w16cid:durableId="101655862">
    <w:abstractNumId w:val="77"/>
  </w:num>
  <w:num w:numId="7" w16cid:durableId="357781073">
    <w:abstractNumId w:val="99"/>
  </w:num>
  <w:num w:numId="8" w16cid:durableId="618225623">
    <w:abstractNumId w:val="53"/>
  </w:num>
  <w:num w:numId="9" w16cid:durableId="1867130561">
    <w:abstractNumId w:val="125"/>
  </w:num>
  <w:num w:numId="10" w16cid:durableId="1022130108">
    <w:abstractNumId w:val="29"/>
  </w:num>
  <w:num w:numId="11" w16cid:durableId="945041570">
    <w:abstractNumId w:val="0"/>
  </w:num>
  <w:num w:numId="12" w16cid:durableId="1173642269">
    <w:abstractNumId w:val="2"/>
  </w:num>
  <w:num w:numId="13" w16cid:durableId="1602881333">
    <w:abstractNumId w:val="48"/>
  </w:num>
  <w:num w:numId="14" w16cid:durableId="1107967440">
    <w:abstractNumId w:val="45"/>
  </w:num>
  <w:num w:numId="15" w16cid:durableId="461389175">
    <w:abstractNumId w:val="93"/>
  </w:num>
  <w:num w:numId="16" w16cid:durableId="1142775819">
    <w:abstractNumId w:val="126"/>
  </w:num>
  <w:num w:numId="17" w16cid:durableId="1583753248">
    <w:abstractNumId w:val="63"/>
  </w:num>
  <w:num w:numId="18" w16cid:durableId="1283148298">
    <w:abstractNumId w:val="110"/>
  </w:num>
  <w:num w:numId="19" w16cid:durableId="305016590">
    <w:abstractNumId w:val="155"/>
  </w:num>
  <w:num w:numId="20" w16cid:durableId="1336034964">
    <w:abstractNumId w:val="128"/>
  </w:num>
  <w:num w:numId="21" w16cid:durableId="1317489967">
    <w:abstractNumId w:val="144"/>
  </w:num>
  <w:num w:numId="22" w16cid:durableId="545021596">
    <w:abstractNumId w:val="21"/>
  </w:num>
  <w:num w:numId="23" w16cid:durableId="3097675">
    <w:abstractNumId w:val="160"/>
  </w:num>
  <w:num w:numId="24" w16cid:durableId="390233899">
    <w:abstractNumId w:val="101"/>
  </w:num>
  <w:num w:numId="25" w16cid:durableId="762411815">
    <w:abstractNumId w:val="84"/>
  </w:num>
  <w:num w:numId="26" w16cid:durableId="1678389502">
    <w:abstractNumId w:val="147"/>
  </w:num>
  <w:num w:numId="27" w16cid:durableId="1734238496">
    <w:abstractNumId w:val="17"/>
  </w:num>
  <w:num w:numId="28" w16cid:durableId="658776878">
    <w:abstractNumId w:val="54"/>
  </w:num>
  <w:num w:numId="29" w16cid:durableId="1902011389">
    <w:abstractNumId w:val="121"/>
  </w:num>
  <w:num w:numId="30" w16cid:durableId="393160380">
    <w:abstractNumId w:val="69"/>
  </w:num>
  <w:num w:numId="31" w16cid:durableId="1127579490">
    <w:abstractNumId w:val="9"/>
  </w:num>
  <w:num w:numId="32" w16cid:durableId="1074014665">
    <w:abstractNumId w:val="142"/>
  </w:num>
  <w:num w:numId="33" w16cid:durableId="1195118378">
    <w:abstractNumId w:val="75"/>
  </w:num>
  <w:num w:numId="34" w16cid:durableId="424155220">
    <w:abstractNumId w:val="40"/>
  </w:num>
  <w:num w:numId="35" w16cid:durableId="2100907592">
    <w:abstractNumId w:val="13"/>
  </w:num>
  <w:num w:numId="36" w16cid:durableId="1531987168">
    <w:abstractNumId w:val="92"/>
  </w:num>
  <w:num w:numId="37" w16cid:durableId="1584030680">
    <w:abstractNumId w:val="47"/>
  </w:num>
  <w:num w:numId="38" w16cid:durableId="1977838001">
    <w:abstractNumId w:val="5"/>
  </w:num>
  <w:num w:numId="39" w16cid:durableId="1025211022">
    <w:abstractNumId w:val="132"/>
  </w:num>
  <w:num w:numId="40" w16cid:durableId="1323237944">
    <w:abstractNumId w:val="7"/>
  </w:num>
  <w:num w:numId="41" w16cid:durableId="1347174059">
    <w:abstractNumId w:val="115"/>
  </w:num>
  <w:num w:numId="42" w16cid:durableId="2098166550">
    <w:abstractNumId w:val="143"/>
  </w:num>
  <w:num w:numId="43" w16cid:durableId="1933203685">
    <w:abstractNumId w:val="61"/>
  </w:num>
  <w:num w:numId="44" w16cid:durableId="737478984">
    <w:abstractNumId w:val="102"/>
  </w:num>
  <w:num w:numId="45" w16cid:durableId="1562787032">
    <w:abstractNumId w:val="27"/>
  </w:num>
  <w:num w:numId="46" w16cid:durableId="879166205">
    <w:abstractNumId w:val="58"/>
  </w:num>
  <w:num w:numId="47" w16cid:durableId="668021190">
    <w:abstractNumId w:val="82"/>
  </w:num>
  <w:num w:numId="48" w16cid:durableId="160701149">
    <w:abstractNumId w:val="20"/>
  </w:num>
  <w:num w:numId="49" w16cid:durableId="247883657">
    <w:abstractNumId w:val="122"/>
  </w:num>
  <w:num w:numId="50" w16cid:durableId="89472008">
    <w:abstractNumId w:val="26"/>
  </w:num>
  <w:num w:numId="51" w16cid:durableId="1413117383">
    <w:abstractNumId w:val="119"/>
  </w:num>
  <w:num w:numId="52" w16cid:durableId="732391010">
    <w:abstractNumId w:val="55"/>
  </w:num>
  <w:num w:numId="53" w16cid:durableId="387388257">
    <w:abstractNumId w:val="106"/>
  </w:num>
  <w:num w:numId="54" w16cid:durableId="1705203768">
    <w:abstractNumId w:val="149"/>
  </w:num>
  <w:num w:numId="55" w16cid:durableId="625166222">
    <w:abstractNumId w:val="68"/>
  </w:num>
  <w:num w:numId="56" w16cid:durableId="648096178">
    <w:abstractNumId w:val="154"/>
  </w:num>
  <w:num w:numId="57" w16cid:durableId="1991205356">
    <w:abstractNumId w:val="25"/>
  </w:num>
  <w:num w:numId="58" w16cid:durableId="1503624604">
    <w:abstractNumId w:val="117"/>
  </w:num>
  <w:num w:numId="59" w16cid:durableId="387919112">
    <w:abstractNumId w:val="148"/>
  </w:num>
  <w:num w:numId="60" w16cid:durableId="1565986848">
    <w:abstractNumId w:val="39"/>
  </w:num>
  <w:num w:numId="61" w16cid:durableId="709040313">
    <w:abstractNumId w:val="15"/>
  </w:num>
  <w:num w:numId="62" w16cid:durableId="705451405">
    <w:abstractNumId w:val="33"/>
  </w:num>
  <w:num w:numId="63" w16cid:durableId="1300382177">
    <w:abstractNumId w:val="113"/>
  </w:num>
  <w:num w:numId="64" w16cid:durableId="2068530578">
    <w:abstractNumId w:val="41"/>
  </w:num>
  <w:num w:numId="65" w16cid:durableId="734160015">
    <w:abstractNumId w:val="72"/>
  </w:num>
  <w:num w:numId="66" w16cid:durableId="507256458">
    <w:abstractNumId w:val="109"/>
  </w:num>
  <w:num w:numId="67" w16cid:durableId="1182356062">
    <w:abstractNumId w:val="49"/>
  </w:num>
  <w:num w:numId="68" w16cid:durableId="746729826">
    <w:abstractNumId w:val="96"/>
  </w:num>
  <w:num w:numId="69" w16cid:durableId="1042166433">
    <w:abstractNumId w:val="162"/>
  </w:num>
  <w:num w:numId="70" w16cid:durableId="849565096">
    <w:abstractNumId w:val="8"/>
  </w:num>
  <w:num w:numId="71" w16cid:durableId="1971473824">
    <w:abstractNumId w:val="140"/>
  </w:num>
  <w:num w:numId="72" w16cid:durableId="1870145415">
    <w:abstractNumId w:val="74"/>
  </w:num>
  <w:num w:numId="73" w16cid:durableId="1986737705">
    <w:abstractNumId w:val="146"/>
  </w:num>
  <w:num w:numId="74" w16cid:durableId="652873007">
    <w:abstractNumId w:val="130"/>
  </w:num>
  <w:num w:numId="75" w16cid:durableId="2035613890">
    <w:abstractNumId w:val="98"/>
  </w:num>
  <w:num w:numId="76" w16cid:durableId="864826348">
    <w:abstractNumId w:val="90"/>
  </w:num>
  <w:num w:numId="77" w16cid:durableId="1698966471">
    <w:abstractNumId w:val="135"/>
  </w:num>
  <w:num w:numId="78" w16cid:durableId="624241583">
    <w:abstractNumId w:val="46"/>
  </w:num>
  <w:num w:numId="79" w16cid:durableId="779451882">
    <w:abstractNumId w:val="94"/>
  </w:num>
  <w:num w:numId="80" w16cid:durableId="1047486194">
    <w:abstractNumId w:val="14"/>
  </w:num>
  <w:num w:numId="81" w16cid:durableId="739064410">
    <w:abstractNumId w:val="70"/>
  </w:num>
  <w:num w:numId="82" w16cid:durableId="1357924488">
    <w:abstractNumId w:val="95"/>
  </w:num>
  <w:num w:numId="83" w16cid:durableId="1889953200">
    <w:abstractNumId w:val="50"/>
  </w:num>
  <w:num w:numId="84" w16cid:durableId="807239286">
    <w:abstractNumId w:val="66"/>
  </w:num>
  <w:num w:numId="85" w16cid:durableId="1574043651">
    <w:abstractNumId w:val="133"/>
  </w:num>
  <w:num w:numId="86" w16cid:durableId="26103945">
    <w:abstractNumId w:val="19"/>
  </w:num>
  <w:num w:numId="87" w16cid:durableId="2129549243">
    <w:abstractNumId w:val="34"/>
  </w:num>
  <w:num w:numId="88" w16cid:durableId="844169416">
    <w:abstractNumId w:val="52"/>
  </w:num>
  <w:num w:numId="89" w16cid:durableId="903754123">
    <w:abstractNumId w:val="114"/>
  </w:num>
  <w:num w:numId="90" w16cid:durableId="1300918852">
    <w:abstractNumId w:val="88"/>
  </w:num>
  <w:num w:numId="91" w16cid:durableId="340281319">
    <w:abstractNumId w:val="79"/>
  </w:num>
  <w:num w:numId="92" w16cid:durableId="768500260">
    <w:abstractNumId w:val="81"/>
  </w:num>
  <w:num w:numId="93" w16cid:durableId="66808839">
    <w:abstractNumId w:val="105"/>
  </w:num>
  <w:num w:numId="94" w16cid:durableId="1972245014">
    <w:abstractNumId w:val="36"/>
  </w:num>
  <w:num w:numId="95" w16cid:durableId="566114606">
    <w:abstractNumId w:val="16"/>
  </w:num>
  <w:num w:numId="96" w16cid:durableId="2128772339">
    <w:abstractNumId w:val="103"/>
  </w:num>
  <w:num w:numId="97" w16cid:durableId="1201356259">
    <w:abstractNumId w:val="116"/>
  </w:num>
  <w:num w:numId="98" w16cid:durableId="659309121">
    <w:abstractNumId w:val="152"/>
  </w:num>
  <w:num w:numId="99" w16cid:durableId="1826310780">
    <w:abstractNumId w:val="51"/>
  </w:num>
  <w:num w:numId="100" w16cid:durableId="2065836646">
    <w:abstractNumId w:val="37"/>
  </w:num>
  <w:num w:numId="101" w16cid:durableId="963930404">
    <w:abstractNumId w:val="80"/>
  </w:num>
  <w:num w:numId="102" w16cid:durableId="390734447">
    <w:abstractNumId w:val="43"/>
  </w:num>
  <w:num w:numId="103" w16cid:durableId="2126774484">
    <w:abstractNumId w:val="161"/>
  </w:num>
  <w:num w:numId="104" w16cid:durableId="1387073450">
    <w:abstractNumId w:val="163"/>
  </w:num>
  <w:num w:numId="105" w16cid:durableId="1606302130">
    <w:abstractNumId w:val="23"/>
  </w:num>
  <w:num w:numId="106" w16cid:durableId="962075938">
    <w:abstractNumId w:val="131"/>
  </w:num>
  <w:num w:numId="107" w16cid:durableId="1163814333">
    <w:abstractNumId w:val="10"/>
  </w:num>
  <w:num w:numId="108" w16cid:durableId="1526402755">
    <w:abstractNumId w:val="141"/>
  </w:num>
  <w:num w:numId="109" w16cid:durableId="257712083">
    <w:abstractNumId w:val="112"/>
  </w:num>
  <w:num w:numId="110" w16cid:durableId="1197233104">
    <w:abstractNumId w:val="64"/>
  </w:num>
  <w:num w:numId="111" w16cid:durableId="815024863">
    <w:abstractNumId w:val="44"/>
  </w:num>
  <w:num w:numId="112" w16cid:durableId="69616262">
    <w:abstractNumId w:val="85"/>
  </w:num>
  <w:num w:numId="113" w16cid:durableId="1684044384">
    <w:abstractNumId w:val="89"/>
  </w:num>
  <w:num w:numId="114" w16cid:durableId="434793119">
    <w:abstractNumId w:val="86"/>
  </w:num>
  <w:num w:numId="115" w16cid:durableId="2090805050">
    <w:abstractNumId w:val="123"/>
  </w:num>
  <w:num w:numId="116" w16cid:durableId="422922175">
    <w:abstractNumId w:val="62"/>
  </w:num>
  <w:num w:numId="117" w16cid:durableId="316421483">
    <w:abstractNumId w:val="156"/>
  </w:num>
  <w:num w:numId="118" w16cid:durableId="900486506">
    <w:abstractNumId w:val="6"/>
  </w:num>
  <w:num w:numId="119" w16cid:durableId="438984987">
    <w:abstractNumId w:val="67"/>
  </w:num>
  <w:num w:numId="120" w16cid:durableId="1254244313">
    <w:abstractNumId w:val="1"/>
  </w:num>
  <w:num w:numId="121" w16cid:durableId="561798155">
    <w:abstractNumId w:val="100"/>
  </w:num>
  <w:num w:numId="122" w16cid:durableId="560286254">
    <w:abstractNumId w:val="42"/>
  </w:num>
  <w:num w:numId="123" w16cid:durableId="1081559214">
    <w:abstractNumId w:val="38"/>
  </w:num>
  <w:num w:numId="124" w16cid:durableId="1835336568">
    <w:abstractNumId w:val="65"/>
  </w:num>
  <w:num w:numId="125" w16cid:durableId="666712973">
    <w:abstractNumId w:val="145"/>
  </w:num>
  <w:num w:numId="126" w16cid:durableId="1059397724">
    <w:abstractNumId w:val="57"/>
  </w:num>
  <w:num w:numId="127" w16cid:durableId="1545093720">
    <w:abstractNumId w:val="120"/>
  </w:num>
  <w:num w:numId="128" w16cid:durableId="640579277">
    <w:abstractNumId w:val="11"/>
  </w:num>
  <w:num w:numId="129" w16cid:durableId="1060441087">
    <w:abstractNumId w:val="139"/>
  </w:num>
  <w:num w:numId="130" w16cid:durableId="1117991810">
    <w:abstractNumId w:val="134"/>
  </w:num>
  <w:num w:numId="131" w16cid:durableId="810681190">
    <w:abstractNumId w:val="138"/>
  </w:num>
  <w:num w:numId="132" w16cid:durableId="2060199554">
    <w:abstractNumId w:val="91"/>
  </w:num>
  <w:num w:numId="133" w16cid:durableId="802044200">
    <w:abstractNumId w:val="3"/>
  </w:num>
  <w:num w:numId="134" w16cid:durableId="2062752005">
    <w:abstractNumId w:val="71"/>
  </w:num>
  <w:num w:numId="135" w16cid:durableId="768745139">
    <w:abstractNumId w:val="153"/>
  </w:num>
  <w:num w:numId="136" w16cid:durableId="1227494204">
    <w:abstractNumId w:val="97"/>
  </w:num>
  <w:num w:numId="137" w16cid:durableId="386421240">
    <w:abstractNumId w:val="158"/>
  </w:num>
  <w:num w:numId="138" w16cid:durableId="720402923">
    <w:abstractNumId w:val="150"/>
  </w:num>
  <w:num w:numId="139" w16cid:durableId="640574444">
    <w:abstractNumId w:val="32"/>
  </w:num>
  <w:num w:numId="140" w16cid:durableId="1075127898">
    <w:abstractNumId w:val="31"/>
  </w:num>
  <w:num w:numId="141" w16cid:durableId="547492621">
    <w:abstractNumId w:val="107"/>
  </w:num>
  <w:num w:numId="142" w16cid:durableId="41684934">
    <w:abstractNumId w:val="87"/>
  </w:num>
  <w:num w:numId="143" w16cid:durableId="1460611029">
    <w:abstractNumId w:val="73"/>
  </w:num>
  <w:num w:numId="144" w16cid:durableId="1612468035">
    <w:abstractNumId w:val="108"/>
  </w:num>
  <w:num w:numId="145" w16cid:durableId="139006600">
    <w:abstractNumId w:val="137"/>
  </w:num>
  <w:num w:numId="146" w16cid:durableId="1704788477">
    <w:abstractNumId w:val="56"/>
  </w:num>
  <w:num w:numId="147" w16cid:durableId="518082621">
    <w:abstractNumId w:val="24"/>
  </w:num>
  <w:num w:numId="148" w16cid:durableId="927301118">
    <w:abstractNumId w:val="129"/>
  </w:num>
  <w:num w:numId="149" w16cid:durableId="160462655">
    <w:abstractNumId w:val="76"/>
  </w:num>
  <w:num w:numId="150" w16cid:durableId="1652560616">
    <w:abstractNumId w:val="35"/>
  </w:num>
  <w:num w:numId="151" w16cid:durableId="107045264">
    <w:abstractNumId w:val="59"/>
  </w:num>
  <w:num w:numId="152" w16cid:durableId="1074402139">
    <w:abstractNumId w:val="159"/>
  </w:num>
  <w:num w:numId="153" w16cid:durableId="1560627742">
    <w:abstractNumId w:val="28"/>
  </w:num>
  <w:num w:numId="154" w16cid:durableId="211772514">
    <w:abstractNumId w:val="83"/>
  </w:num>
  <w:num w:numId="155" w16cid:durableId="2004581579">
    <w:abstractNumId w:val="4"/>
  </w:num>
  <w:num w:numId="156" w16cid:durableId="1427995570">
    <w:abstractNumId w:val="127"/>
  </w:num>
  <w:num w:numId="157" w16cid:durableId="1406299917">
    <w:abstractNumId w:val="30"/>
  </w:num>
  <w:num w:numId="158" w16cid:durableId="1401825573">
    <w:abstractNumId w:val="18"/>
  </w:num>
  <w:num w:numId="159" w16cid:durableId="1240602112">
    <w:abstractNumId w:val="104"/>
  </w:num>
  <w:num w:numId="160" w16cid:durableId="1923443957">
    <w:abstractNumId w:val="164"/>
  </w:num>
  <w:num w:numId="161" w16cid:durableId="1188249979">
    <w:abstractNumId w:val="60"/>
  </w:num>
  <w:num w:numId="162" w16cid:durableId="500856146">
    <w:abstractNumId w:val="136"/>
  </w:num>
  <w:num w:numId="163" w16cid:durableId="1441224474">
    <w:abstractNumId w:val="111"/>
  </w:num>
  <w:num w:numId="164" w16cid:durableId="1402480347">
    <w:abstractNumId w:val="157"/>
  </w:num>
  <w:num w:numId="165" w16cid:durableId="501547021">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5FC"/>
    <w:rsid w:val="00001B50"/>
    <w:rsid w:val="00012747"/>
    <w:rsid w:val="00021BA6"/>
    <w:rsid w:val="00022163"/>
    <w:rsid w:val="00032214"/>
    <w:rsid w:val="00035CA1"/>
    <w:rsid w:val="00035CB3"/>
    <w:rsid w:val="00041676"/>
    <w:rsid w:val="00042BC0"/>
    <w:rsid w:val="00042EED"/>
    <w:rsid w:val="00051677"/>
    <w:rsid w:val="00053E24"/>
    <w:rsid w:val="00067A70"/>
    <w:rsid w:val="00071117"/>
    <w:rsid w:val="00071668"/>
    <w:rsid w:val="00071EC2"/>
    <w:rsid w:val="0007216F"/>
    <w:rsid w:val="00092DE9"/>
    <w:rsid w:val="000A083E"/>
    <w:rsid w:val="000A0F8A"/>
    <w:rsid w:val="000B0081"/>
    <w:rsid w:val="000B4137"/>
    <w:rsid w:val="000B55EE"/>
    <w:rsid w:val="000C524C"/>
    <w:rsid w:val="000E4C2A"/>
    <w:rsid w:val="000E5396"/>
    <w:rsid w:val="000E7F1C"/>
    <w:rsid w:val="000F0ED6"/>
    <w:rsid w:val="000F3F24"/>
    <w:rsid w:val="000F72A8"/>
    <w:rsid w:val="001021C8"/>
    <w:rsid w:val="00112CD3"/>
    <w:rsid w:val="00114D4D"/>
    <w:rsid w:val="00121D39"/>
    <w:rsid w:val="001314D7"/>
    <w:rsid w:val="0013161F"/>
    <w:rsid w:val="001448F5"/>
    <w:rsid w:val="00147EF6"/>
    <w:rsid w:val="00150516"/>
    <w:rsid w:val="001508FE"/>
    <w:rsid w:val="00151175"/>
    <w:rsid w:val="00151203"/>
    <w:rsid w:val="001617F7"/>
    <w:rsid w:val="001668EB"/>
    <w:rsid w:val="00167503"/>
    <w:rsid w:val="00170D25"/>
    <w:rsid w:val="00173EDF"/>
    <w:rsid w:val="001831CB"/>
    <w:rsid w:val="0019432C"/>
    <w:rsid w:val="001A0B62"/>
    <w:rsid w:val="001B426E"/>
    <w:rsid w:val="001B6A77"/>
    <w:rsid w:val="001B6FDA"/>
    <w:rsid w:val="001C06E6"/>
    <w:rsid w:val="001C537D"/>
    <w:rsid w:val="001D48BA"/>
    <w:rsid w:val="001E0B9E"/>
    <w:rsid w:val="001E548D"/>
    <w:rsid w:val="001E6F4C"/>
    <w:rsid w:val="001F2C85"/>
    <w:rsid w:val="001F345D"/>
    <w:rsid w:val="001F7250"/>
    <w:rsid w:val="002030E1"/>
    <w:rsid w:val="002049A4"/>
    <w:rsid w:val="00207FCA"/>
    <w:rsid w:val="00213AFE"/>
    <w:rsid w:val="00220626"/>
    <w:rsid w:val="00242344"/>
    <w:rsid w:val="00245070"/>
    <w:rsid w:val="00245535"/>
    <w:rsid w:val="00246B82"/>
    <w:rsid w:val="00247CAF"/>
    <w:rsid w:val="00251DC3"/>
    <w:rsid w:val="002531C8"/>
    <w:rsid w:val="002536BE"/>
    <w:rsid w:val="00261893"/>
    <w:rsid w:val="00263B59"/>
    <w:rsid w:val="00264399"/>
    <w:rsid w:val="002644BB"/>
    <w:rsid w:val="002655E7"/>
    <w:rsid w:val="002947EB"/>
    <w:rsid w:val="002C4EFA"/>
    <w:rsid w:val="002F1CF6"/>
    <w:rsid w:val="002F33AC"/>
    <w:rsid w:val="00307D85"/>
    <w:rsid w:val="00315B32"/>
    <w:rsid w:val="003172BB"/>
    <w:rsid w:val="00322738"/>
    <w:rsid w:val="0033143F"/>
    <w:rsid w:val="003407A5"/>
    <w:rsid w:val="00350A7B"/>
    <w:rsid w:val="00352BAA"/>
    <w:rsid w:val="0035562B"/>
    <w:rsid w:val="00356098"/>
    <w:rsid w:val="003646CA"/>
    <w:rsid w:val="003654EC"/>
    <w:rsid w:val="0036721F"/>
    <w:rsid w:val="003677BA"/>
    <w:rsid w:val="00371B4E"/>
    <w:rsid w:val="00373604"/>
    <w:rsid w:val="00397369"/>
    <w:rsid w:val="003A05E7"/>
    <w:rsid w:val="003A27F9"/>
    <w:rsid w:val="003B06C5"/>
    <w:rsid w:val="003B2A23"/>
    <w:rsid w:val="003B7645"/>
    <w:rsid w:val="003C085E"/>
    <w:rsid w:val="003C14B4"/>
    <w:rsid w:val="003C26C7"/>
    <w:rsid w:val="003D5CD4"/>
    <w:rsid w:val="003E2732"/>
    <w:rsid w:val="003E3E2F"/>
    <w:rsid w:val="003F1100"/>
    <w:rsid w:val="003F1E2B"/>
    <w:rsid w:val="003F441B"/>
    <w:rsid w:val="0040368B"/>
    <w:rsid w:val="0043499E"/>
    <w:rsid w:val="00437C4F"/>
    <w:rsid w:val="00437F0B"/>
    <w:rsid w:val="004436AD"/>
    <w:rsid w:val="00461881"/>
    <w:rsid w:val="0048071E"/>
    <w:rsid w:val="00482744"/>
    <w:rsid w:val="00482FF1"/>
    <w:rsid w:val="00483590"/>
    <w:rsid w:val="00487C12"/>
    <w:rsid w:val="0049290F"/>
    <w:rsid w:val="004A076F"/>
    <w:rsid w:val="004A5515"/>
    <w:rsid w:val="004A6DE8"/>
    <w:rsid w:val="004B2014"/>
    <w:rsid w:val="004B22CF"/>
    <w:rsid w:val="004B2B12"/>
    <w:rsid w:val="004D1216"/>
    <w:rsid w:val="004D2C87"/>
    <w:rsid w:val="004D5C77"/>
    <w:rsid w:val="004D6C19"/>
    <w:rsid w:val="004E269A"/>
    <w:rsid w:val="004E2C67"/>
    <w:rsid w:val="004E7815"/>
    <w:rsid w:val="004E7FC3"/>
    <w:rsid w:val="004F0290"/>
    <w:rsid w:val="004F25FC"/>
    <w:rsid w:val="005026BF"/>
    <w:rsid w:val="005052E1"/>
    <w:rsid w:val="00511911"/>
    <w:rsid w:val="00516954"/>
    <w:rsid w:val="00520C21"/>
    <w:rsid w:val="00523430"/>
    <w:rsid w:val="00533D76"/>
    <w:rsid w:val="00552064"/>
    <w:rsid w:val="005521FF"/>
    <w:rsid w:val="00552A05"/>
    <w:rsid w:val="00557162"/>
    <w:rsid w:val="00564044"/>
    <w:rsid w:val="00567050"/>
    <w:rsid w:val="00570787"/>
    <w:rsid w:val="00572769"/>
    <w:rsid w:val="00573859"/>
    <w:rsid w:val="00573F32"/>
    <w:rsid w:val="0058201D"/>
    <w:rsid w:val="0059701A"/>
    <w:rsid w:val="005B1350"/>
    <w:rsid w:val="005B651E"/>
    <w:rsid w:val="005B73D1"/>
    <w:rsid w:val="005B74BD"/>
    <w:rsid w:val="005C3454"/>
    <w:rsid w:val="005D27AB"/>
    <w:rsid w:val="005D318B"/>
    <w:rsid w:val="005D6C5A"/>
    <w:rsid w:val="005E1292"/>
    <w:rsid w:val="005F1458"/>
    <w:rsid w:val="005F71D1"/>
    <w:rsid w:val="00600B55"/>
    <w:rsid w:val="00610543"/>
    <w:rsid w:val="006130BC"/>
    <w:rsid w:val="0061319F"/>
    <w:rsid w:val="00621570"/>
    <w:rsid w:val="006229A6"/>
    <w:rsid w:val="00626CBA"/>
    <w:rsid w:val="0062751E"/>
    <w:rsid w:val="00631D7B"/>
    <w:rsid w:val="00632B96"/>
    <w:rsid w:val="00643258"/>
    <w:rsid w:val="0064505B"/>
    <w:rsid w:val="0064696E"/>
    <w:rsid w:val="0066320A"/>
    <w:rsid w:val="00672A27"/>
    <w:rsid w:val="00675F9D"/>
    <w:rsid w:val="00685FEB"/>
    <w:rsid w:val="00692EE4"/>
    <w:rsid w:val="0069542F"/>
    <w:rsid w:val="00696A8C"/>
    <w:rsid w:val="006A2B10"/>
    <w:rsid w:val="006A5907"/>
    <w:rsid w:val="006B0AAE"/>
    <w:rsid w:val="006B2F2B"/>
    <w:rsid w:val="006B7804"/>
    <w:rsid w:val="006D4D28"/>
    <w:rsid w:val="006E0E5A"/>
    <w:rsid w:val="007126C4"/>
    <w:rsid w:val="00714DB3"/>
    <w:rsid w:val="007154E3"/>
    <w:rsid w:val="00717CF7"/>
    <w:rsid w:val="00722899"/>
    <w:rsid w:val="007316AD"/>
    <w:rsid w:val="0073331B"/>
    <w:rsid w:val="007378D6"/>
    <w:rsid w:val="00737AFB"/>
    <w:rsid w:val="0074057D"/>
    <w:rsid w:val="007439D2"/>
    <w:rsid w:val="0074471F"/>
    <w:rsid w:val="007507B1"/>
    <w:rsid w:val="0075202A"/>
    <w:rsid w:val="00754B50"/>
    <w:rsid w:val="0076324F"/>
    <w:rsid w:val="00764372"/>
    <w:rsid w:val="007664DE"/>
    <w:rsid w:val="00767E9D"/>
    <w:rsid w:val="00770063"/>
    <w:rsid w:val="00783D2A"/>
    <w:rsid w:val="00784523"/>
    <w:rsid w:val="00792BB9"/>
    <w:rsid w:val="00796EB4"/>
    <w:rsid w:val="007A28DA"/>
    <w:rsid w:val="007A6B1C"/>
    <w:rsid w:val="007B6D74"/>
    <w:rsid w:val="007C27FB"/>
    <w:rsid w:val="007C3CF8"/>
    <w:rsid w:val="007C66BF"/>
    <w:rsid w:val="007C7F2A"/>
    <w:rsid w:val="007D1692"/>
    <w:rsid w:val="007E15AD"/>
    <w:rsid w:val="007E1891"/>
    <w:rsid w:val="007E33DB"/>
    <w:rsid w:val="007F25CD"/>
    <w:rsid w:val="007F54A6"/>
    <w:rsid w:val="00803403"/>
    <w:rsid w:val="008034A0"/>
    <w:rsid w:val="0081002A"/>
    <w:rsid w:val="00811FCC"/>
    <w:rsid w:val="00824F60"/>
    <w:rsid w:val="008421C3"/>
    <w:rsid w:val="00843F8E"/>
    <w:rsid w:val="00845D53"/>
    <w:rsid w:val="00851B4A"/>
    <w:rsid w:val="00852DD5"/>
    <w:rsid w:val="00854518"/>
    <w:rsid w:val="008620D3"/>
    <w:rsid w:val="008675ED"/>
    <w:rsid w:val="0087399F"/>
    <w:rsid w:val="00881BD7"/>
    <w:rsid w:val="00890227"/>
    <w:rsid w:val="0089702E"/>
    <w:rsid w:val="008A0385"/>
    <w:rsid w:val="008A11A8"/>
    <w:rsid w:val="008A26ED"/>
    <w:rsid w:val="008C53C8"/>
    <w:rsid w:val="008C6C33"/>
    <w:rsid w:val="008D3659"/>
    <w:rsid w:val="008F4196"/>
    <w:rsid w:val="008F46A0"/>
    <w:rsid w:val="00903096"/>
    <w:rsid w:val="009069EE"/>
    <w:rsid w:val="00907B8A"/>
    <w:rsid w:val="009144E3"/>
    <w:rsid w:val="00927066"/>
    <w:rsid w:val="00930BCF"/>
    <w:rsid w:val="00934535"/>
    <w:rsid w:val="0093484A"/>
    <w:rsid w:val="00947943"/>
    <w:rsid w:val="00950BE6"/>
    <w:rsid w:val="00952D82"/>
    <w:rsid w:val="00961616"/>
    <w:rsid w:val="009647E2"/>
    <w:rsid w:val="00965056"/>
    <w:rsid w:val="009864B6"/>
    <w:rsid w:val="00997818"/>
    <w:rsid w:val="009A0FB5"/>
    <w:rsid w:val="009A111C"/>
    <w:rsid w:val="009C1A4B"/>
    <w:rsid w:val="009C2652"/>
    <w:rsid w:val="009C374E"/>
    <w:rsid w:val="009C3C0D"/>
    <w:rsid w:val="009D0F72"/>
    <w:rsid w:val="009D74F9"/>
    <w:rsid w:val="009D7B48"/>
    <w:rsid w:val="009E1D73"/>
    <w:rsid w:val="009E4E32"/>
    <w:rsid w:val="009E5BB4"/>
    <w:rsid w:val="009F169A"/>
    <w:rsid w:val="009F60E6"/>
    <w:rsid w:val="009F6A8E"/>
    <w:rsid w:val="00A03C64"/>
    <w:rsid w:val="00A04FA2"/>
    <w:rsid w:val="00A12EA7"/>
    <w:rsid w:val="00A14439"/>
    <w:rsid w:val="00A14627"/>
    <w:rsid w:val="00A21EC9"/>
    <w:rsid w:val="00A405B6"/>
    <w:rsid w:val="00A572FB"/>
    <w:rsid w:val="00A57E5F"/>
    <w:rsid w:val="00A61E6E"/>
    <w:rsid w:val="00A675C1"/>
    <w:rsid w:val="00A70AF2"/>
    <w:rsid w:val="00A732E6"/>
    <w:rsid w:val="00A76786"/>
    <w:rsid w:val="00A85256"/>
    <w:rsid w:val="00A86673"/>
    <w:rsid w:val="00A94B80"/>
    <w:rsid w:val="00AB3C84"/>
    <w:rsid w:val="00AC6C1B"/>
    <w:rsid w:val="00AC7755"/>
    <w:rsid w:val="00AC79D3"/>
    <w:rsid w:val="00AD1952"/>
    <w:rsid w:val="00AD56C6"/>
    <w:rsid w:val="00AE7358"/>
    <w:rsid w:val="00AE7AAB"/>
    <w:rsid w:val="00AF4866"/>
    <w:rsid w:val="00B01459"/>
    <w:rsid w:val="00B0300B"/>
    <w:rsid w:val="00B03456"/>
    <w:rsid w:val="00B13316"/>
    <w:rsid w:val="00B13BF9"/>
    <w:rsid w:val="00B14CF1"/>
    <w:rsid w:val="00B14D36"/>
    <w:rsid w:val="00B1561C"/>
    <w:rsid w:val="00B278F9"/>
    <w:rsid w:val="00B5623E"/>
    <w:rsid w:val="00B6251F"/>
    <w:rsid w:val="00B7412B"/>
    <w:rsid w:val="00B74DD6"/>
    <w:rsid w:val="00B94EA9"/>
    <w:rsid w:val="00B97D98"/>
    <w:rsid w:val="00BA1499"/>
    <w:rsid w:val="00BA16F9"/>
    <w:rsid w:val="00BA683B"/>
    <w:rsid w:val="00BA7FF4"/>
    <w:rsid w:val="00BB6228"/>
    <w:rsid w:val="00BD0E36"/>
    <w:rsid w:val="00BD2AF1"/>
    <w:rsid w:val="00BD3B71"/>
    <w:rsid w:val="00BD6155"/>
    <w:rsid w:val="00BE1C06"/>
    <w:rsid w:val="00BE31AD"/>
    <w:rsid w:val="00BE5D38"/>
    <w:rsid w:val="00BF6893"/>
    <w:rsid w:val="00C018E5"/>
    <w:rsid w:val="00C02B33"/>
    <w:rsid w:val="00C10C6E"/>
    <w:rsid w:val="00C12D06"/>
    <w:rsid w:val="00C15754"/>
    <w:rsid w:val="00C157EC"/>
    <w:rsid w:val="00C31858"/>
    <w:rsid w:val="00C33163"/>
    <w:rsid w:val="00C34E94"/>
    <w:rsid w:val="00C52741"/>
    <w:rsid w:val="00C647CB"/>
    <w:rsid w:val="00C73048"/>
    <w:rsid w:val="00C74B5F"/>
    <w:rsid w:val="00C776A8"/>
    <w:rsid w:val="00C818DD"/>
    <w:rsid w:val="00C85D7B"/>
    <w:rsid w:val="00C92445"/>
    <w:rsid w:val="00C93F28"/>
    <w:rsid w:val="00C95B52"/>
    <w:rsid w:val="00C97289"/>
    <w:rsid w:val="00C97FAC"/>
    <w:rsid w:val="00CA3425"/>
    <w:rsid w:val="00CD0D8A"/>
    <w:rsid w:val="00CD4426"/>
    <w:rsid w:val="00CD4AA1"/>
    <w:rsid w:val="00CE1A6D"/>
    <w:rsid w:val="00CE2295"/>
    <w:rsid w:val="00CE2719"/>
    <w:rsid w:val="00CE31E8"/>
    <w:rsid w:val="00D025C7"/>
    <w:rsid w:val="00D0600C"/>
    <w:rsid w:val="00D065B6"/>
    <w:rsid w:val="00D06A37"/>
    <w:rsid w:val="00D13C39"/>
    <w:rsid w:val="00D154FC"/>
    <w:rsid w:val="00D211DF"/>
    <w:rsid w:val="00D34254"/>
    <w:rsid w:val="00D375B3"/>
    <w:rsid w:val="00D44A19"/>
    <w:rsid w:val="00D45572"/>
    <w:rsid w:val="00D45630"/>
    <w:rsid w:val="00D5041F"/>
    <w:rsid w:val="00D612F3"/>
    <w:rsid w:val="00D616C2"/>
    <w:rsid w:val="00D70089"/>
    <w:rsid w:val="00D71BF5"/>
    <w:rsid w:val="00D84279"/>
    <w:rsid w:val="00D91972"/>
    <w:rsid w:val="00DA1B89"/>
    <w:rsid w:val="00DA3E31"/>
    <w:rsid w:val="00DA567C"/>
    <w:rsid w:val="00DA6BCB"/>
    <w:rsid w:val="00DB0150"/>
    <w:rsid w:val="00DB0476"/>
    <w:rsid w:val="00DB1668"/>
    <w:rsid w:val="00DB43DC"/>
    <w:rsid w:val="00DC03F1"/>
    <w:rsid w:val="00DD12A0"/>
    <w:rsid w:val="00DD20E7"/>
    <w:rsid w:val="00DE71D6"/>
    <w:rsid w:val="00E01C47"/>
    <w:rsid w:val="00E1237D"/>
    <w:rsid w:val="00E17925"/>
    <w:rsid w:val="00E21244"/>
    <w:rsid w:val="00E251D8"/>
    <w:rsid w:val="00E25D47"/>
    <w:rsid w:val="00E26222"/>
    <w:rsid w:val="00E30A13"/>
    <w:rsid w:val="00E3387D"/>
    <w:rsid w:val="00E33CBD"/>
    <w:rsid w:val="00E404ED"/>
    <w:rsid w:val="00E41394"/>
    <w:rsid w:val="00E42BA7"/>
    <w:rsid w:val="00E45F1F"/>
    <w:rsid w:val="00E46CF0"/>
    <w:rsid w:val="00E47F7A"/>
    <w:rsid w:val="00E5354E"/>
    <w:rsid w:val="00E53863"/>
    <w:rsid w:val="00E53AD6"/>
    <w:rsid w:val="00E53AE8"/>
    <w:rsid w:val="00E559AC"/>
    <w:rsid w:val="00E61878"/>
    <w:rsid w:val="00E639A8"/>
    <w:rsid w:val="00E7257E"/>
    <w:rsid w:val="00E81C2E"/>
    <w:rsid w:val="00E825C5"/>
    <w:rsid w:val="00E82C52"/>
    <w:rsid w:val="00E856EE"/>
    <w:rsid w:val="00E90C9D"/>
    <w:rsid w:val="00E963F4"/>
    <w:rsid w:val="00E96C13"/>
    <w:rsid w:val="00E97231"/>
    <w:rsid w:val="00E979DD"/>
    <w:rsid w:val="00E97C8E"/>
    <w:rsid w:val="00EA06AE"/>
    <w:rsid w:val="00EB08D2"/>
    <w:rsid w:val="00EC48A4"/>
    <w:rsid w:val="00ED2283"/>
    <w:rsid w:val="00ED3656"/>
    <w:rsid w:val="00EE3922"/>
    <w:rsid w:val="00EE45DA"/>
    <w:rsid w:val="00EE615E"/>
    <w:rsid w:val="00EE62F7"/>
    <w:rsid w:val="00EF423B"/>
    <w:rsid w:val="00EF6243"/>
    <w:rsid w:val="00EF7B96"/>
    <w:rsid w:val="00F03661"/>
    <w:rsid w:val="00F107FF"/>
    <w:rsid w:val="00F14571"/>
    <w:rsid w:val="00F14577"/>
    <w:rsid w:val="00F14694"/>
    <w:rsid w:val="00F21340"/>
    <w:rsid w:val="00F26596"/>
    <w:rsid w:val="00F3126E"/>
    <w:rsid w:val="00F402ED"/>
    <w:rsid w:val="00F412D9"/>
    <w:rsid w:val="00F44CFD"/>
    <w:rsid w:val="00F51E02"/>
    <w:rsid w:val="00F54B1B"/>
    <w:rsid w:val="00F56818"/>
    <w:rsid w:val="00F57B23"/>
    <w:rsid w:val="00F60073"/>
    <w:rsid w:val="00F67A3B"/>
    <w:rsid w:val="00F725AA"/>
    <w:rsid w:val="00F767A4"/>
    <w:rsid w:val="00F85C72"/>
    <w:rsid w:val="00F90149"/>
    <w:rsid w:val="00F92040"/>
    <w:rsid w:val="00FB13B8"/>
    <w:rsid w:val="00FB7CCD"/>
    <w:rsid w:val="00FC48CF"/>
    <w:rsid w:val="00FC618C"/>
    <w:rsid w:val="00FD2DA2"/>
    <w:rsid w:val="00FD518E"/>
    <w:rsid w:val="00FD6A07"/>
    <w:rsid w:val="00FE394C"/>
    <w:rsid w:val="00FF3081"/>
    <w:rsid w:val="00FF30CD"/>
    <w:rsid w:val="00FF3996"/>
    <w:rsid w:val="00FF429A"/>
  </w:rsids>
  <m:mathPr>
    <m:mathFont m:val="Cambria Math"/>
    <m:brkBin m:val="before"/>
    <m:brkBinSub m:val="--"/>
    <m:smallFrac m:val="0"/>
    <m:dispDef/>
    <m:lMargin m:val="0"/>
    <m:rMargin m:val="0"/>
    <m:defJc m:val="centerGroup"/>
    <m:wrapIndent m:val="1440"/>
    <m:intLim m:val="subSup"/>
    <m:naryLim m:val="undOvr"/>
  </m:mathPr>
  <w:themeFontLang w:val="en-L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A7585"/>
  <w15:chartTrackingRefBased/>
  <w15:docId w15:val="{837E467A-3FC4-774A-BB97-83CE2286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Calibri (Body)"/>
        <w:sz w:val="18"/>
        <w:szCs w:val="18"/>
        <w:lang w:val="en-L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DB"/>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7447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319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B06C5"/>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3B06C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F25FC"/>
    <w:pPr>
      <w:spacing w:before="100" w:beforeAutospacing="1" w:after="100" w:afterAutospacing="1"/>
    </w:pPr>
  </w:style>
  <w:style w:type="table" w:styleId="TableGrid">
    <w:name w:val="Table Grid"/>
    <w:basedOn w:val="TableNormal"/>
    <w:uiPriority w:val="39"/>
    <w:rsid w:val="004F25FC"/>
    <w:rPr>
      <w:rFonts w:asciiTheme="minorHAnsi" w:hAnsiTheme="minorHAnsi" w:cstheme="minorBidi"/>
      <w:b/>
      <w:bCs/>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25FC"/>
    <w:pPr>
      <w:ind w:left="720"/>
      <w:contextualSpacing/>
    </w:pPr>
  </w:style>
  <w:style w:type="paragraph" w:styleId="Revision">
    <w:name w:val="Revision"/>
    <w:hidden/>
    <w:uiPriority w:val="99"/>
    <w:semiHidden/>
    <w:rsid w:val="004F25FC"/>
    <w:rPr>
      <w:rFonts w:asciiTheme="minorHAnsi" w:hAnsiTheme="minorHAnsi" w:cstheme="minorBidi"/>
      <w:b/>
      <w:bCs/>
      <w:sz w:val="24"/>
      <w:szCs w:val="24"/>
    </w:rPr>
  </w:style>
  <w:style w:type="paragraph" w:styleId="Footer">
    <w:name w:val="footer"/>
    <w:basedOn w:val="Normal"/>
    <w:link w:val="FooterChar"/>
    <w:uiPriority w:val="99"/>
    <w:unhideWhenUsed/>
    <w:rsid w:val="004F25FC"/>
    <w:pPr>
      <w:tabs>
        <w:tab w:val="center" w:pos="4513"/>
        <w:tab w:val="right" w:pos="9026"/>
      </w:tabs>
    </w:pPr>
  </w:style>
  <w:style w:type="character" w:customStyle="1" w:styleId="FooterChar">
    <w:name w:val="Footer Char"/>
    <w:basedOn w:val="DefaultParagraphFont"/>
    <w:link w:val="Footer"/>
    <w:uiPriority w:val="99"/>
    <w:rsid w:val="004F25FC"/>
    <w:rPr>
      <w:rFonts w:asciiTheme="minorHAnsi" w:hAnsiTheme="minorHAnsi" w:cstheme="minorBidi"/>
      <w:b/>
      <w:bCs/>
      <w:sz w:val="24"/>
      <w:szCs w:val="24"/>
    </w:rPr>
  </w:style>
  <w:style w:type="character" w:styleId="PageNumber">
    <w:name w:val="page number"/>
    <w:basedOn w:val="DefaultParagraphFont"/>
    <w:uiPriority w:val="99"/>
    <w:semiHidden/>
    <w:unhideWhenUsed/>
    <w:rsid w:val="004F25FC"/>
  </w:style>
  <w:style w:type="paragraph" w:styleId="Header">
    <w:name w:val="header"/>
    <w:basedOn w:val="Normal"/>
    <w:link w:val="HeaderChar"/>
    <w:uiPriority w:val="99"/>
    <w:unhideWhenUsed/>
    <w:rsid w:val="004F25FC"/>
    <w:pPr>
      <w:tabs>
        <w:tab w:val="center" w:pos="4513"/>
        <w:tab w:val="right" w:pos="9026"/>
      </w:tabs>
    </w:pPr>
  </w:style>
  <w:style w:type="character" w:customStyle="1" w:styleId="HeaderChar">
    <w:name w:val="Header Char"/>
    <w:basedOn w:val="DefaultParagraphFont"/>
    <w:link w:val="Header"/>
    <w:uiPriority w:val="99"/>
    <w:rsid w:val="004F25FC"/>
    <w:rPr>
      <w:rFonts w:asciiTheme="minorHAnsi" w:hAnsiTheme="minorHAnsi" w:cstheme="minorBidi"/>
      <w:b/>
      <w:bCs/>
      <w:sz w:val="24"/>
      <w:szCs w:val="24"/>
    </w:rPr>
  </w:style>
  <w:style w:type="character" w:styleId="Hyperlink">
    <w:name w:val="Hyperlink"/>
    <w:basedOn w:val="DefaultParagraphFont"/>
    <w:uiPriority w:val="99"/>
    <w:unhideWhenUsed/>
    <w:rsid w:val="004F25FC"/>
    <w:rPr>
      <w:color w:val="0563C1" w:themeColor="hyperlink"/>
      <w:u w:val="single"/>
    </w:rPr>
  </w:style>
  <w:style w:type="character" w:styleId="UnresolvedMention">
    <w:name w:val="Unresolved Mention"/>
    <w:basedOn w:val="DefaultParagraphFont"/>
    <w:uiPriority w:val="99"/>
    <w:semiHidden/>
    <w:unhideWhenUsed/>
    <w:rsid w:val="004F25FC"/>
    <w:rPr>
      <w:color w:val="605E5C"/>
      <w:shd w:val="clear" w:color="auto" w:fill="E1DFDD"/>
    </w:rPr>
  </w:style>
  <w:style w:type="character" w:styleId="FollowedHyperlink">
    <w:name w:val="FollowedHyperlink"/>
    <w:basedOn w:val="DefaultParagraphFont"/>
    <w:uiPriority w:val="99"/>
    <w:semiHidden/>
    <w:unhideWhenUsed/>
    <w:rsid w:val="004F25FC"/>
    <w:rPr>
      <w:color w:val="954F72" w:themeColor="followedHyperlink"/>
      <w:u w:val="single"/>
    </w:rPr>
  </w:style>
  <w:style w:type="character" w:customStyle="1" w:styleId="markedcontent">
    <w:name w:val="markedcontent"/>
    <w:basedOn w:val="DefaultParagraphFont"/>
    <w:rsid w:val="004F25FC"/>
  </w:style>
  <w:style w:type="character" w:styleId="Emphasis">
    <w:name w:val="Emphasis"/>
    <w:basedOn w:val="DefaultParagraphFont"/>
    <w:uiPriority w:val="20"/>
    <w:qFormat/>
    <w:rsid w:val="004F25FC"/>
    <w:rPr>
      <w:i/>
      <w:iCs/>
    </w:rPr>
  </w:style>
  <w:style w:type="character" w:customStyle="1" w:styleId="apple-converted-space">
    <w:name w:val="apple-converted-space"/>
    <w:basedOn w:val="DefaultParagraphFont"/>
    <w:rsid w:val="004F25FC"/>
  </w:style>
  <w:style w:type="character" w:styleId="Strong">
    <w:name w:val="Strong"/>
    <w:basedOn w:val="DefaultParagraphFont"/>
    <w:uiPriority w:val="22"/>
    <w:qFormat/>
    <w:rsid w:val="004F25FC"/>
    <w:rPr>
      <w:b/>
      <w:bCs/>
    </w:rPr>
  </w:style>
  <w:style w:type="paragraph" w:customStyle="1" w:styleId="p1">
    <w:name w:val="p1"/>
    <w:basedOn w:val="Normal"/>
    <w:rsid w:val="009F60E6"/>
    <w:rPr>
      <w:rFonts w:ascii="Verdana" w:hAnsi="Verdana"/>
      <w:color w:val="000000"/>
      <w:sz w:val="14"/>
      <w:szCs w:val="14"/>
    </w:rPr>
  </w:style>
  <w:style w:type="paragraph" w:styleId="FootnoteText">
    <w:name w:val="footnote text"/>
    <w:basedOn w:val="Normal"/>
    <w:link w:val="FootnoteTextChar"/>
    <w:uiPriority w:val="99"/>
    <w:unhideWhenUsed/>
    <w:rsid w:val="00B14CF1"/>
    <w:rPr>
      <w:sz w:val="20"/>
      <w:szCs w:val="20"/>
    </w:rPr>
  </w:style>
  <w:style w:type="character" w:customStyle="1" w:styleId="FootnoteTextChar">
    <w:name w:val="Footnote Text Char"/>
    <w:basedOn w:val="DefaultParagraphFont"/>
    <w:link w:val="FootnoteText"/>
    <w:uiPriority w:val="99"/>
    <w:rsid w:val="00B14CF1"/>
    <w:rPr>
      <w:rFonts w:asciiTheme="minorHAnsi" w:hAnsiTheme="minorHAnsi" w:cstheme="minorBidi"/>
      <w:b/>
      <w:bCs/>
      <w:sz w:val="20"/>
      <w:szCs w:val="20"/>
    </w:rPr>
  </w:style>
  <w:style w:type="character" w:styleId="FootnoteReference">
    <w:name w:val="footnote reference"/>
    <w:basedOn w:val="DefaultParagraphFont"/>
    <w:uiPriority w:val="99"/>
    <w:semiHidden/>
    <w:unhideWhenUsed/>
    <w:rsid w:val="00B14CF1"/>
    <w:rPr>
      <w:vertAlign w:val="superscript"/>
    </w:rPr>
  </w:style>
  <w:style w:type="character" w:customStyle="1" w:styleId="Heading3Char">
    <w:name w:val="Heading 3 Char"/>
    <w:basedOn w:val="DefaultParagraphFont"/>
    <w:link w:val="Heading3"/>
    <w:uiPriority w:val="9"/>
    <w:rsid w:val="003B06C5"/>
    <w:rPr>
      <w:rFonts w:ascii="Times New Roman" w:eastAsia="Times New Roman" w:hAnsi="Times New Roman" w:cs="Times New Roman"/>
      <w:sz w:val="27"/>
      <w:szCs w:val="27"/>
      <w:lang w:eastAsia="en-GB"/>
    </w:rPr>
  </w:style>
  <w:style w:type="character" w:customStyle="1" w:styleId="Heading4Char">
    <w:name w:val="Heading 4 Char"/>
    <w:basedOn w:val="DefaultParagraphFont"/>
    <w:link w:val="Heading4"/>
    <w:uiPriority w:val="9"/>
    <w:rsid w:val="003B06C5"/>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61319F"/>
    <w:rPr>
      <w:rFonts w:asciiTheme="majorHAnsi" w:eastAsiaTheme="majorEastAsia" w:hAnsiTheme="majorHAnsi" w:cstheme="majorBidi"/>
      <w:b/>
      <w:bCs/>
      <w:color w:val="2F5496" w:themeColor="accent1" w:themeShade="BF"/>
      <w:sz w:val="26"/>
      <w:szCs w:val="26"/>
    </w:rPr>
  </w:style>
  <w:style w:type="character" w:customStyle="1" w:styleId="Heading1Char">
    <w:name w:val="Heading 1 Char"/>
    <w:basedOn w:val="DefaultParagraphFont"/>
    <w:link w:val="Heading1"/>
    <w:uiPriority w:val="9"/>
    <w:rsid w:val="0074471F"/>
    <w:rPr>
      <w:rFonts w:asciiTheme="majorHAnsi" w:eastAsiaTheme="majorEastAsia" w:hAnsiTheme="majorHAnsi" w:cstheme="majorBidi"/>
      <w:b/>
      <w:bCs/>
      <w:color w:val="2F5496" w:themeColor="accent1" w:themeShade="BF"/>
      <w:sz w:val="32"/>
      <w:szCs w:val="32"/>
    </w:rPr>
  </w:style>
  <w:style w:type="character" w:customStyle="1" w:styleId="truncate">
    <w:name w:val="truncate"/>
    <w:basedOn w:val="DefaultParagraphFont"/>
    <w:rsid w:val="0074471F"/>
  </w:style>
  <w:style w:type="paragraph" w:styleId="z-TopofForm">
    <w:name w:val="HTML Top of Form"/>
    <w:basedOn w:val="Normal"/>
    <w:next w:val="Normal"/>
    <w:link w:val="z-TopofFormChar"/>
    <w:hidden/>
    <w:uiPriority w:val="99"/>
    <w:semiHidden/>
    <w:unhideWhenUsed/>
    <w:rsid w:val="0074471F"/>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4471F"/>
    <w:rPr>
      <w:rFonts w:ascii="Arial" w:eastAsia="Times New Roman" w:hAnsi="Arial" w:cs="Arial"/>
      <w:vanish/>
      <w:sz w:val="16"/>
      <w:szCs w:val="16"/>
      <w:lang w:eastAsia="en-GB"/>
    </w:rPr>
  </w:style>
  <w:style w:type="paragraph" w:customStyle="1" w:styleId="placeholder">
    <w:name w:val="placeholder"/>
    <w:basedOn w:val="Normal"/>
    <w:rsid w:val="0074471F"/>
    <w:pPr>
      <w:spacing w:before="100" w:beforeAutospacing="1" w:after="100" w:afterAutospacing="1"/>
    </w:pPr>
  </w:style>
  <w:style w:type="character" w:customStyle="1" w:styleId="pointer-events-none">
    <w:name w:val="pointer-events-none"/>
    <w:basedOn w:val="DefaultParagraphFont"/>
    <w:rsid w:val="0074471F"/>
  </w:style>
  <w:style w:type="paragraph" w:styleId="z-BottomofForm">
    <w:name w:val="HTML Bottom of Form"/>
    <w:basedOn w:val="Normal"/>
    <w:next w:val="Normal"/>
    <w:link w:val="z-BottomofFormChar"/>
    <w:hidden/>
    <w:uiPriority w:val="99"/>
    <w:semiHidden/>
    <w:unhideWhenUsed/>
    <w:rsid w:val="0074471F"/>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4471F"/>
    <w:rPr>
      <w:rFonts w:ascii="Arial" w:eastAsia="Times New Roman" w:hAnsi="Arial" w:cs="Arial"/>
      <w:vanish/>
      <w:sz w:val="16"/>
      <w:szCs w:val="16"/>
      <w:lang w:eastAsia="en-GB"/>
    </w:rPr>
  </w:style>
  <w:style w:type="paragraph" w:customStyle="1" w:styleId="p2">
    <w:name w:val="p2"/>
    <w:basedOn w:val="Normal"/>
    <w:rsid w:val="00717CF7"/>
    <w:rPr>
      <w:rFonts w:ascii="Arial" w:hAnsi="Arial" w:cs="Arial"/>
      <w:color w:val="000000"/>
      <w:sz w:val="20"/>
      <w:szCs w:val="20"/>
    </w:rPr>
  </w:style>
  <w:style w:type="character" w:customStyle="1" w:styleId="s1">
    <w:name w:val="s1"/>
    <w:basedOn w:val="DefaultParagraphFont"/>
    <w:rsid w:val="00717CF7"/>
    <w:rPr>
      <w:rFonts w:ascii="Arial" w:hAnsi="Arial" w:cs="Arial" w:hint="default"/>
      <w:sz w:val="20"/>
      <w:szCs w:val="20"/>
    </w:rPr>
  </w:style>
  <w:style w:type="paragraph" w:styleId="BodyText2">
    <w:name w:val="Body Text 2"/>
    <w:basedOn w:val="Normal"/>
    <w:link w:val="BodyText2Char"/>
    <w:rsid w:val="00263B59"/>
    <w:pPr>
      <w:spacing w:after="120" w:line="280" w:lineRule="atLeast"/>
      <w:ind w:left="851"/>
      <w:jc w:val="both"/>
    </w:pPr>
    <w:rPr>
      <w:rFonts w:ascii="Arial" w:hAnsi="Arial" w:cs="Arial"/>
      <w:sz w:val="20"/>
      <w:szCs w:val="20"/>
      <w:lang w:val="en-US" w:eastAsia="en-US"/>
    </w:rPr>
  </w:style>
  <w:style w:type="character" w:customStyle="1" w:styleId="BodyText2Char">
    <w:name w:val="Body Text 2 Char"/>
    <w:basedOn w:val="DefaultParagraphFont"/>
    <w:link w:val="BodyText2"/>
    <w:rsid w:val="00263B59"/>
    <w:rPr>
      <w:rFonts w:ascii="Arial" w:eastAsia="Times New Roman" w:hAnsi="Arial" w:cs="Arial"/>
      <w:sz w:val="20"/>
      <w:szCs w:val="20"/>
      <w:lang w:val="en-US"/>
    </w:rPr>
  </w:style>
  <w:style w:type="paragraph" w:customStyle="1" w:styleId="AOHead1">
    <w:name w:val="AOHead1"/>
    <w:basedOn w:val="Normal"/>
    <w:next w:val="Normal"/>
    <w:qFormat/>
    <w:rsid w:val="00E639A8"/>
    <w:pPr>
      <w:keepNext/>
      <w:numPr>
        <w:numId w:val="125"/>
      </w:numPr>
      <w:spacing w:before="240" w:line="260" w:lineRule="atLeast"/>
      <w:jc w:val="both"/>
      <w:outlineLvl w:val="0"/>
    </w:pPr>
    <w:rPr>
      <w:rFonts w:eastAsiaTheme="minorHAnsi"/>
      <w:b/>
      <w:caps/>
      <w:kern w:val="28"/>
      <w:sz w:val="22"/>
      <w:szCs w:val="22"/>
      <w:lang w:val="en-GB" w:eastAsia="en-US"/>
    </w:rPr>
  </w:style>
  <w:style w:type="paragraph" w:customStyle="1" w:styleId="AOHead2">
    <w:name w:val="AOHead2"/>
    <w:basedOn w:val="Normal"/>
    <w:next w:val="Normal"/>
    <w:qFormat/>
    <w:rsid w:val="00E639A8"/>
    <w:pPr>
      <w:keepNext/>
      <w:numPr>
        <w:ilvl w:val="1"/>
        <w:numId w:val="125"/>
      </w:numPr>
      <w:spacing w:before="240" w:line="260" w:lineRule="atLeast"/>
      <w:jc w:val="both"/>
      <w:outlineLvl w:val="1"/>
    </w:pPr>
    <w:rPr>
      <w:rFonts w:eastAsiaTheme="minorHAnsi"/>
      <w:b/>
      <w:sz w:val="22"/>
      <w:szCs w:val="22"/>
      <w:lang w:val="en-GB" w:eastAsia="en-US"/>
    </w:rPr>
  </w:style>
  <w:style w:type="paragraph" w:customStyle="1" w:styleId="AOHead3">
    <w:name w:val="AOHead3"/>
    <w:basedOn w:val="Normal"/>
    <w:next w:val="Normal"/>
    <w:link w:val="AOHead3Char"/>
    <w:qFormat/>
    <w:rsid w:val="00E639A8"/>
    <w:pPr>
      <w:numPr>
        <w:ilvl w:val="2"/>
        <w:numId w:val="125"/>
      </w:numPr>
      <w:spacing w:before="240" w:line="260" w:lineRule="atLeast"/>
      <w:jc w:val="both"/>
      <w:outlineLvl w:val="2"/>
    </w:pPr>
    <w:rPr>
      <w:rFonts w:eastAsiaTheme="minorHAnsi"/>
      <w:sz w:val="22"/>
      <w:szCs w:val="22"/>
      <w:lang w:val="en-GB" w:eastAsia="en-US"/>
    </w:rPr>
  </w:style>
  <w:style w:type="paragraph" w:customStyle="1" w:styleId="AOHead4">
    <w:name w:val="AOHead4"/>
    <w:basedOn w:val="Normal"/>
    <w:next w:val="Normal"/>
    <w:qFormat/>
    <w:rsid w:val="00E639A8"/>
    <w:pPr>
      <w:numPr>
        <w:ilvl w:val="3"/>
        <w:numId w:val="125"/>
      </w:numPr>
      <w:spacing w:before="240" w:line="260" w:lineRule="atLeast"/>
      <w:jc w:val="both"/>
      <w:outlineLvl w:val="3"/>
    </w:pPr>
    <w:rPr>
      <w:rFonts w:eastAsiaTheme="minorHAnsi"/>
      <w:sz w:val="22"/>
      <w:szCs w:val="22"/>
      <w:lang w:val="en-GB" w:eastAsia="en-US"/>
    </w:rPr>
  </w:style>
  <w:style w:type="paragraph" w:customStyle="1" w:styleId="AOHead5">
    <w:name w:val="AOHead5"/>
    <w:basedOn w:val="Normal"/>
    <w:next w:val="Normal"/>
    <w:qFormat/>
    <w:rsid w:val="00E639A8"/>
    <w:pPr>
      <w:numPr>
        <w:ilvl w:val="4"/>
        <w:numId w:val="125"/>
      </w:numPr>
      <w:spacing w:before="240" w:line="260" w:lineRule="atLeast"/>
      <w:jc w:val="both"/>
      <w:outlineLvl w:val="4"/>
    </w:pPr>
    <w:rPr>
      <w:rFonts w:eastAsiaTheme="minorHAnsi"/>
      <w:sz w:val="22"/>
      <w:szCs w:val="22"/>
      <w:lang w:val="en-GB" w:eastAsia="en-US"/>
    </w:rPr>
  </w:style>
  <w:style w:type="paragraph" w:customStyle="1" w:styleId="AOHead6">
    <w:name w:val="AOHead6"/>
    <w:basedOn w:val="Normal"/>
    <w:next w:val="Normal"/>
    <w:qFormat/>
    <w:rsid w:val="00E639A8"/>
    <w:pPr>
      <w:numPr>
        <w:ilvl w:val="5"/>
        <w:numId w:val="125"/>
      </w:numPr>
      <w:spacing w:before="240" w:line="260" w:lineRule="atLeast"/>
      <w:jc w:val="both"/>
      <w:outlineLvl w:val="5"/>
    </w:pPr>
    <w:rPr>
      <w:rFonts w:eastAsiaTheme="minorHAnsi"/>
      <w:sz w:val="22"/>
      <w:szCs w:val="22"/>
      <w:lang w:val="en-GB" w:eastAsia="en-US"/>
    </w:rPr>
  </w:style>
  <w:style w:type="paragraph" w:customStyle="1" w:styleId="AOAltHead2">
    <w:name w:val="AOAltHead2"/>
    <w:basedOn w:val="AOHead2"/>
    <w:next w:val="Normal"/>
    <w:link w:val="AOAltHead2Char"/>
    <w:rsid w:val="00E639A8"/>
    <w:pPr>
      <w:keepNext w:val="0"/>
    </w:pPr>
    <w:rPr>
      <w:b w:val="0"/>
    </w:rPr>
  </w:style>
  <w:style w:type="character" w:customStyle="1" w:styleId="AOAltHead2Char">
    <w:name w:val="AOAltHead2 Char"/>
    <w:link w:val="AOAltHead2"/>
    <w:locked/>
    <w:rsid w:val="00E639A8"/>
    <w:rPr>
      <w:rFonts w:ascii="Times New Roman" w:hAnsi="Times New Roman" w:cs="Times New Roman"/>
      <w:sz w:val="22"/>
      <w:szCs w:val="22"/>
      <w:lang w:val="en-GB"/>
    </w:rPr>
  </w:style>
  <w:style w:type="character" w:customStyle="1" w:styleId="AOHead3Char">
    <w:name w:val="AOHead3 Char"/>
    <w:link w:val="AOHead3"/>
    <w:locked/>
    <w:rsid w:val="00E639A8"/>
    <w:rPr>
      <w:rFonts w:ascii="Times New Roman" w:hAnsi="Times New Roman" w:cs="Times New Roman"/>
      <w:sz w:val="22"/>
      <w:szCs w:val="22"/>
      <w:lang w:val="en-GB"/>
    </w:rPr>
  </w:style>
  <w:style w:type="character" w:styleId="CommentReference">
    <w:name w:val="annotation reference"/>
    <w:basedOn w:val="DefaultParagraphFont"/>
    <w:uiPriority w:val="99"/>
    <w:semiHidden/>
    <w:unhideWhenUsed/>
    <w:rsid w:val="00FF30CD"/>
    <w:rPr>
      <w:sz w:val="16"/>
      <w:szCs w:val="16"/>
    </w:rPr>
  </w:style>
  <w:style w:type="paragraph" w:styleId="CommentText">
    <w:name w:val="annotation text"/>
    <w:basedOn w:val="Normal"/>
    <w:link w:val="CommentTextChar"/>
    <w:uiPriority w:val="99"/>
    <w:unhideWhenUsed/>
    <w:rsid w:val="00FF30CD"/>
    <w:rPr>
      <w:sz w:val="20"/>
      <w:szCs w:val="20"/>
    </w:rPr>
  </w:style>
  <w:style w:type="character" w:customStyle="1" w:styleId="CommentTextChar">
    <w:name w:val="Comment Text Char"/>
    <w:basedOn w:val="DefaultParagraphFont"/>
    <w:link w:val="CommentText"/>
    <w:uiPriority w:val="99"/>
    <w:rsid w:val="00FF30CD"/>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FF30CD"/>
    <w:rPr>
      <w:b/>
      <w:bCs/>
    </w:rPr>
  </w:style>
  <w:style w:type="character" w:customStyle="1" w:styleId="CommentSubjectChar">
    <w:name w:val="Comment Subject Char"/>
    <w:basedOn w:val="CommentTextChar"/>
    <w:link w:val="CommentSubject"/>
    <w:uiPriority w:val="99"/>
    <w:semiHidden/>
    <w:rsid w:val="00FF30CD"/>
    <w:rPr>
      <w:rFonts w:ascii="Times New Roman" w:eastAsia="Times New Roman" w:hAnsi="Times New Roman" w:cs="Times New Roman"/>
      <w:b/>
      <w:bCs/>
      <w:sz w:val="20"/>
      <w:szCs w:val="20"/>
      <w:lang w:eastAsia="en-GB"/>
    </w:rPr>
  </w:style>
  <w:style w:type="paragraph" w:styleId="BodyText">
    <w:name w:val="Body Text"/>
    <w:basedOn w:val="Normal"/>
    <w:link w:val="BodyTextChar"/>
    <w:uiPriority w:val="99"/>
    <w:unhideWhenUsed/>
    <w:rsid w:val="00035CA1"/>
    <w:pPr>
      <w:spacing w:after="120"/>
    </w:pPr>
  </w:style>
  <w:style w:type="character" w:customStyle="1" w:styleId="BodyTextChar">
    <w:name w:val="Body Text Char"/>
    <w:basedOn w:val="DefaultParagraphFont"/>
    <w:link w:val="BodyText"/>
    <w:uiPriority w:val="99"/>
    <w:rsid w:val="00035CA1"/>
    <w:rPr>
      <w:rFonts w:ascii="Times New Roman" w:eastAsia="Times New Roman" w:hAnsi="Times New Roman" w:cs="Times New Roman"/>
      <w:sz w:val="24"/>
      <w:szCs w:val="24"/>
      <w:lang w:eastAsia="en-GB"/>
    </w:rPr>
  </w:style>
  <w:style w:type="paragraph" w:customStyle="1" w:styleId="oj-normal">
    <w:name w:val="oj-normal"/>
    <w:basedOn w:val="Normal"/>
    <w:rsid w:val="0039736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0243">
      <w:bodyDiv w:val="1"/>
      <w:marLeft w:val="0"/>
      <w:marRight w:val="0"/>
      <w:marTop w:val="0"/>
      <w:marBottom w:val="0"/>
      <w:divBdr>
        <w:top w:val="none" w:sz="0" w:space="0" w:color="auto"/>
        <w:left w:val="none" w:sz="0" w:space="0" w:color="auto"/>
        <w:bottom w:val="none" w:sz="0" w:space="0" w:color="auto"/>
        <w:right w:val="none" w:sz="0" w:space="0" w:color="auto"/>
      </w:divBdr>
    </w:div>
    <w:div w:id="21439021">
      <w:bodyDiv w:val="1"/>
      <w:marLeft w:val="0"/>
      <w:marRight w:val="0"/>
      <w:marTop w:val="0"/>
      <w:marBottom w:val="0"/>
      <w:divBdr>
        <w:top w:val="none" w:sz="0" w:space="0" w:color="auto"/>
        <w:left w:val="none" w:sz="0" w:space="0" w:color="auto"/>
        <w:bottom w:val="none" w:sz="0" w:space="0" w:color="auto"/>
        <w:right w:val="none" w:sz="0" w:space="0" w:color="auto"/>
      </w:divBdr>
      <w:divsChild>
        <w:div w:id="1786995035">
          <w:marLeft w:val="0"/>
          <w:marRight w:val="0"/>
          <w:marTop w:val="0"/>
          <w:marBottom w:val="0"/>
          <w:divBdr>
            <w:top w:val="none" w:sz="0" w:space="0" w:color="auto"/>
            <w:left w:val="none" w:sz="0" w:space="0" w:color="auto"/>
            <w:bottom w:val="none" w:sz="0" w:space="0" w:color="auto"/>
            <w:right w:val="none" w:sz="0" w:space="0" w:color="auto"/>
          </w:divBdr>
          <w:divsChild>
            <w:div w:id="1989701672">
              <w:marLeft w:val="0"/>
              <w:marRight w:val="0"/>
              <w:marTop w:val="0"/>
              <w:marBottom w:val="0"/>
              <w:divBdr>
                <w:top w:val="none" w:sz="0" w:space="0" w:color="auto"/>
                <w:left w:val="none" w:sz="0" w:space="0" w:color="auto"/>
                <w:bottom w:val="none" w:sz="0" w:space="0" w:color="auto"/>
                <w:right w:val="none" w:sz="0" w:space="0" w:color="auto"/>
              </w:divBdr>
              <w:divsChild>
                <w:div w:id="1262832058">
                  <w:marLeft w:val="0"/>
                  <w:marRight w:val="0"/>
                  <w:marTop w:val="0"/>
                  <w:marBottom w:val="0"/>
                  <w:divBdr>
                    <w:top w:val="none" w:sz="0" w:space="0" w:color="auto"/>
                    <w:left w:val="none" w:sz="0" w:space="0" w:color="auto"/>
                    <w:bottom w:val="none" w:sz="0" w:space="0" w:color="auto"/>
                    <w:right w:val="none" w:sz="0" w:space="0" w:color="auto"/>
                  </w:divBdr>
                  <w:divsChild>
                    <w:div w:id="181413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94202">
      <w:bodyDiv w:val="1"/>
      <w:marLeft w:val="0"/>
      <w:marRight w:val="0"/>
      <w:marTop w:val="0"/>
      <w:marBottom w:val="0"/>
      <w:divBdr>
        <w:top w:val="none" w:sz="0" w:space="0" w:color="auto"/>
        <w:left w:val="none" w:sz="0" w:space="0" w:color="auto"/>
        <w:bottom w:val="none" w:sz="0" w:space="0" w:color="auto"/>
        <w:right w:val="none" w:sz="0" w:space="0" w:color="auto"/>
      </w:divBdr>
    </w:div>
    <w:div w:id="29688947">
      <w:bodyDiv w:val="1"/>
      <w:marLeft w:val="0"/>
      <w:marRight w:val="0"/>
      <w:marTop w:val="0"/>
      <w:marBottom w:val="0"/>
      <w:divBdr>
        <w:top w:val="none" w:sz="0" w:space="0" w:color="auto"/>
        <w:left w:val="none" w:sz="0" w:space="0" w:color="auto"/>
        <w:bottom w:val="none" w:sz="0" w:space="0" w:color="auto"/>
        <w:right w:val="none" w:sz="0" w:space="0" w:color="auto"/>
      </w:divBdr>
    </w:div>
    <w:div w:id="35006234">
      <w:bodyDiv w:val="1"/>
      <w:marLeft w:val="0"/>
      <w:marRight w:val="0"/>
      <w:marTop w:val="0"/>
      <w:marBottom w:val="0"/>
      <w:divBdr>
        <w:top w:val="none" w:sz="0" w:space="0" w:color="auto"/>
        <w:left w:val="none" w:sz="0" w:space="0" w:color="auto"/>
        <w:bottom w:val="none" w:sz="0" w:space="0" w:color="auto"/>
        <w:right w:val="none" w:sz="0" w:space="0" w:color="auto"/>
      </w:divBdr>
    </w:div>
    <w:div w:id="48387282">
      <w:bodyDiv w:val="1"/>
      <w:marLeft w:val="0"/>
      <w:marRight w:val="0"/>
      <w:marTop w:val="0"/>
      <w:marBottom w:val="0"/>
      <w:divBdr>
        <w:top w:val="none" w:sz="0" w:space="0" w:color="auto"/>
        <w:left w:val="none" w:sz="0" w:space="0" w:color="auto"/>
        <w:bottom w:val="none" w:sz="0" w:space="0" w:color="auto"/>
        <w:right w:val="none" w:sz="0" w:space="0" w:color="auto"/>
      </w:divBdr>
    </w:div>
    <w:div w:id="52504351">
      <w:bodyDiv w:val="1"/>
      <w:marLeft w:val="0"/>
      <w:marRight w:val="0"/>
      <w:marTop w:val="0"/>
      <w:marBottom w:val="0"/>
      <w:divBdr>
        <w:top w:val="none" w:sz="0" w:space="0" w:color="auto"/>
        <w:left w:val="none" w:sz="0" w:space="0" w:color="auto"/>
        <w:bottom w:val="none" w:sz="0" w:space="0" w:color="auto"/>
        <w:right w:val="none" w:sz="0" w:space="0" w:color="auto"/>
      </w:divBdr>
    </w:div>
    <w:div w:id="70204757">
      <w:bodyDiv w:val="1"/>
      <w:marLeft w:val="0"/>
      <w:marRight w:val="0"/>
      <w:marTop w:val="0"/>
      <w:marBottom w:val="0"/>
      <w:divBdr>
        <w:top w:val="none" w:sz="0" w:space="0" w:color="auto"/>
        <w:left w:val="none" w:sz="0" w:space="0" w:color="auto"/>
        <w:bottom w:val="none" w:sz="0" w:space="0" w:color="auto"/>
        <w:right w:val="none" w:sz="0" w:space="0" w:color="auto"/>
      </w:divBdr>
    </w:div>
    <w:div w:id="70810830">
      <w:bodyDiv w:val="1"/>
      <w:marLeft w:val="0"/>
      <w:marRight w:val="0"/>
      <w:marTop w:val="0"/>
      <w:marBottom w:val="0"/>
      <w:divBdr>
        <w:top w:val="none" w:sz="0" w:space="0" w:color="auto"/>
        <w:left w:val="none" w:sz="0" w:space="0" w:color="auto"/>
        <w:bottom w:val="none" w:sz="0" w:space="0" w:color="auto"/>
        <w:right w:val="none" w:sz="0" w:space="0" w:color="auto"/>
      </w:divBdr>
    </w:div>
    <w:div w:id="79181201">
      <w:bodyDiv w:val="1"/>
      <w:marLeft w:val="0"/>
      <w:marRight w:val="0"/>
      <w:marTop w:val="0"/>
      <w:marBottom w:val="0"/>
      <w:divBdr>
        <w:top w:val="none" w:sz="0" w:space="0" w:color="auto"/>
        <w:left w:val="none" w:sz="0" w:space="0" w:color="auto"/>
        <w:bottom w:val="none" w:sz="0" w:space="0" w:color="auto"/>
        <w:right w:val="none" w:sz="0" w:space="0" w:color="auto"/>
      </w:divBdr>
    </w:div>
    <w:div w:id="87507411">
      <w:bodyDiv w:val="1"/>
      <w:marLeft w:val="0"/>
      <w:marRight w:val="0"/>
      <w:marTop w:val="0"/>
      <w:marBottom w:val="0"/>
      <w:divBdr>
        <w:top w:val="none" w:sz="0" w:space="0" w:color="auto"/>
        <w:left w:val="none" w:sz="0" w:space="0" w:color="auto"/>
        <w:bottom w:val="none" w:sz="0" w:space="0" w:color="auto"/>
        <w:right w:val="none" w:sz="0" w:space="0" w:color="auto"/>
      </w:divBdr>
    </w:div>
    <w:div w:id="89355854">
      <w:bodyDiv w:val="1"/>
      <w:marLeft w:val="0"/>
      <w:marRight w:val="0"/>
      <w:marTop w:val="0"/>
      <w:marBottom w:val="0"/>
      <w:divBdr>
        <w:top w:val="none" w:sz="0" w:space="0" w:color="auto"/>
        <w:left w:val="none" w:sz="0" w:space="0" w:color="auto"/>
        <w:bottom w:val="none" w:sz="0" w:space="0" w:color="auto"/>
        <w:right w:val="none" w:sz="0" w:space="0" w:color="auto"/>
      </w:divBdr>
    </w:div>
    <w:div w:id="124084446">
      <w:bodyDiv w:val="1"/>
      <w:marLeft w:val="0"/>
      <w:marRight w:val="0"/>
      <w:marTop w:val="0"/>
      <w:marBottom w:val="0"/>
      <w:divBdr>
        <w:top w:val="none" w:sz="0" w:space="0" w:color="auto"/>
        <w:left w:val="none" w:sz="0" w:space="0" w:color="auto"/>
        <w:bottom w:val="none" w:sz="0" w:space="0" w:color="auto"/>
        <w:right w:val="none" w:sz="0" w:space="0" w:color="auto"/>
      </w:divBdr>
    </w:div>
    <w:div w:id="170680923">
      <w:bodyDiv w:val="1"/>
      <w:marLeft w:val="0"/>
      <w:marRight w:val="0"/>
      <w:marTop w:val="0"/>
      <w:marBottom w:val="0"/>
      <w:divBdr>
        <w:top w:val="none" w:sz="0" w:space="0" w:color="auto"/>
        <w:left w:val="none" w:sz="0" w:space="0" w:color="auto"/>
        <w:bottom w:val="none" w:sz="0" w:space="0" w:color="auto"/>
        <w:right w:val="none" w:sz="0" w:space="0" w:color="auto"/>
      </w:divBdr>
    </w:div>
    <w:div w:id="172115534">
      <w:bodyDiv w:val="1"/>
      <w:marLeft w:val="0"/>
      <w:marRight w:val="0"/>
      <w:marTop w:val="0"/>
      <w:marBottom w:val="0"/>
      <w:divBdr>
        <w:top w:val="none" w:sz="0" w:space="0" w:color="auto"/>
        <w:left w:val="none" w:sz="0" w:space="0" w:color="auto"/>
        <w:bottom w:val="none" w:sz="0" w:space="0" w:color="auto"/>
        <w:right w:val="none" w:sz="0" w:space="0" w:color="auto"/>
      </w:divBdr>
    </w:div>
    <w:div w:id="227957804">
      <w:bodyDiv w:val="1"/>
      <w:marLeft w:val="0"/>
      <w:marRight w:val="0"/>
      <w:marTop w:val="0"/>
      <w:marBottom w:val="0"/>
      <w:divBdr>
        <w:top w:val="none" w:sz="0" w:space="0" w:color="auto"/>
        <w:left w:val="none" w:sz="0" w:space="0" w:color="auto"/>
        <w:bottom w:val="none" w:sz="0" w:space="0" w:color="auto"/>
        <w:right w:val="none" w:sz="0" w:space="0" w:color="auto"/>
      </w:divBdr>
    </w:div>
    <w:div w:id="251859929">
      <w:bodyDiv w:val="1"/>
      <w:marLeft w:val="0"/>
      <w:marRight w:val="0"/>
      <w:marTop w:val="0"/>
      <w:marBottom w:val="0"/>
      <w:divBdr>
        <w:top w:val="none" w:sz="0" w:space="0" w:color="auto"/>
        <w:left w:val="none" w:sz="0" w:space="0" w:color="auto"/>
        <w:bottom w:val="none" w:sz="0" w:space="0" w:color="auto"/>
        <w:right w:val="none" w:sz="0" w:space="0" w:color="auto"/>
      </w:divBdr>
    </w:div>
    <w:div w:id="264922402">
      <w:bodyDiv w:val="1"/>
      <w:marLeft w:val="0"/>
      <w:marRight w:val="0"/>
      <w:marTop w:val="0"/>
      <w:marBottom w:val="0"/>
      <w:divBdr>
        <w:top w:val="none" w:sz="0" w:space="0" w:color="auto"/>
        <w:left w:val="none" w:sz="0" w:space="0" w:color="auto"/>
        <w:bottom w:val="none" w:sz="0" w:space="0" w:color="auto"/>
        <w:right w:val="none" w:sz="0" w:space="0" w:color="auto"/>
      </w:divBdr>
    </w:div>
    <w:div w:id="273905269">
      <w:bodyDiv w:val="1"/>
      <w:marLeft w:val="0"/>
      <w:marRight w:val="0"/>
      <w:marTop w:val="0"/>
      <w:marBottom w:val="0"/>
      <w:divBdr>
        <w:top w:val="none" w:sz="0" w:space="0" w:color="auto"/>
        <w:left w:val="none" w:sz="0" w:space="0" w:color="auto"/>
        <w:bottom w:val="none" w:sz="0" w:space="0" w:color="auto"/>
        <w:right w:val="none" w:sz="0" w:space="0" w:color="auto"/>
      </w:divBdr>
    </w:div>
    <w:div w:id="287787000">
      <w:bodyDiv w:val="1"/>
      <w:marLeft w:val="0"/>
      <w:marRight w:val="0"/>
      <w:marTop w:val="0"/>
      <w:marBottom w:val="0"/>
      <w:divBdr>
        <w:top w:val="none" w:sz="0" w:space="0" w:color="auto"/>
        <w:left w:val="none" w:sz="0" w:space="0" w:color="auto"/>
        <w:bottom w:val="none" w:sz="0" w:space="0" w:color="auto"/>
        <w:right w:val="none" w:sz="0" w:space="0" w:color="auto"/>
      </w:divBdr>
    </w:div>
    <w:div w:id="307709322">
      <w:bodyDiv w:val="1"/>
      <w:marLeft w:val="0"/>
      <w:marRight w:val="0"/>
      <w:marTop w:val="0"/>
      <w:marBottom w:val="0"/>
      <w:divBdr>
        <w:top w:val="none" w:sz="0" w:space="0" w:color="auto"/>
        <w:left w:val="none" w:sz="0" w:space="0" w:color="auto"/>
        <w:bottom w:val="none" w:sz="0" w:space="0" w:color="auto"/>
        <w:right w:val="none" w:sz="0" w:space="0" w:color="auto"/>
      </w:divBdr>
    </w:div>
    <w:div w:id="308679571">
      <w:bodyDiv w:val="1"/>
      <w:marLeft w:val="0"/>
      <w:marRight w:val="0"/>
      <w:marTop w:val="0"/>
      <w:marBottom w:val="0"/>
      <w:divBdr>
        <w:top w:val="none" w:sz="0" w:space="0" w:color="auto"/>
        <w:left w:val="none" w:sz="0" w:space="0" w:color="auto"/>
        <w:bottom w:val="none" w:sz="0" w:space="0" w:color="auto"/>
        <w:right w:val="none" w:sz="0" w:space="0" w:color="auto"/>
      </w:divBdr>
    </w:div>
    <w:div w:id="312952113">
      <w:bodyDiv w:val="1"/>
      <w:marLeft w:val="0"/>
      <w:marRight w:val="0"/>
      <w:marTop w:val="0"/>
      <w:marBottom w:val="0"/>
      <w:divBdr>
        <w:top w:val="none" w:sz="0" w:space="0" w:color="auto"/>
        <w:left w:val="none" w:sz="0" w:space="0" w:color="auto"/>
        <w:bottom w:val="none" w:sz="0" w:space="0" w:color="auto"/>
        <w:right w:val="none" w:sz="0" w:space="0" w:color="auto"/>
      </w:divBdr>
    </w:div>
    <w:div w:id="338776341">
      <w:bodyDiv w:val="1"/>
      <w:marLeft w:val="0"/>
      <w:marRight w:val="0"/>
      <w:marTop w:val="0"/>
      <w:marBottom w:val="0"/>
      <w:divBdr>
        <w:top w:val="none" w:sz="0" w:space="0" w:color="auto"/>
        <w:left w:val="none" w:sz="0" w:space="0" w:color="auto"/>
        <w:bottom w:val="none" w:sz="0" w:space="0" w:color="auto"/>
        <w:right w:val="none" w:sz="0" w:space="0" w:color="auto"/>
      </w:divBdr>
    </w:div>
    <w:div w:id="360934244">
      <w:bodyDiv w:val="1"/>
      <w:marLeft w:val="0"/>
      <w:marRight w:val="0"/>
      <w:marTop w:val="0"/>
      <w:marBottom w:val="0"/>
      <w:divBdr>
        <w:top w:val="none" w:sz="0" w:space="0" w:color="auto"/>
        <w:left w:val="none" w:sz="0" w:space="0" w:color="auto"/>
        <w:bottom w:val="none" w:sz="0" w:space="0" w:color="auto"/>
        <w:right w:val="none" w:sz="0" w:space="0" w:color="auto"/>
      </w:divBdr>
    </w:div>
    <w:div w:id="371854272">
      <w:bodyDiv w:val="1"/>
      <w:marLeft w:val="0"/>
      <w:marRight w:val="0"/>
      <w:marTop w:val="0"/>
      <w:marBottom w:val="0"/>
      <w:divBdr>
        <w:top w:val="none" w:sz="0" w:space="0" w:color="auto"/>
        <w:left w:val="none" w:sz="0" w:space="0" w:color="auto"/>
        <w:bottom w:val="none" w:sz="0" w:space="0" w:color="auto"/>
        <w:right w:val="none" w:sz="0" w:space="0" w:color="auto"/>
      </w:divBdr>
    </w:div>
    <w:div w:id="372386619">
      <w:bodyDiv w:val="1"/>
      <w:marLeft w:val="0"/>
      <w:marRight w:val="0"/>
      <w:marTop w:val="0"/>
      <w:marBottom w:val="0"/>
      <w:divBdr>
        <w:top w:val="none" w:sz="0" w:space="0" w:color="auto"/>
        <w:left w:val="none" w:sz="0" w:space="0" w:color="auto"/>
        <w:bottom w:val="none" w:sz="0" w:space="0" w:color="auto"/>
        <w:right w:val="none" w:sz="0" w:space="0" w:color="auto"/>
      </w:divBdr>
    </w:div>
    <w:div w:id="395590079">
      <w:bodyDiv w:val="1"/>
      <w:marLeft w:val="0"/>
      <w:marRight w:val="0"/>
      <w:marTop w:val="0"/>
      <w:marBottom w:val="0"/>
      <w:divBdr>
        <w:top w:val="none" w:sz="0" w:space="0" w:color="auto"/>
        <w:left w:val="none" w:sz="0" w:space="0" w:color="auto"/>
        <w:bottom w:val="none" w:sz="0" w:space="0" w:color="auto"/>
        <w:right w:val="none" w:sz="0" w:space="0" w:color="auto"/>
      </w:divBdr>
    </w:div>
    <w:div w:id="398944417">
      <w:bodyDiv w:val="1"/>
      <w:marLeft w:val="0"/>
      <w:marRight w:val="0"/>
      <w:marTop w:val="0"/>
      <w:marBottom w:val="0"/>
      <w:divBdr>
        <w:top w:val="none" w:sz="0" w:space="0" w:color="auto"/>
        <w:left w:val="none" w:sz="0" w:space="0" w:color="auto"/>
        <w:bottom w:val="none" w:sz="0" w:space="0" w:color="auto"/>
        <w:right w:val="none" w:sz="0" w:space="0" w:color="auto"/>
      </w:divBdr>
    </w:div>
    <w:div w:id="405997288">
      <w:bodyDiv w:val="1"/>
      <w:marLeft w:val="0"/>
      <w:marRight w:val="0"/>
      <w:marTop w:val="0"/>
      <w:marBottom w:val="0"/>
      <w:divBdr>
        <w:top w:val="none" w:sz="0" w:space="0" w:color="auto"/>
        <w:left w:val="none" w:sz="0" w:space="0" w:color="auto"/>
        <w:bottom w:val="none" w:sz="0" w:space="0" w:color="auto"/>
        <w:right w:val="none" w:sz="0" w:space="0" w:color="auto"/>
      </w:divBdr>
    </w:div>
    <w:div w:id="407002085">
      <w:bodyDiv w:val="1"/>
      <w:marLeft w:val="0"/>
      <w:marRight w:val="0"/>
      <w:marTop w:val="0"/>
      <w:marBottom w:val="0"/>
      <w:divBdr>
        <w:top w:val="none" w:sz="0" w:space="0" w:color="auto"/>
        <w:left w:val="none" w:sz="0" w:space="0" w:color="auto"/>
        <w:bottom w:val="none" w:sz="0" w:space="0" w:color="auto"/>
        <w:right w:val="none" w:sz="0" w:space="0" w:color="auto"/>
      </w:divBdr>
    </w:div>
    <w:div w:id="425810537">
      <w:bodyDiv w:val="1"/>
      <w:marLeft w:val="0"/>
      <w:marRight w:val="0"/>
      <w:marTop w:val="0"/>
      <w:marBottom w:val="0"/>
      <w:divBdr>
        <w:top w:val="none" w:sz="0" w:space="0" w:color="auto"/>
        <w:left w:val="none" w:sz="0" w:space="0" w:color="auto"/>
        <w:bottom w:val="none" w:sz="0" w:space="0" w:color="auto"/>
        <w:right w:val="none" w:sz="0" w:space="0" w:color="auto"/>
      </w:divBdr>
    </w:div>
    <w:div w:id="444884112">
      <w:bodyDiv w:val="1"/>
      <w:marLeft w:val="0"/>
      <w:marRight w:val="0"/>
      <w:marTop w:val="0"/>
      <w:marBottom w:val="0"/>
      <w:divBdr>
        <w:top w:val="none" w:sz="0" w:space="0" w:color="auto"/>
        <w:left w:val="none" w:sz="0" w:space="0" w:color="auto"/>
        <w:bottom w:val="none" w:sz="0" w:space="0" w:color="auto"/>
        <w:right w:val="none" w:sz="0" w:space="0" w:color="auto"/>
      </w:divBdr>
    </w:div>
    <w:div w:id="464199550">
      <w:bodyDiv w:val="1"/>
      <w:marLeft w:val="0"/>
      <w:marRight w:val="0"/>
      <w:marTop w:val="0"/>
      <w:marBottom w:val="0"/>
      <w:divBdr>
        <w:top w:val="none" w:sz="0" w:space="0" w:color="auto"/>
        <w:left w:val="none" w:sz="0" w:space="0" w:color="auto"/>
        <w:bottom w:val="none" w:sz="0" w:space="0" w:color="auto"/>
        <w:right w:val="none" w:sz="0" w:space="0" w:color="auto"/>
      </w:divBdr>
    </w:div>
    <w:div w:id="464201564">
      <w:bodyDiv w:val="1"/>
      <w:marLeft w:val="0"/>
      <w:marRight w:val="0"/>
      <w:marTop w:val="0"/>
      <w:marBottom w:val="0"/>
      <w:divBdr>
        <w:top w:val="none" w:sz="0" w:space="0" w:color="auto"/>
        <w:left w:val="none" w:sz="0" w:space="0" w:color="auto"/>
        <w:bottom w:val="none" w:sz="0" w:space="0" w:color="auto"/>
        <w:right w:val="none" w:sz="0" w:space="0" w:color="auto"/>
      </w:divBdr>
    </w:div>
    <w:div w:id="466244577">
      <w:bodyDiv w:val="1"/>
      <w:marLeft w:val="0"/>
      <w:marRight w:val="0"/>
      <w:marTop w:val="0"/>
      <w:marBottom w:val="0"/>
      <w:divBdr>
        <w:top w:val="none" w:sz="0" w:space="0" w:color="auto"/>
        <w:left w:val="none" w:sz="0" w:space="0" w:color="auto"/>
        <w:bottom w:val="none" w:sz="0" w:space="0" w:color="auto"/>
        <w:right w:val="none" w:sz="0" w:space="0" w:color="auto"/>
      </w:divBdr>
    </w:div>
    <w:div w:id="490144232">
      <w:bodyDiv w:val="1"/>
      <w:marLeft w:val="0"/>
      <w:marRight w:val="0"/>
      <w:marTop w:val="0"/>
      <w:marBottom w:val="0"/>
      <w:divBdr>
        <w:top w:val="none" w:sz="0" w:space="0" w:color="auto"/>
        <w:left w:val="none" w:sz="0" w:space="0" w:color="auto"/>
        <w:bottom w:val="none" w:sz="0" w:space="0" w:color="auto"/>
        <w:right w:val="none" w:sz="0" w:space="0" w:color="auto"/>
      </w:divBdr>
    </w:div>
    <w:div w:id="508372639">
      <w:bodyDiv w:val="1"/>
      <w:marLeft w:val="0"/>
      <w:marRight w:val="0"/>
      <w:marTop w:val="0"/>
      <w:marBottom w:val="0"/>
      <w:divBdr>
        <w:top w:val="none" w:sz="0" w:space="0" w:color="auto"/>
        <w:left w:val="none" w:sz="0" w:space="0" w:color="auto"/>
        <w:bottom w:val="none" w:sz="0" w:space="0" w:color="auto"/>
        <w:right w:val="none" w:sz="0" w:space="0" w:color="auto"/>
      </w:divBdr>
    </w:div>
    <w:div w:id="512575328">
      <w:bodyDiv w:val="1"/>
      <w:marLeft w:val="0"/>
      <w:marRight w:val="0"/>
      <w:marTop w:val="0"/>
      <w:marBottom w:val="0"/>
      <w:divBdr>
        <w:top w:val="none" w:sz="0" w:space="0" w:color="auto"/>
        <w:left w:val="none" w:sz="0" w:space="0" w:color="auto"/>
        <w:bottom w:val="none" w:sz="0" w:space="0" w:color="auto"/>
        <w:right w:val="none" w:sz="0" w:space="0" w:color="auto"/>
      </w:divBdr>
    </w:div>
    <w:div w:id="531497192">
      <w:bodyDiv w:val="1"/>
      <w:marLeft w:val="0"/>
      <w:marRight w:val="0"/>
      <w:marTop w:val="0"/>
      <w:marBottom w:val="0"/>
      <w:divBdr>
        <w:top w:val="none" w:sz="0" w:space="0" w:color="auto"/>
        <w:left w:val="none" w:sz="0" w:space="0" w:color="auto"/>
        <w:bottom w:val="none" w:sz="0" w:space="0" w:color="auto"/>
        <w:right w:val="none" w:sz="0" w:space="0" w:color="auto"/>
      </w:divBdr>
    </w:div>
    <w:div w:id="605236239">
      <w:bodyDiv w:val="1"/>
      <w:marLeft w:val="0"/>
      <w:marRight w:val="0"/>
      <w:marTop w:val="0"/>
      <w:marBottom w:val="0"/>
      <w:divBdr>
        <w:top w:val="none" w:sz="0" w:space="0" w:color="auto"/>
        <w:left w:val="none" w:sz="0" w:space="0" w:color="auto"/>
        <w:bottom w:val="none" w:sz="0" w:space="0" w:color="auto"/>
        <w:right w:val="none" w:sz="0" w:space="0" w:color="auto"/>
      </w:divBdr>
    </w:div>
    <w:div w:id="639653006">
      <w:bodyDiv w:val="1"/>
      <w:marLeft w:val="0"/>
      <w:marRight w:val="0"/>
      <w:marTop w:val="0"/>
      <w:marBottom w:val="0"/>
      <w:divBdr>
        <w:top w:val="none" w:sz="0" w:space="0" w:color="auto"/>
        <w:left w:val="none" w:sz="0" w:space="0" w:color="auto"/>
        <w:bottom w:val="none" w:sz="0" w:space="0" w:color="auto"/>
        <w:right w:val="none" w:sz="0" w:space="0" w:color="auto"/>
      </w:divBdr>
    </w:div>
    <w:div w:id="653803113">
      <w:bodyDiv w:val="1"/>
      <w:marLeft w:val="0"/>
      <w:marRight w:val="0"/>
      <w:marTop w:val="0"/>
      <w:marBottom w:val="0"/>
      <w:divBdr>
        <w:top w:val="none" w:sz="0" w:space="0" w:color="auto"/>
        <w:left w:val="none" w:sz="0" w:space="0" w:color="auto"/>
        <w:bottom w:val="none" w:sz="0" w:space="0" w:color="auto"/>
        <w:right w:val="none" w:sz="0" w:space="0" w:color="auto"/>
      </w:divBdr>
    </w:div>
    <w:div w:id="665131483">
      <w:bodyDiv w:val="1"/>
      <w:marLeft w:val="0"/>
      <w:marRight w:val="0"/>
      <w:marTop w:val="0"/>
      <w:marBottom w:val="0"/>
      <w:divBdr>
        <w:top w:val="none" w:sz="0" w:space="0" w:color="auto"/>
        <w:left w:val="none" w:sz="0" w:space="0" w:color="auto"/>
        <w:bottom w:val="none" w:sz="0" w:space="0" w:color="auto"/>
        <w:right w:val="none" w:sz="0" w:space="0" w:color="auto"/>
      </w:divBdr>
    </w:div>
    <w:div w:id="686640966">
      <w:bodyDiv w:val="1"/>
      <w:marLeft w:val="0"/>
      <w:marRight w:val="0"/>
      <w:marTop w:val="0"/>
      <w:marBottom w:val="0"/>
      <w:divBdr>
        <w:top w:val="none" w:sz="0" w:space="0" w:color="auto"/>
        <w:left w:val="none" w:sz="0" w:space="0" w:color="auto"/>
        <w:bottom w:val="none" w:sz="0" w:space="0" w:color="auto"/>
        <w:right w:val="none" w:sz="0" w:space="0" w:color="auto"/>
      </w:divBdr>
    </w:div>
    <w:div w:id="688995225">
      <w:bodyDiv w:val="1"/>
      <w:marLeft w:val="0"/>
      <w:marRight w:val="0"/>
      <w:marTop w:val="0"/>
      <w:marBottom w:val="0"/>
      <w:divBdr>
        <w:top w:val="none" w:sz="0" w:space="0" w:color="auto"/>
        <w:left w:val="none" w:sz="0" w:space="0" w:color="auto"/>
        <w:bottom w:val="none" w:sz="0" w:space="0" w:color="auto"/>
        <w:right w:val="none" w:sz="0" w:space="0" w:color="auto"/>
      </w:divBdr>
    </w:div>
    <w:div w:id="710691001">
      <w:bodyDiv w:val="1"/>
      <w:marLeft w:val="0"/>
      <w:marRight w:val="0"/>
      <w:marTop w:val="0"/>
      <w:marBottom w:val="0"/>
      <w:divBdr>
        <w:top w:val="none" w:sz="0" w:space="0" w:color="auto"/>
        <w:left w:val="none" w:sz="0" w:space="0" w:color="auto"/>
        <w:bottom w:val="none" w:sz="0" w:space="0" w:color="auto"/>
        <w:right w:val="none" w:sz="0" w:space="0" w:color="auto"/>
      </w:divBdr>
    </w:div>
    <w:div w:id="721753843">
      <w:bodyDiv w:val="1"/>
      <w:marLeft w:val="0"/>
      <w:marRight w:val="0"/>
      <w:marTop w:val="0"/>
      <w:marBottom w:val="0"/>
      <w:divBdr>
        <w:top w:val="none" w:sz="0" w:space="0" w:color="auto"/>
        <w:left w:val="none" w:sz="0" w:space="0" w:color="auto"/>
        <w:bottom w:val="none" w:sz="0" w:space="0" w:color="auto"/>
        <w:right w:val="none" w:sz="0" w:space="0" w:color="auto"/>
      </w:divBdr>
    </w:div>
    <w:div w:id="732697563">
      <w:bodyDiv w:val="1"/>
      <w:marLeft w:val="0"/>
      <w:marRight w:val="0"/>
      <w:marTop w:val="0"/>
      <w:marBottom w:val="0"/>
      <w:divBdr>
        <w:top w:val="none" w:sz="0" w:space="0" w:color="auto"/>
        <w:left w:val="none" w:sz="0" w:space="0" w:color="auto"/>
        <w:bottom w:val="none" w:sz="0" w:space="0" w:color="auto"/>
        <w:right w:val="none" w:sz="0" w:space="0" w:color="auto"/>
      </w:divBdr>
    </w:div>
    <w:div w:id="744768628">
      <w:bodyDiv w:val="1"/>
      <w:marLeft w:val="0"/>
      <w:marRight w:val="0"/>
      <w:marTop w:val="0"/>
      <w:marBottom w:val="0"/>
      <w:divBdr>
        <w:top w:val="none" w:sz="0" w:space="0" w:color="auto"/>
        <w:left w:val="none" w:sz="0" w:space="0" w:color="auto"/>
        <w:bottom w:val="none" w:sz="0" w:space="0" w:color="auto"/>
        <w:right w:val="none" w:sz="0" w:space="0" w:color="auto"/>
      </w:divBdr>
    </w:div>
    <w:div w:id="754321959">
      <w:bodyDiv w:val="1"/>
      <w:marLeft w:val="0"/>
      <w:marRight w:val="0"/>
      <w:marTop w:val="0"/>
      <w:marBottom w:val="0"/>
      <w:divBdr>
        <w:top w:val="none" w:sz="0" w:space="0" w:color="auto"/>
        <w:left w:val="none" w:sz="0" w:space="0" w:color="auto"/>
        <w:bottom w:val="none" w:sz="0" w:space="0" w:color="auto"/>
        <w:right w:val="none" w:sz="0" w:space="0" w:color="auto"/>
      </w:divBdr>
    </w:div>
    <w:div w:id="763889869">
      <w:bodyDiv w:val="1"/>
      <w:marLeft w:val="0"/>
      <w:marRight w:val="0"/>
      <w:marTop w:val="0"/>
      <w:marBottom w:val="0"/>
      <w:divBdr>
        <w:top w:val="none" w:sz="0" w:space="0" w:color="auto"/>
        <w:left w:val="none" w:sz="0" w:space="0" w:color="auto"/>
        <w:bottom w:val="none" w:sz="0" w:space="0" w:color="auto"/>
        <w:right w:val="none" w:sz="0" w:space="0" w:color="auto"/>
      </w:divBdr>
    </w:div>
    <w:div w:id="763913530">
      <w:bodyDiv w:val="1"/>
      <w:marLeft w:val="0"/>
      <w:marRight w:val="0"/>
      <w:marTop w:val="0"/>
      <w:marBottom w:val="0"/>
      <w:divBdr>
        <w:top w:val="none" w:sz="0" w:space="0" w:color="auto"/>
        <w:left w:val="none" w:sz="0" w:space="0" w:color="auto"/>
        <w:bottom w:val="none" w:sz="0" w:space="0" w:color="auto"/>
        <w:right w:val="none" w:sz="0" w:space="0" w:color="auto"/>
      </w:divBdr>
    </w:div>
    <w:div w:id="794060528">
      <w:bodyDiv w:val="1"/>
      <w:marLeft w:val="0"/>
      <w:marRight w:val="0"/>
      <w:marTop w:val="0"/>
      <w:marBottom w:val="0"/>
      <w:divBdr>
        <w:top w:val="none" w:sz="0" w:space="0" w:color="auto"/>
        <w:left w:val="none" w:sz="0" w:space="0" w:color="auto"/>
        <w:bottom w:val="none" w:sz="0" w:space="0" w:color="auto"/>
        <w:right w:val="none" w:sz="0" w:space="0" w:color="auto"/>
      </w:divBdr>
    </w:div>
    <w:div w:id="795484402">
      <w:bodyDiv w:val="1"/>
      <w:marLeft w:val="0"/>
      <w:marRight w:val="0"/>
      <w:marTop w:val="0"/>
      <w:marBottom w:val="0"/>
      <w:divBdr>
        <w:top w:val="none" w:sz="0" w:space="0" w:color="auto"/>
        <w:left w:val="none" w:sz="0" w:space="0" w:color="auto"/>
        <w:bottom w:val="none" w:sz="0" w:space="0" w:color="auto"/>
        <w:right w:val="none" w:sz="0" w:space="0" w:color="auto"/>
      </w:divBdr>
    </w:div>
    <w:div w:id="797383702">
      <w:bodyDiv w:val="1"/>
      <w:marLeft w:val="0"/>
      <w:marRight w:val="0"/>
      <w:marTop w:val="0"/>
      <w:marBottom w:val="0"/>
      <w:divBdr>
        <w:top w:val="none" w:sz="0" w:space="0" w:color="auto"/>
        <w:left w:val="none" w:sz="0" w:space="0" w:color="auto"/>
        <w:bottom w:val="none" w:sz="0" w:space="0" w:color="auto"/>
        <w:right w:val="none" w:sz="0" w:space="0" w:color="auto"/>
      </w:divBdr>
    </w:div>
    <w:div w:id="802890108">
      <w:bodyDiv w:val="1"/>
      <w:marLeft w:val="0"/>
      <w:marRight w:val="0"/>
      <w:marTop w:val="0"/>
      <w:marBottom w:val="0"/>
      <w:divBdr>
        <w:top w:val="none" w:sz="0" w:space="0" w:color="auto"/>
        <w:left w:val="none" w:sz="0" w:space="0" w:color="auto"/>
        <w:bottom w:val="none" w:sz="0" w:space="0" w:color="auto"/>
        <w:right w:val="none" w:sz="0" w:space="0" w:color="auto"/>
      </w:divBdr>
    </w:div>
    <w:div w:id="836044895">
      <w:bodyDiv w:val="1"/>
      <w:marLeft w:val="0"/>
      <w:marRight w:val="0"/>
      <w:marTop w:val="0"/>
      <w:marBottom w:val="0"/>
      <w:divBdr>
        <w:top w:val="none" w:sz="0" w:space="0" w:color="auto"/>
        <w:left w:val="none" w:sz="0" w:space="0" w:color="auto"/>
        <w:bottom w:val="none" w:sz="0" w:space="0" w:color="auto"/>
        <w:right w:val="none" w:sz="0" w:space="0" w:color="auto"/>
      </w:divBdr>
      <w:divsChild>
        <w:div w:id="102923007">
          <w:marLeft w:val="0"/>
          <w:marRight w:val="0"/>
          <w:marTop w:val="0"/>
          <w:marBottom w:val="0"/>
          <w:divBdr>
            <w:top w:val="none" w:sz="0" w:space="0" w:color="auto"/>
            <w:left w:val="none" w:sz="0" w:space="0" w:color="auto"/>
            <w:bottom w:val="none" w:sz="0" w:space="0" w:color="auto"/>
            <w:right w:val="none" w:sz="0" w:space="0" w:color="auto"/>
          </w:divBdr>
        </w:div>
      </w:divsChild>
    </w:div>
    <w:div w:id="839849433">
      <w:bodyDiv w:val="1"/>
      <w:marLeft w:val="0"/>
      <w:marRight w:val="0"/>
      <w:marTop w:val="0"/>
      <w:marBottom w:val="0"/>
      <w:divBdr>
        <w:top w:val="none" w:sz="0" w:space="0" w:color="auto"/>
        <w:left w:val="none" w:sz="0" w:space="0" w:color="auto"/>
        <w:bottom w:val="none" w:sz="0" w:space="0" w:color="auto"/>
        <w:right w:val="none" w:sz="0" w:space="0" w:color="auto"/>
      </w:divBdr>
    </w:div>
    <w:div w:id="854687466">
      <w:bodyDiv w:val="1"/>
      <w:marLeft w:val="0"/>
      <w:marRight w:val="0"/>
      <w:marTop w:val="0"/>
      <w:marBottom w:val="0"/>
      <w:divBdr>
        <w:top w:val="none" w:sz="0" w:space="0" w:color="auto"/>
        <w:left w:val="none" w:sz="0" w:space="0" w:color="auto"/>
        <w:bottom w:val="none" w:sz="0" w:space="0" w:color="auto"/>
        <w:right w:val="none" w:sz="0" w:space="0" w:color="auto"/>
      </w:divBdr>
    </w:div>
    <w:div w:id="855926603">
      <w:bodyDiv w:val="1"/>
      <w:marLeft w:val="0"/>
      <w:marRight w:val="0"/>
      <w:marTop w:val="0"/>
      <w:marBottom w:val="0"/>
      <w:divBdr>
        <w:top w:val="none" w:sz="0" w:space="0" w:color="auto"/>
        <w:left w:val="none" w:sz="0" w:space="0" w:color="auto"/>
        <w:bottom w:val="none" w:sz="0" w:space="0" w:color="auto"/>
        <w:right w:val="none" w:sz="0" w:space="0" w:color="auto"/>
      </w:divBdr>
    </w:div>
    <w:div w:id="873034650">
      <w:bodyDiv w:val="1"/>
      <w:marLeft w:val="0"/>
      <w:marRight w:val="0"/>
      <w:marTop w:val="0"/>
      <w:marBottom w:val="0"/>
      <w:divBdr>
        <w:top w:val="none" w:sz="0" w:space="0" w:color="auto"/>
        <w:left w:val="none" w:sz="0" w:space="0" w:color="auto"/>
        <w:bottom w:val="none" w:sz="0" w:space="0" w:color="auto"/>
        <w:right w:val="none" w:sz="0" w:space="0" w:color="auto"/>
      </w:divBdr>
    </w:div>
    <w:div w:id="895505661">
      <w:bodyDiv w:val="1"/>
      <w:marLeft w:val="0"/>
      <w:marRight w:val="0"/>
      <w:marTop w:val="0"/>
      <w:marBottom w:val="0"/>
      <w:divBdr>
        <w:top w:val="none" w:sz="0" w:space="0" w:color="auto"/>
        <w:left w:val="none" w:sz="0" w:space="0" w:color="auto"/>
        <w:bottom w:val="none" w:sz="0" w:space="0" w:color="auto"/>
        <w:right w:val="none" w:sz="0" w:space="0" w:color="auto"/>
      </w:divBdr>
    </w:div>
    <w:div w:id="914631166">
      <w:bodyDiv w:val="1"/>
      <w:marLeft w:val="0"/>
      <w:marRight w:val="0"/>
      <w:marTop w:val="0"/>
      <w:marBottom w:val="0"/>
      <w:divBdr>
        <w:top w:val="none" w:sz="0" w:space="0" w:color="auto"/>
        <w:left w:val="none" w:sz="0" w:space="0" w:color="auto"/>
        <w:bottom w:val="none" w:sz="0" w:space="0" w:color="auto"/>
        <w:right w:val="none" w:sz="0" w:space="0" w:color="auto"/>
      </w:divBdr>
    </w:div>
    <w:div w:id="917329943">
      <w:bodyDiv w:val="1"/>
      <w:marLeft w:val="0"/>
      <w:marRight w:val="0"/>
      <w:marTop w:val="0"/>
      <w:marBottom w:val="0"/>
      <w:divBdr>
        <w:top w:val="none" w:sz="0" w:space="0" w:color="auto"/>
        <w:left w:val="none" w:sz="0" w:space="0" w:color="auto"/>
        <w:bottom w:val="none" w:sz="0" w:space="0" w:color="auto"/>
        <w:right w:val="none" w:sz="0" w:space="0" w:color="auto"/>
      </w:divBdr>
    </w:div>
    <w:div w:id="924654548">
      <w:bodyDiv w:val="1"/>
      <w:marLeft w:val="0"/>
      <w:marRight w:val="0"/>
      <w:marTop w:val="0"/>
      <w:marBottom w:val="0"/>
      <w:divBdr>
        <w:top w:val="none" w:sz="0" w:space="0" w:color="auto"/>
        <w:left w:val="none" w:sz="0" w:space="0" w:color="auto"/>
        <w:bottom w:val="none" w:sz="0" w:space="0" w:color="auto"/>
        <w:right w:val="none" w:sz="0" w:space="0" w:color="auto"/>
      </w:divBdr>
    </w:div>
    <w:div w:id="940726373">
      <w:bodyDiv w:val="1"/>
      <w:marLeft w:val="0"/>
      <w:marRight w:val="0"/>
      <w:marTop w:val="0"/>
      <w:marBottom w:val="0"/>
      <w:divBdr>
        <w:top w:val="none" w:sz="0" w:space="0" w:color="auto"/>
        <w:left w:val="none" w:sz="0" w:space="0" w:color="auto"/>
        <w:bottom w:val="none" w:sz="0" w:space="0" w:color="auto"/>
        <w:right w:val="none" w:sz="0" w:space="0" w:color="auto"/>
      </w:divBdr>
    </w:div>
    <w:div w:id="942415098">
      <w:bodyDiv w:val="1"/>
      <w:marLeft w:val="0"/>
      <w:marRight w:val="0"/>
      <w:marTop w:val="0"/>
      <w:marBottom w:val="0"/>
      <w:divBdr>
        <w:top w:val="none" w:sz="0" w:space="0" w:color="auto"/>
        <w:left w:val="none" w:sz="0" w:space="0" w:color="auto"/>
        <w:bottom w:val="none" w:sz="0" w:space="0" w:color="auto"/>
        <w:right w:val="none" w:sz="0" w:space="0" w:color="auto"/>
      </w:divBdr>
    </w:div>
    <w:div w:id="943416677">
      <w:bodyDiv w:val="1"/>
      <w:marLeft w:val="0"/>
      <w:marRight w:val="0"/>
      <w:marTop w:val="0"/>
      <w:marBottom w:val="0"/>
      <w:divBdr>
        <w:top w:val="none" w:sz="0" w:space="0" w:color="auto"/>
        <w:left w:val="none" w:sz="0" w:space="0" w:color="auto"/>
        <w:bottom w:val="none" w:sz="0" w:space="0" w:color="auto"/>
        <w:right w:val="none" w:sz="0" w:space="0" w:color="auto"/>
      </w:divBdr>
    </w:div>
    <w:div w:id="946083773">
      <w:bodyDiv w:val="1"/>
      <w:marLeft w:val="0"/>
      <w:marRight w:val="0"/>
      <w:marTop w:val="0"/>
      <w:marBottom w:val="0"/>
      <w:divBdr>
        <w:top w:val="none" w:sz="0" w:space="0" w:color="auto"/>
        <w:left w:val="none" w:sz="0" w:space="0" w:color="auto"/>
        <w:bottom w:val="none" w:sz="0" w:space="0" w:color="auto"/>
        <w:right w:val="none" w:sz="0" w:space="0" w:color="auto"/>
      </w:divBdr>
    </w:div>
    <w:div w:id="957176439">
      <w:bodyDiv w:val="1"/>
      <w:marLeft w:val="0"/>
      <w:marRight w:val="0"/>
      <w:marTop w:val="0"/>
      <w:marBottom w:val="0"/>
      <w:divBdr>
        <w:top w:val="none" w:sz="0" w:space="0" w:color="auto"/>
        <w:left w:val="none" w:sz="0" w:space="0" w:color="auto"/>
        <w:bottom w:val="none" w:sz="0" w:space="0" w:color="auto"/>
        <w:right w:val="none" w:sz="0" w:space="0" w:color="auto"/>
      </w:divBdr>
    </w:div>
    <w:div w:id="976572821">
      <w:bodyDiv w:val="1"/>
      <w:marLeft w:val="0"/>
      <w:marRight w:val="0"/>
      <w:marTop w:val="0"/>
      <w:marBottom w:val="0"/>
      <w:divBdr>
        <w:top w:val="none" w:sz="0" w:space="0" w:color="auto"/>
        <w:left w:val="none" w:sz="0" w:space="0" w:color="auto"/>
        <w:bottom w:val="none" w:sz="0" w:space="0" w:color="auto"/>
        <w:right w:val="none" w:sz="0" w:space="0" w:color="auto"/>
      </w:divBdr>
    </w:div>
    <w:div w:id="1001275005">
      <w:bodyDiv w:val="1"/>
      <w:marLeft w:val="0"/>
      <w:marRight w:val="0"/>
      <w:marTop w:val="0"/>
      <w:marBottom w:val="0"/>
      <w:divBdr>
        <w:top w:val="none" w:sz="0" w:space="0" w:color="auto"/>
        <w:left w:val="none" w:sz="0" w:space="0" w:color="auto"/>
        <w:bottom w:val="none" w:sz="0" w:space="0" w:color="auto"/>
        <w:right w:val="none" w:sz="0" w:space="0" w:color="auto"/>
      </w:divBdr>
    </w:div>
    <w:div w:id="1019234356">
      <w:bodyDiv w:val="1"/>
      <w:marLeft w:val="0"/>
      <w:marRight w:val="0"/>
      <w:marTop w:val="0"/>
      <w:marBottom w:val="0"/>
      <w:divBdr>
        <w:top w:val="none" w:sz="0" w:space="0" w:color="auto"/>
        <w:left w:val="none" w:sz="0" w:space="0" w:color="auto"/>
        <w:bottom w:val="none" w:sz="0" w:space="0" w:color="auto"/>
        <w:right w:val="none" w:sz="0" w:space="0" w:color="auto"/>
      </w:divBdr>
    </w:div>
    <w:div w:id="1023088380">
      <w:bodyDiv w:val="1"/>
      <w:marLeft w:val="0"/>
      <w:marRight w:val="0"/>
      <w:marTop w:val="0"/>
      <w:marBottom w:val="0"/>
      <w:divBdr>
        <w:top w:val="none" w:sz="0" w:space="0" w:color="auto"/>
        <w:left w:val="none" w:sz="0" w:space="0" w:color="auto"/>
        <w:bottom w:val="none" w:sz="0" w:space="0" w:color="auto"/>
        <w:right w:val="none" w:sz="0" w:space="0" w:color="auto"/>
      </w:divBdr>
    </w:div>
    <w:div w:id="1024670187">
      <w:bodyDiv w:val="1"/>
      <w:marLeft w:val="0"/>
      <w:marRight w:val="0"/>
      <w:marTop w:val="0"/>
      <w:marBottom w:val="0"/>
      <w:divBdr>
        <w:top w:val="none" w:sz="0" w:space="0" w:color="auto"/>
        <w:left w:val="none" w:sz="0" w:space="0" w:color="auto"/>
        <w:bottom w:val="none" w:sz="0" w:space="0" w:color="auto"/>
        <w:right w:val="none" w:sz="0" w:space="0" w:color="auto"/>
      </w:divBdr>
    </w:div>
    <w:div w:id="1025867604">
      <w:bodyDiv w:val="1"/>
      <w:marLeft w:val="0"/>
      <w:marRight w:val="0"/>
      <w:marTop w:val="0"/>
      <w:marBottom w:val="0"/>
      <w:divBdr>
        <w:top w:val="none" w:sz="0" w:space="0" w:color="auto"/>
        <w:left w:val="none" w:sz="0" w:space="0" w:color="auto"/>
        <w:bottom w:val="none" w:sz="0" w:space="0" w:color="auto"/>
        <w:right w:val="none" w:sz="0" w:space="0" w:color="auto"/>
      </w:divBdr>
    </w:div>
    <w:div w:id="1063211529">
      <w:bodyDiv w:val="1"/>
      <w:marLeft w:val="0"/>
      <w:marRight w:val="0"/>
      <w:marTop w:val="0"/>
      <w:marBottom w:val="0"/>
      <w:divBdr>
        <w:top w:val="none" w:sz="0" w:space="0" w:color="auto"/>
        <w:left w:val="none" w:sz="0" w:space="0" w:color="auto"/>
        <w:bottom w:val="none" w:sz="0" w:space="0" w:color="auto"/>
        <w:right w:val="none" w:sz="0" w:space="0" w:color="auto"/>
      </w:divBdr>
    </w:div>
    <w:div w:id="1073964631">
      <w:bodyDiv w:val="1"/>
      <w:marLeft w:val="0"/>
      <w:marRight w:val="0"/>
      <w:marTop w:val="0"/>
      <w:marBottom w:val="0"/>
      <w:divBdr>
        <w:top w:val="none" w:sz="0" w:space="0" w:color="auto"/>
        <w:left w:val="none" w:sz="0" w:space="0" w:color="auto"/>
        <w:bottom w:val="none" w:sz="0" w:space="0" w:color="auto"/>
        <w:right w:val="none" w:sz="0" w:space="0" w:color="auto"/>
      </w:divBdr>
    </w:div>
    <w:div w:id="1085767126">
      <w:bodyDiv w:val="1"/>
      <w:marLeft w:val="0"/>
      <w:marRight w:val="0"/>
      <w:marTop w:val="0"/>
      <w:marBottom w:val="0"/>
      <w:divBdr>
        <w:top w:val="none" w:sz="0" w:space="0" w:color="auto"/>
        <w:left w:val="none" w:sz="0" w:space="0" w:color="auto"/>
        <w:bottom w:val="none" w:sz="0" w:space="0" w:color="auto"/>
        <w:right w:val="none" w:sz="0" w:space="0" w:color="auto"/>
      </w:divBdr>
    </w:div>
    <w:div w:id="1093820325">
      <w:bodyDiv w:val="1"/>
      <w:marLeft w:val="0"/>
      <w:marRight w:val="0"/>
      <w:marTop w:val="0"/>
      <w:marBottom w:val="0"/>
      <w:divBdr>
        <w:top w:val="none" w:sz="0" w:space="0" w:color="auto"/>
        <w:left w:val="none" w:sz="0" w:space="0" w:color="auto"/>
        <w:bottom w:val="none" w:sz="0" w:space="0" w:color="auto"/>
        <w:right w:val="none" w:sz="0" w:space="0" w:color="auto"/>
      </w:divBdr>
    </w:div>
    <w:div w:id="1107694358">
      <w:bodyDiv w:val="1"/>
      <w:marLeft w:val="0"/>
      <w:marRight w:val="0"/>
      <w:marTop w:val="0"/>
      <w:marBottom w:val="0"/>
      <w:divBdr>
        <w:top w:val="none" w:sz="0" w:space="0" w:color="auto"/>
        <w:left w:val="none" w:sz="0" w:space="0" w:color="auto"/>
        <w:bottom w:val="none" w:sz="0" w:space="0" w:color="auto"/>
        <w:right w:val="none" w:sz="0" w:space="0" w:color="auto"/>
      </w:divBdr>
    </w:div>
    <w:div w:id="1115636971">
      <w:bodyDiv w:val="1"/>
      <w:marLeft w:val="0"/>
      <w:marRight w:val="0"/>
      <w:marTop w:val="0"/>
      <w:marBottom w:val="0"/>
      <w:divBdr>
        <w:top w:val="none" w:sz="0" w:space="0" w:color="auto"/>
        <w:left w:val="none" w:sz="0" w:space="0" w:color="auto"/>
        <w:bottom w:val="none" w:sz="0" w:space="0" w:color="auto"/>
        <w:right w:val="none" w:sz="0" w:space="0" w:color="auto"/>
      </w:divBdr>
    </w:div>
    <w:div w:id="1116408699">
      <w:bodyDiv w:val="1"/>
      <w:marLeft w:val="0"/>
      <w:marRight w:val="0"/>
      <w:marTop w:val="0"/>
      <w:marBottom w:val="0"/>
      <w:divBdr>
        <w:top w:val="none" w:sz="0" w:space="0" w:color="auto"/>
        <w:left w:val="none" w:sz="0" w:space="0" w:color="auto"/>
        <w:bottom w:val="none" w:sz="0" w:space="0" w:color="auto"/>
        <w:right w:val="none" w:sz="0" w:space="0" w:color="auto"/>
      </w:divBdr>
    </w:div>
    <w:div w:id="1120076665">
      <w:bodyDiv w:val="1"/>
      <w:marLeft w:val="0"/>
      <w:marRight w:val="0"/>
      <w:marTop w:val="0"/>
      <w:marBottom w:val="0"/>
      <w:divBdr>
        <w:top w:val="none" w:sz="0" w:space="0" w:color="auto"/>
        <w:left w:val="none" w:sz="0" w:space="0" w:color="auto"/>
        <w:bottom w:val="none" w:sz="0" w:space="0" w:color="auto"/>
        <w:right w:val="none" w:sz="0" w:space="0" w:color="auto"/>
      </w:divBdr>
    </w:div>
    <w:div w:id="1124033188">
      <w:bodyDiv w:val="1"/>
      <w:marLeft w:val="0"/>
      <w:marRight w:val="0"/>
      <w:marTop w:val="0"/>
      <w:marBottom w:val="0"/>
      <w:divBdr>
        <w:top w:val="none" w:sz="0" w:space="0" w:color="auto"/>
        <w:left w:val="none" w:sz="0" w:space="0" w:color="auto"/>
        <w:bottom w:val="none" w:sz="0" w:space="0" w:color="auto"/>
        <w:right w:val="none" w:sz="0" w:space="0" w:color="auto"/>
      </w:divBdr>
    </w:div>
    <w:div w:id="1166364541">
      <w:bodyDiv w:val="1"/>
      <w:marLeft w:val="0"/>
      <w:marRight w:val="0"/>
      <w:marTop w:val="0"/>
      <w:marBottom w:val="0"/>
      <w:divBdr>
        <w:top w:val="none" w:sz="0" w:space="0" w:color="auto"/>
        <w:left w:val="none" w:sz="0" w:space="0" w:color="auto"/>
        <w:bottom w:val="none" w:sz="0" w:space="0" w:color="auto"/>
        <w:right w:val="none" w:sz="0" w:space="0" w:color="auto"/>
      </w:divBdr>
    </w:div>
    <w:div w:id="1175606277">
      <w:bodyDiv w:val="1"/>
      <w:marLeft w:val="0"/>
      <w:marRight w:val="0"/>
      <w:marTop w:val="0"/>
      <w:marBottom w:val="0"/>
      <w:divBdr>
        <w:top w:val="none" w:sz="0" w:space="0" w:color="auto"/>
        <w:left w:val="none" w:sz="0" w:space="0" w:color="auto"/>
        <w:bottom w:val="none" w:sz="0" w:space="0" w:color="auto"/>
        <w:right w:val="none" w:sz="0" w:space="0" w:color="auto"/>
      </w:divBdr>
    </w:div>
    <w:div w:id="1192915173">
      <w:bodyDiv w:val="1"/>
      <w:marLeft w:val="0"/>
      <w:marRight w:val="0"/>
      <w:marTop w:val="0"/>
      <w:marBottom w:val="0"/>
      <w:divBdr>
        <w:top w:val="none" w:sz="0" w:space="0" w:color="auto"/>
        <w:left w:val="none" w:sz="0" w:space="0" w:color="auto"/>
        <w:bottom w:val="none" w:sz="0" w:space="0" w:color="auto"/>
        <w:right w:val="none" w:sz="0" w:space="0" w:color="auto"/>
      </w:divBdr>
    </w:div>
    <w:div w:id="1230454928">
      <w:bodyDiv w:val="1"/>
      <w:marLeft w:val="0"/>
      <w:marRight w:val="0"/>
      <w:marTop w:val="0"/>
      <w:marBottom w:val="0"/>
      <w:divBdr>
        <w:top w:val="none" w:sz="0" w:space="0" w:color="auto"/>
        <w:left w:val="none" w:sz="0" w:space="0" w:color="auto"/>
        <w:bottom w:val="none" w:sz="0" w:space="0" w:color="auto"/>
        <w:right w:val="none" w:sz="0" w:space="0" w:color="auto"/>
      </w:divBdr>
    </w:div>
    <w:div w:id="1264918374">
      <w:bodyDiv w:val="1"/>
      <w:marLeft w:val="0"/>
      <w:marRight w:val="0"/>
      <w:marTop w:val="0"/>
      <w:marBottom w:val="0"/>
      <w:divBdr>
        <w:top w:val="none" w:sz="0" w:space="0" w:color="auto"/>
        <w:left w:val="none" w:sz="0" w:space="0" w:color="auto"/>
        <w:bottom w:val="none" w:sz="0" w:space="0" w:color="auto"/>
        <w:right w:val="none" w:sz="0" w:space="0" w:color="auto"/>
      </w:divBdr>
    </w:div>
    <w:div w:id="1308437004">
      <w:bodyDiv w:val="1"/>
      <w:marLeft w:val="0"/>
      <w:marRight w:val="0"/>
      <w:marTop w:val="0"/>
      <w:marBottom w:val="0"/>
      <w:divBdr>
        <w:top w:val="none" w:sz="0" w:space="0" w:color="auto"/>
        <w:left w:val="none" w:sz="0" w:space="0" w:color="auto"/>
        <w:bottom w:val="none" w:sz="0" w:space="0" w:color="auto"/>
        <w:right w:val="none" w:sz="0" w:space="0" w:color="auto"/>
      </w:divBdr>
    </w:div>
    <w:div w:id="1373966700">
      <w:bodyDiv w:val="1"/>
      <w:marLeft w:val="0"/>
      <w:marRight w:val="0"/>
      <w:marTop w:val="0"/>
      <w:marBottom w:val="0"/>
      <w:divBdr>
        <w:top w:val="none" w:sz="0" w:space="0" w:color="auto"/>
        <w:left w:val="none" w:sz="0" w:space="0" w:color="auto"/>
        <w:bottom w:val="none" w:sz="0" w:space="0" w:color="auto"/>
        <w:right w:val="none" w:sz="0" w:space="0" w:color="auto"/>
      </w:divBdr>
    </w:div>
    <w:div w:id="1400901943">
      <w:bodyDiv w:val="1"/>
      <w:marLeft w:val="0"/>
      <w:marRight w:val="0"/>
      <w:marTop w:val="0"/>
      <w:marBottom w:val="0"/>
      <w:divBdr>
        <w:top w:val="none" w:sz="0" w:space="0" w:color="auto"/>
        <w:left w:val="none" w:sz="0" w:space="0" w:color="auto"/>
        <w:bottom w:val="none" w:sz="0" w:space="0" w:color="auto"/>
        <w:right w:val="none" w:sz="0" w:space="0" w:color="auto"/>
      </w:divBdr>
    </w:div>
    <w:div w:id="1416438077">
      <w:bodyDiv w:val="1"/>
      <w:marLeft w:val="0"/>
      <w:marRight w:val="0"/>
      <w:marTop w:val="0"/>
      <w:marBottom w:val="0"/>
      <w:divBdr>
        <w:top w:val="none" w:sz="0" w:space="0" w:color="auto"/>
        <w:left w:val="none" w:sz="0" w:space="0" w:color="auto"/>
        <w:bottom w:val="none" w:sz="0" w:space="0" w:color="auto"/>
        <w:right w:val="none" w:sz="0" w:space="0" w:color="auto"/>
      </w:divBdr>
    </w:div>
    <w:div w:id="1424767703">
      <w:bodyDiv w:val="1"/>
      <w:marLeft w:val="0"/>
      <w:marRight w:val="0"/>
      <w:marTop w:val="0"/>
      <w:marBottom w:val="0"/>
      <w:divBdr>
        <w:top w:val="none" w:sz="0" w:space="0" w:color="auto"/>
        <w:left w:val="none" w:sz="0" w:space="0" w:color="auto"/>
        <w:bottom w:val="none" w:sz="0" w:space="0" w:color="auto"/>
        <w:right w:val="none" w:sz="0" w:space="0" w:color="auto"/>
      </w:divBdr>
    </w:div>
    <w:div w:id="1442797230">
      <w:bodyDiv w:val="1"/>
      <w:marLeft w:val="0"/>
      <w:marRight w:val="0"/>
      <w:marTop w:val="0"/>
      <w:marBottom w:val="0"/>
      <w:divBdr>
        <w:top w:val="none" w:sz="0" w:space="0" w:color="auto"/>
        <w:left w:val="none" w:sz="0" w:space="0" w:color="auto"/>
        <w:bottom w:val="none" w:sz="0" w:space="0" w:color="auto"/>
        <w:right w:val="none" w:sz="0" w:space="0" w:color="auto"/>
      </w:divBdr>
    </w:div>
    <w:div w:id="1444348926">
      <w:bodyDiv w:val="1"/>
      <w:marLeft w:val="0"/>
      <w:marRight w:val="0"/>
      <w:marTop w:val="0"/>
      <w:marBottom w:val="0"/>
      <w:divBdr>
        <w:top w:val="none" w:sz="0" w:space="0" w:color="auto"/>
        <w:left w:val="none" w:sz="0" w:space="0" w:color="auto"/>
        <w:bottom w:val="none" w:sz="0" w:space="0" w:color="auto"/>
        <w:right w:val="none" w:sz="0" w:space="0" w:color="auto"/>
      </w:divBdr>
    </w:div>
    <w:div w:id="1471358973">
      <w:bodyDiv w:val="1"/>
      <w:marLeft w:val="0"/>
      <w:marRight w:val="0"/>
      <w:marTop w:val="0"/>
      <w:marBottom w:val="0"/>
      <w:divBdr>
        <w:top w:val="none" w:sz="0" w:space="0" w:color="auto"/>
        <w:left w:val="none" w:sz="0" w:space="0" w:color="auto"/>
        <w:bottom w:val="none" w:sz="0" w:space="0" w:color="auto"/>
        <w:right w:val="none" w:sz="0" w:space="0" w:color="auto"/>
      </w:divBdr>
    </w:div>
    <w:div w:id="1471828325">
      <w:bodyDiv w:val="1"/>
      <w:marLeft w:val="0"/>
      <w:marRight w:val="0"/>
      <w:marTop w:val="0"/>
      <w:marBottom w:val="0"/>
      <w:divBdr>
        <w:top w:val="none" w:sz="0" w:space="0" w:color="auto"/>
        <w:left w:val="none" w:sz="0" w:space="0" w:color="auto"/>
        <w:bottom w:val="none" w:sz="0" w:space="0" w:color="auto"/>
        <w:right w:val="none" w:sz="0" w:space="0" w:color="auto"/>
      </w:divBdr>
    </w:div>
    <w:div w:id="1475832507">
      <w:bodyDiv w:val="1"/>
      <w:marLeft w:val="0"/>
      <w:marRight w:val="0"/>
      <w:marTop w:val="0"/>
      <w:marBottom w:val="0"/>
      <w:divBdr>
        <w:top w:val="none" w:sz="0" w:space="0" w:color="auto"/>
        <w:left w:val="none" w:sz="0" w:space="0" w:color="auto"/>
        <w:bottom w:val="none" w:sz="0" w:space="0" w:color="auto"/>
        <w:right w:val="none" w:sz="0" w:space="0" w:color="auto"/>
      </w:divBdr>
    </w:div>
    <w:div w:id="1512260682">
      <w:bodyDiv w:val="1"/>
      <w:marLeft w:val="0"/>
      <w:marRight w:val="0"/>
      <w:marTop w:val="0"/>
      <w:marBottom w:val="0"/>
      <w:divBdr>
        <w:top w:val="none" w:sz="0" w:space="0" w:color="auto"/>
        <w:left w:val="none" w:sz="0" w:space="0" w:color="auto"/>
        <w:bottom w:val="none" w:sz="0" w:space="0" w:color="auto"/>
        <w:right w:val="none" w:sz="0" w:space="0" w:color="auto"/>
      </w:divBdr>
    </w:div>
    <w:div w:id="1529874436">
      <w:bodyDiv w:val="1"/>
      <w:marLeft w:val="0"/>
      <w:marRight w:val="0"/>
      <w:marTop w:val="0"/>
      <w:marBottom w:val="0"/>
      <w:divBdr>
        <w:top w:val="none" w:sz="0" w:space="0" w:color="auto"/>
        <w:left w:val="none" w:sz="0" w:space="0" w:color="auto"/>
        <w:bottom w:val="none" w:sz="0" w:space="0" w:color="auto"/>
        <w:right w:val="none" w:sz="0" w:space="0" w:color="auto"/>
      </w:divBdr>
    </w:div>
    <w:div w:id="1533498911">
      <w:bodyDiv w:val="1"/>
      <w:marLeft w:val="0"/>
      <w:marRight w:val="0"/>
      <w:marTop w:val="0"/>
      <w:marBottom w:val="0"/>
      <w:divBdr>
        <w:top w:val="none" w:sz="0" w:space="0" w:color="auto"/>
        <w:left w:val="none" w:sz="0" w:space="0" w:color="auto"/>
        <w:bottom w:val="none" w:sz="0" w:space="0" w:color="auto"/>
        <w:right w:val="none" w:sz="0" w:space="0" w:color="auto"/>
      </w:divBdr>
    </w:div>
    <w:div w:id="1544563799">
      <w:bodyDiv w:val="1"/>
      <w:marLeft w:val="0"/>
      <w:marRight w:val="0"/>
      <w:marTop w:val="0"/>
      <w:marBottom w:val="0"/>
      <w:divBdr>
        <w:top w:val="none" w:sz="0" w:space="0" w:color="auto"/>
        <w:left w:val="none" w:sz="0" w:space="0" w:color="auto"/>
        <w:bottom w:val="none" w:sz="0" w:space="0" w:color="auto"/>
        <w:right w:val="none" w:sz="0" w:space="0" w:color="auto"/>
      </w:divBdr>
    </w:div>
    <w:div w:id="1554848581">
      <w:bodyDiv w:val="1"/>
      <w:marLeft w:val="0"/>
      <w:marRight w:val="0"/>
      <w:marTop w:val="0"/>
      <w:marBottom w:val="0"/>
      <w:divBdr>
        <w:top w:val="none" w:sz="0" w:space="0" w:color="auto"/>
        <w:left w:val="none" w:sz="0" w:space="0" w:color="auto"/>
        <w:bottom w:val="none" w:sz="0" w:space="0" w:color="auto"/>
        <w:right w:val="none" w:sz="0" w:space="0" w:color="auto"/>
      </w:divBdr>
    </w:div>
    <w:div w:id="1560240045">
      <w:bodyDiv w:val="1"/>
      <w:marLeft w:val="0"/>
      <w:marRight w:val="0"/>
      <w:marTop w:val="0"/>
      <w:marBottom w:val="0"/>
      <w:divBdr>
        <w:top w:val="none" w:sz="0" w:space="0" w:color="auto"/>
        <w:left w:val="none" w:sz="0" w:space="0" w:color="auto"/>
        <w:bottom w:val="none" w:sz="0" w:space="0" w:color="auto"/>
        <w:right w:val="none" w:sz="0" w:space="0" w:color="auto"/>
      </w:divBdr>
    </w:div>
    <w:div w:id="1566724711">
      <w:bodyDiv w:val="1"/>
      <w:marLeft w:val="0"/>
      <w:marRight w:val="0"/>
      <w:marTop w:val="0"/>
      <w:marBottom w:val="0"/>
      <w:divBdr>
        <w:top w:val="none" w:sz="0" w:space="0" w:color="auto"/>
        <w:left w:val="none" w:sz="0" w:space="0" w:color="auto"/>
        <w:bottom w:val="none" w:sz="0" w:space="0" w:color="auto"/>
        <w:right w:val="none" w:sz="0" w:space="0" w:color="auto"/>
      </w:divBdr>
    </w:div>
    <w:div w:id="1573344689">
      <w:bodyDiv w:val="1"/>
      <w:marLeft w:val="0"/>
      <w:marRight w:val="0"/>
      <w:marTop w:val="0"/>
      <w:marBottom w:val="0"/>
      <w:divBdr>
        <w:top w:val="none" w:sz="0" w:space="0" w:color="auto"/>
        <w:left w:val="none" w:sz="0" w:space="0" w:color="auto"/>
        <w:bottom w:val="none" w:sz="0" w:space="0" w:color="auto"/>
        <w:right w:val="none" w:sz="0" w:space="0" w:color="auto"/>
      </w:divBdr>
    </w:div>
    <w:div w:id="1573390192">
      <w:bodyDiv w:val="1"/>
      <w:marLeft w:val="0"/>
      <w:marRight w:val="0"/>
      <w:marTop w:val="0"/>
      <w:marBottom w:val="0"/>
      <w:divBdr>
        <w:top w:val="none" w:sz="0" w:space="0" w:color="auto"/>
        <w:left w:val="none" w:sz="0" w:space="0" w:color="auto"/>
        <w:bottom w:val="none" w:sz="0" w:space="0" w:color="auto"/>
        <w:right w:val="none" w:sz="0" w:space="0" w:color="auto"/>
      </w:divBdr>
    </w:div>
    <w:div w:id="1590968511">
      <w:bodyDiv w:val="1"/>
      <w:marLeft w:val="0"/>
      <w:marRight w:val="0"/>
      <w:marTop w:val="0"/>
      <w:marBottom w:val="0"/>
      <w:divBdr>
        <w:top w:val="none" w:sz="0" w:space="0" w:color="auto"/>
        <w:left w:val="none" w:sz="0" w:space="0" w:color="auto"/>
        <w:bottom w:val="none" w:sz="0" w:space="0" w:color="auto"/>
        <w:right w:val="none" w:sz="0" w:space="0" w:color="auto"/>
      </w:divBdr>
    </w:div>
    <w:div w:id="1597052275">
      <w:bodyDiv w:val="1"/>
      <w:marLeft w:val="0"/>
      <w:marRight w:val="0"/>
      <w:marTop w:val="0"/>
      <w:marBottom w:val="0"/>
      <w:divBdr>
        <w:top w:val="none" w:sz="0" w:space="0" w:color="auto"/>
        <w:left w:val="none" w:sz="0" w:space="0" w:color="auto"/>
        <w:bottom w:val="none" w:sz="0" w:space="0" w:color="auto"/>
        <w:right w:val="none" w:sz="0" w:space="0" w:color="auto"/>
      </w:divBdr>
    </w:div>
    <w:div w:id="1621298834">
      <w:bodyDiv w:val="1"/>
      <w:marLeft w:val="0"/>
      <w:marRight w:val="0"/>
      <w:marTop w:val="0"/>
      <w:marBottom w:val="0"/>
      <w:divBdr>
        <w:top w:val="none" w:sz="0" w:space="0" w:color="auto"/>
        <w:left w:val="none" w:sz="0" w:space="0" w:color="auto"/>
        <w:bottom w:val="none" w:sz="0" w:space="0" w:color="auto"/>
        <w:right w:val="none" w:sz="0" w:space="0" w:color="auto"/>
      </w:divBdr>
    </w:div>
    <w:div w:id="1625041037">
      <w:bodyDiv w:val="1"/>
      <w:marLeft w:val="0"/>
      <w:marRight w:val="0"/>
      <w:marTop w:val="0"/>
      <w:marBottom w:val="0"/>
      <w:divBdr>
        <w:top w:val="none" w:sz="0" w:space="0" w:color="auto"/>
        <w:left w:val="none" w:sz="0" w:space="0" w:color="auto"/>
        <w:bottom w:val="none" w:sz="0" w:space="0" w:color="auto"/>
        <w:right w:val="none" w:sz="0" w:space="0" w:color="auto"/>
      </w:divBdr>
    </w:div>
    <w:div w:id="1638683221">
      <w:bodyDiv w:val="1"/>
      <w:marLeft w:val="0"/>
      <w:marRight w:val="0"/>
      <w:marTop w:val="0"/>
      <w:marBottom w:val="0"/>
      <w:divBdr>
        <w:top w:val="none" w:sz="0" w:space="0" w:color="auto"/>
        <w:left w:val="none" w:sz="0" w:space="0" w:color="auto"/>
        <w:bottom w:val="none" w:sz="0" w:space="0" w:color="auto"/>
        <w:right w:val="none" w:sz="0" w:space="0" w:color="auto"/>
      </w:divBdr>
      <w:divsChild>
        <w:div w:id="711998587">
          <w:marLeft w:val="0"/>
          <w:marRight w:val="0"/>
          <w:marTop w:val="0"/>
          <w:marBottom w:val="0"/>
          <w:divBdr>
            <w:top w:val="none" w:sz="0" w:space="0" w:color="auto"/>
            <w:left w:val="none" w:sz="0" w:space="0" w:color="auto"/>
            <w:bottom w:val="none" w:sz="0" w:space="0" w:color="auto"/>
            <w:right w:val="none" w:sz="0" w:space="0" w:color="auto"/>
          </w:divBdr>
          <w:divsChild>
            <w:div w:id="416485084">
              <w:marLeft w:val="0"/>
              <w:marRight w:val="0"/>
              <w:marTop w:val="0"/>
              <w:marBottom w:val="0"/>
              <w:divBdr>
                <w:top w:val="none" w:sz="0" w:space="0" w:color="auto"/>
                <w:left w:val="none" w:sz="0" w:space="0" w:color="auto"/>
                <w:bottom w:val="none" w:sz="0" w:space="0" w:color="auto"/>
                <w:right w:val="none" w:sz="0" w:space="0" w:color="auto"/>
              </w:divBdr>
              <w:divsChild>
                <w:div w:id="1054818633">
                  <w:marLeft w:val="0"/>
                  <w:marRight w:val="0"/>
                  <w:marTop w:val="0"/>
                  <w:marBottom w:val="0"/>
                  <w:divBdr>
                    <w:top w:val="none" w:sz="0" w:space="0" w:color="auto"/>
                    <w:left w:val="none" w:sz="0" w:space="0" w:color="auto"/>
                    <w:bottom w:val="none" w:sz="0" w:space="0" w:color="auto"/>
                    <w:right w:val="none" w:sz="0" w:space="0" w:color="auto"/>
                  </w:divBdr>
                  <w:divsChild>
                    <w:div w:id="1390765228">
                      <w:marLeft w:val="0"/>
                      <w:marRight w:val="0"/>
                      <w:marTop w:val="0"/>
                      <w:marBottom w:val="0"/>
                      <w:divBdr>
                        <w:top w:val="none" w:sz="0" w:space="0" w:color="auto"/>
                        <w:left w:val="none" w:sz="0" w:space="0" w:color="auto"/>
                        <w:bottom w:val="none" w:sz="0" w:space="0" w:color="auto"/>
                        <w:right w:val="none" w:sz="0" w:space="0" w:color="auto"/>
                      </w:divBdr>
                      <w:divsChild>
                        <w:div w:id="2103256639">
                          <w:marLeft w:val="0"/>
                          <w:marRight w:val="0"/>
                          <w:marTop w:val="0"/>
                          <w:marBottom w:val="0"/>
                          <w:divBdr>
                            <w:top w:val="none" w:sz="0" w:space="0" w:color="auto"/>
                            <w:left w:val="none" w:sz="0" w:space="0" w:color="auto"/>
                            <w:bottom w:val="none" w:sz="0" w:space="0" w:color="auto"/>
                            <w:right w:val="none" w:sz="0" w:space="0" w:color="auto"/>
                          </w:divBdr>
                          <w:divsChild>
                            <w:div w:id="241111268">
                              <w:marLeft w:val="0"/>
                              <w:marRight w:val="0"/>
                              <w:marTop w:val="0"/>
                              <w:marBottom w:val="0"/>
                              <w:divBdr>
                                <w:top w:val="none" w:sz="0" w:space="0" w:color="auto"/>
                                <w:left w:val="none" w:sz="0" w:space="0" w:color="auto"/>
                                <w:bottom w:val="none" w:sz="0" w:space="0" w:color="auto"/>
                                <w:right w:val="none" w:sz="0" w:space="0" w:color="auto"/>
                              </w:divBdr>
                              <w:divsChild>
                                <w:div w:id="2054190312">
                                  <w:marLeft w:val="0"/>
                                  <w:marRight w:val="0"/>
                                  <w:marTop w:val="0"/>
                                  <w:marBottom w:val="0"/>
                                  <w:divBdr>
                                    <w:top w:val="none" w:sz="0" w:space="0" w:color="auto"/>
                                    <w:left w:val="none" w:sz="0" w:space="0" w:color="auto"/>
                                    <w:bottom w:val="none" w:sz="0" w:space="0" w:color="auto"/>
                                    <w:right w:val="none" w:sz="0" w:space="0" w:color="auto"/>
                                  </w:divBdr>
                                  <w:divsChild>
                                    <w:div w:id="1864707358">
                                      <w:marLeft w:val="0"/>
                                      <w:marRight w:val="0"/>
                                      <w:marTop w:val="0"/>
                                      <w:marBottom w:val="0"/>
                                      <w:divBdr>
                                        <w:top w:val="none" w:sz="0" w:space="0" w:color="auto"/>
                                        <w:left w:val="none" w:sz="0" w:space="0" w:color="auto"/>
                                        <w:bottom w:val="none" w:sz="0" w:space="0" w:color="auto"/>
                                        <w:right w:val="none" w:sz="0" w:space="0" w:color="auto"/>
                                      </w:divBdr>
                                      <w:divsChild>
                                        <w:div w:id="1538926274">
                                          <w:marLeft w:val="0"/>
                                          <w:marRight w:val="0"/>
                                          <w:marTop w:val="0"/>
                                          <w:marBottom w:val="0"/>
                                          <w:divBdr>
                                            <w:top w:val="none" w:sz="0" w:space="0" w:color="auto"/>
                                            <w:left w:val="none" w:sz="0" w:space="0" w:color="auto"/>
                                            <w:bottom w:val="none" w:sz="0" w:space="0" w:color="auto"/>
                                            <w:right w:val="none" w:sz="0" w:space="0" w:color="auto"/>
                                          </w:divBdr>
                                          <w:divsChild>
                                            <w:div w:id="1600214681">
                                              <w:marLeft w:val="0"/>
                                              <w:marRight w:val="0"/>
                                              <w:marTop w:val="0"/>
                                              <w:marBottom w:val="0"/>
                                              <w:divBdr>
                                                <w:top w:val="none" w:sz="0" w:space="0" w:color="auto"/>
                                                <w:left w:val="none" w:sz="0" w:space="0" w:color="auto"/>
                                                <w:bottom w:val="none" w:sz="0" w:space="0" w:color="auto"/>
                                                <w:right w:val="none" w:sz="0" w:space="0" w:color="auto"/>
                                              </w:divBdr>
                                              <w:divsChild>
                                                <w:div w:id="1038117454">
                                                  <w:marLeft w:val="0"/>
                                                  <w:marRight w:val="0"/>
                                                  <w:marTop w:val="0"/>
                                                  <w:marBottom w:val="0"/>
                                                  <w:divBdr>
                                                    <w:top w:val="none" w:sz="0" w:space="0" w:color="auto"/>
                                                    <w:left w:val="none" w:sz="0" w:space="0" w:color="auto"/>
                                                    <w:bottom w:val="none" w:sz="0" w:space="0" w:color="auto"/>
                                                    <w:right w:val="none" w:sz="0" w:space="0" w:color="auto"/>
                                                  </w:divBdr>
                                                  <w:divsChild>
                                                    <w:div w:id="1644118409">
                                                      <w:marLeft w:val="0"/>
                                                      <w:marRight w:val="0"/>
                                                      <w:marTop w:val="0"/>
                                                      <w:marBottom w:val="0"/>
                                                      <w:divBdr>
                                                        <w:top w:val="none" w:sz="0" w:space="0" w:color="auto"/>
                                                        <w:left w:val="none" w:sz="0" w:space="0" w:color="auto"/>
                                                        <w:bottom w:val="none" w:sz="0" w:space="0" w:color="auto"/>
                                                        <w:right w:val="none" w:sz="0" w:space="0" w:color="auto"/>
                                                      </w:divBdr>
                                                      <w:divsChild>
                                                        <w:div w:id="1758207505">
                                                          <w:marLeft w:val="0"/>
                                                          <w:marRight w:val="0"/>
                                                          <w:marTop w:val="0"/>
                                                          <w:marBottom w:val="0"/>
                                                          <w:divBdr>
                                                            <w:top w:val="none" w:sz="0" w:space="0" w:color="auto"/>
                                                            <w:left w:val="none" w:sz="0" w:space="0" w:color="auto"/>
                                                            <w:bottom w:val="none" w:sz="0" w:space="0" w:color="auto"/>
                                                            <w:right w:val="none" w:sz="0" w:space="0" w:color="auto"/>
                                                          </w:divBdr>
                                                        </w:div>
                                                        <w:div w:id="1776287901">
                                                          <w:marLeft w:val="0"/>
                                                          <w:marRight w:val="0"/>
                                                          <w:marTop w:val="0"/>
                                                          <w:marBottom w:val="0"/>
                                                          <w:divBdr>
                                                            <w:top w:val="none" w:sz="0" w:space="0" w:color="auto"/>
                                                            <w:left w:val="none" w:sz="0" w:space="0" w:color="auto"/>
                                                            <w:bottom w:val="none" w:sz="0" w:space="0" w:color="auto"/>
                                                            <w:right w:val="none" w:sz="0" w:space="0" w:color="auto"/>
                                                          </w:divBdr>
                                                        </w:div>
                                                        <w:div w:id="1702319634">
                                                          <w:marLeft w:val="0"/>
                                                          <w:marRight w:val="0"/>
                                                          <w:marTop w:val="0"/>
                                                          <w:marBottom w:val="0"/>
                                                          <w:divBdr>
                                                            <w:top w:val="none" w:sz="0" w:space="0" w:color="auto"/>
                                                            <w:left w:val="none" w:sz="0" w:space="0" w:color="auto"/>
                                                            <w:bottom w:val="none" w:sz="0" w:space="0" w:color="auto"/>
                                                            <w:right w:val="none" w:sz="0" w:space="0" w:color="auto"/>
                                                          </w:divBdr>
                                                        </w:div>
                                                        <w:div w:id="410126923">
                                                          <w:marLeft w:val="0"/>
                                                          <w:marRight w:val="0"/>
                                                          <w:marTop w:val="0"/>
                                                          <w:marBottom w:val="0"/>
                                                          <w:divBdr>
                                                            <w:top w:val="none" w:sz="0" w:space="0" w:color="auto"/>
                                                            <w:left w:val="none" w:sz="0" w:space="0" w:color="auto"/>
                                                            <w:bottom w:val="none" w:sz="0" w:space="0" w:color="auto"/>
                                                            <w:right w:val="none" w:sz="0" w:space="0" w:color="auto"/>
                                                          </w:divBdr>
                                                        </w:div>
                                                        <w:div w:id="1279295427">
                                                          <w:marLeft w:val="0"/>
                                                          <w:marRight w:val="0"/>
                                                          <w:marTop w:val="0"/>
                                                          <w:marBottom w:val="0"/>
                                                          <w:divBdr>
                                                            <w:top w:val="none" w:sz="0" w:space="0" w:color="auto"/>
                                                            <w:left w:val="none" w:sz="0" w:space="0" w:color="auto"/>
                                                            <w:bottom w:val="none" w:sz="0" w:space="0" w:color="auto"/>
                                                            <w:right w:val="none" w:sz="0" w:space="0" w:color="auto"/>
                                                          </w:divBdr>
                                                        </w:div>
                                                        <w:div w:id="417530841">
                                                          <w:marLeft w:val="0"/>
                                                          <w:marRight w:val="0"/>
                                                          <w:marTop w:val="0"/>
                                                          <w:marBottom w:val="0"/>
                                                          <w:divBdr>
                                                            <w:top w:val="none" w:sz="0" w:space="0" w:color="auto"/>
                                                            <w:left w:val="none" w:sz="0" w:space="0" w:color="auto"/>
                                                            <w:bottom w:val="none" w:sz="0" w:space="0" w:color="auto"/>
                                                            <w:right w:val="none" w:sz="0" w:space="0" w:color="auto"/>
                                                          </w:divBdr>
                                                        </w:div>
                                                        <w:div w:id="297489965">
                                                          <w:marLeft w:val="0"/>
                                                          <w:marRight w:val="0"/>
                                                          <w:marTop w:val="0"/>
                                                          <w:marBottom w:val="0"/>
                                                          <w:divBdr>
                                                            <w:top w:val="none" w:sz="0" w:space="0" w:color="auto"/>
                                                            <w:left w:val="none" w:sz="0" w:space="0" w:color="auto"/>
                                                            <w:bottom w:val="none" w:sz="0" w:space="0" w:color="auto"/>
                                                            <w:right w:val="none" w:sz="0" w:space="0" w:color="auto"/>
                                                          </w:divBdr>
                                                        </w:div>
                                                        <w:div w:id="431634857">
                                                          <w:marLeft w:val="0"/>
                                                          <w:marRight w:val="0"/>
                                                          <w:marTop w:val="0"/>
                                                          <w:marBottom w:val="0"/>
                                                          <w:divBdr>
                                                            <w:top w:val="none" w:sz="0" w:space="0" w:color="auto"/>
                                                            <w:left w:val="none" w:sz="0" w:space="0" w:color="auto"/>
                                                            <w:bottom w:val="none" w:sz="0" w:space="0" w:color="auto"/>
                                                            <w:right w:val="none" w:sz="0" w:space="0" w:color="auto"/>
                                                          </w:divBdr>
                                                        </w:div>
                                                        <w:div w:id="371540779">
                                                          <w:marLeft w:val="0"/>
                                                          <w:marRight w:val="0"/>
                                                          <w:marTop w:val="0"/>
                                                          <w:marBottom w:val="0"/>
                                                          <w:divBdr>
                                                            <w:top w:val="none" w:sz="0" w:space="0" w:color="auto"/>
                                                            <w:left w:val="none" w:sz="0" w:space="0" w:color="auto"/>
                                                            <w:bottom w:val="none" w:sz="0" w:space="0" w:color="auto"/>
                                                            <w:right w:val="none" w:sz="0" w:space="0" w:color="auto"/>
                                                          </w:divBdr>
                                                        </w:div>
                                                        <w:div w:id="1428773740">
                                                          <w:marLeft w:val="0"/>
                                                          <w:marRight w:val="0"/>
                                                          <w:marTop w:val="0"/>
                                                          <w:marBottom w:val="0"/>
                                                          <w:divBdr>
                                                            <w:top w:val="none" w:sz="0" w:space="0" w:color="auto"/>
                                                            <w:left w:val="none" w:sz="0" w:space="0" w:color="auto"/>
                                                            <w:bottom w:val="none" w:sz="0" w:space="0" w:color="auto"/>
                                                            <w:right w:val="none" w:sz="0" w:space="0" w:color="auto"/>
                                                          </w:divBdr>
                                                        </w:div>
                                                        <w:div w:id="1613439616">
                                                          <w:marLeft w:val="0"/>
                                                          <w:marRight w:val="0"/>
                                                          <w:marTop w:val="0"/>
                                                          <w:marBottom w:val="0"/>
                                                          <w:divBdr>
                                                            <w:top w:val="none" w:sz="0" w:space="0" w:color="auto"/>
                                                            <w:left w:val="none" w:sz="0" w:space="0" w:color="auto"/>
                                                            <w:bottom w:val="none" w:sz="0" w:space="0" w:color="auto"/>
                                                            <w:right w:val="none" w:sz="0" w:space="0" w:color="auto"/>
                                                          </w:divBdr>
                                                        </w:div>
                                                        <w:div w:id="507867257">
                                                          <w:marLeft w:val="0"/>
                                                          <w:marRight w:val="0"/>
                                                          <w:marTop w:val="0"/>
                                                          <w:marBottom w:val="0"/>
                                                          <w:divBdr>
                                                            <w:top w:val="none" w:sz="0" w:space="0" w:color="auto"/>
                                                            <w:left w:val="none" w:sz="0" w:space="0" w:color="auto"/>
                                                            <w:bottom w:val="none" w:sz="0" w:space="0" w:color="auto"/>
                                                            <w:right w:val="none" w:sz="0" w:space="0" w:color="auto"/>
                                                          </w:divBdr>
                                                        </w:div>
                                                        <w:div w:id="123933402">
                                                          <w:marLeft w:val="0"/>
                                                          <w:marRight w:val="0"/>
                                                          <w:marTop w:val="0"/>
                                                          <w:marBottom w:val="0"/>
                                                          <w:divBdr>
                                                            <w:top w:val="none" w:sz="0" w:space="0" w:color="auto"/>
                                                            <w:left w:val="none" w:sz="0" w:space="0" w:color="auto"/>
                                                            <w:bottom w:val="none" w:sz="0" w:space="0" w:color="auto"/>
                                                            <w:right w:val="none" w:sz="0" w:space="0" w:color="auto"/>
                                                          </w:divBdr>
                                                        </w:div>
                                                        <w:div w:id="904878117">
                                                          <w:marLeft w:val="0"/>
                                                          <w:marRight w:val="0"/>
                                                          <w:marTop w:val="0"/>
                                                          <w:marBottom w:val="0"/>
                                                          <w:divBdr>
                                                            <w:top w:val="none" w:sz="0" w:space="0" w:color="auto"/>
                                                            <w:left w:val="none" w:sz="0" w:space="0" w:color="auto"/>
                                                            <w:bottom w:val="none" w:sz="0" w:space="0" w:color="auto"/>
                                                            <w:right w:val="none" w:sz="0" w:space="0" w:color="auto"/>
                                                          </w:divBdr>
                                                        </w:div>
                                                        <w:div w:id="573051931">
                                                          <w:marLeft w:val="0"/>
                                                          <w:marRight w:val="0"/>
                                                          <w:marTop w:val="0"/>
                                                          <w:marBottom w:val="0"/>
                                                          <w:divBdr>
                                                            <w:top w:val="none" w:sz="0" w:space="0" w:color="auto"/>
                                                            <w:left w:val="none" w:sz="0" w:space="0" w:color="auto"/>
                                                            <w:bottom w:val="none" w:sz="0" w:space="0" w:color="auto"/>
                                                            <w:right w:val="none" w:sz="0" w:space="0" w:color="auto"/>
                                                          </w:divBdr>
                                                        </w:div>
                                                        <w:div w:id="1819178427">
                                                          <w:marLeft w:val="0"/>
                                                          <w:marRight w:val="0"/>
                                                          <w:marTop w:val="0"/>
                                                          <w:marBottom w:val="0"/>
                                                          <w:divBdr>
                                                            <w:top w:val="none" w:sz="0" w:space="0" w:color="auto"/>
                                                            <w:left w:val="none" w:sz="0" w:space="0" w:color="auto"/>
                                                            <w:bottom w:val="none" w:sz="0" w:space="0" w:color="auto"/>
                                                            <w:right w:val="none" w:sz="0" w:space="0" w:color="auto"/>
                                                          </w:divBdr>
                                                        </w:div>
                                                        <w:div w:id="1670526767">
                                                          <w:marLeft w:val="0"/>
                                                          <w:marRight w:val="0"/>
                                                          <w:marTop w:val="0"/>
                                                          <w:marBottom w:val="0"/>
                                                          <w:divBdr>
                                                            <w:top w:val="none" w:sz="0" w:space="0" w:color="auto"/>
                                                            <w:left w:val="none" w:sz="0" w:space="0" w:color="auto"/>
                                                            <w:bottom w:val="none" w:sz="0" w:space="0" w:color="auto"/>
                                                            <w:right w:val="none" w:sz="0" w:space="0" w:color="auto"/>
                                                          </w:divBdr>
                                                        </w:div>
                                                        <w:div w:id="218052110">
                                                          <w:marLeft w:val="0"/>
                                                          <w:marRight w:val="0"/>
                                                          <w:marTop w:val="0"/>
                                                          <w:marBottom w:val="0"/>
                                                          <w:divBdr>
                                                            <w:top w:val="none" w:sz="0" w:space="0" w:color="auto"/>
                                                            <w:left w:val="none" w:sz="0" w:space="0" w:color="auto"/>
                                                            <w:bottom w:val="none" w:sz="0" w:space="0" w:color="auto"/>
                                                            <w:right w:val="none" w:sz="0" w:space="0" w:color="auto"/>
                                                          </w:divBdr>
                                                        </w:div>
                                                        <w:div w:id="1484350667">
                                                          <w:marLeft w:val="0"/>
                                                          <w:marRight w:val="0"/>
                                                          <w:marTop w:val="0"/>
                                                          <w:marBottom w:val="0"/>
                                                          <w:divBdr>
                                                            <w:top w:val="none" w:sz="0" w:space="0" w:color="auto"/>
                                                            <w:left w:val="none" w:sz="0" w:space="0" w:color="auto"/>
                                                            <w:bottom w:val="none" w:sz="0" w:space="0" w:color="auto"/>
                                                            <w:right w:val="none" w:sz="0" w:space="0" w:color="auto"/>
                                                          </w:divBdr>
                                                        </w:div>
                                                        <w:div w:id="1860195980">
                                                          <w:marLeft w:val="0"/>
                                                          <w:marRight w:val="0"/>
                                                          <w:marTop w:val="0"/>
                                                          <w:marBottom w:val="0"/>
                                                          <w:divBdr>
                                                            <w:top w:val="none" w:sz="0" w:space="0" w:color="auto"/>
                                                            <w:left w:val="none" w:sz="0" w:space="0" w:color="auto"/>
                                                            <w:bottom w:val="none" w:sz="0" w:space="0" w:color="auto"/>
                                                            <w:right w:val="none" w:sz="0" w:space="0" w:color="auto"/>
                                                          </w:divBdr>
                                                        </w:div>
                                                        <w:div w:id="1425106746">
                                                          <w:marLeft w:val="0"/>
                                                          <w:marRight w:val="0"/>
                                                          <w:marTop w:val="0"/>
                                                          <w:marBottom w:val="0"/>
                                                          <w:divBdr>
                                                            <w:top w:val="none" w:sz="0" w:space="0" w:color="auto"/>
                                                            <w:left w:val="none" w:sz="0" w:space="0" w:color="auto"/>
                                                            <w:bottom w:val="none" w:sz="0" w:space="0" w:color="auto"/>
                                                            <w:right w:val="none" w:sz="0" w:space="0" w:color="auto"/>
                                                          </w:divBdr>
                                                        </w:div>
                                                        <w:div w:id="455026015">
                                                          <w:marLeft w:val="0"/>
                                                          <w:marRight w:val="0"/>
                                                          <w:marTop w:val="0"/>
                                                          <w:marBottom w:val="0"/>
                                                          <w:divBdr>
                                                            <w:top w:val="none" w:sz="0" w:space="0" w:color="auto"/>
                                                            <w:left w:val="none" w:sz="0" w:space="0" w:color="auto"/>
                                                            <w:bottom w:val="none" w:sz="0" w:space="0" w:color="auto"/>
                                                            <w:right w:val="none" w:sz="0" w:space="0" w:color="auto"/>
                                                          </w:divBdr>
                                                        </w:div>
                                                        <w:div w:id="1721132336">
                                                          <w:marLeft w:val="0"/>
                                                          <w:marRight w:val="0"/>
                                                          <w:marTop w:val="0"/>
                                                          <w:marBottom w:val="0"/>
                                                          <w:divBdr>
                                                            <w:top w:val="none" w:sz="0" w:space="0" w:color="auto"/>
                                                            <w:left w:val="none" w:sz="0" w:space="0" w:color="auto"/>
                                                            <w:bottom w:val="none" w:sz="0" w:space="0" w:color="auto"/>
                                                            <w:right w:val="none" w:sz="0" w:space="0" w:color="auto"/>
                                                          </w:divBdr>
                                                        </w:div>
                                                        <w:div w:id="2068336494">
                                                          <w:marLeft w:val="0"/>
                                                          <w:marRight w:val="0"/>
                                                          <w:marTop w:val="0"/>
                                                          <w:marBottom w:val="0"/>
                                                          <w:divBdr>
                                                            <w:top w:val="none" w:sz="0" w:space="0" w:color="auto"/>
                                                            <w:left w:val="none" w:sz="0" w:space="0" w:color="auto"/>
                                                            <w:bottom w:val="none" w:sz="0" w:space="0" w:color="auto"/>
                                                            <w:right w:val="none" w:sz="0" w:space="0" w:color="auto"/>
                                                          </w:divBdr>
                                                        </w:div>
                                                        <w:div w:id="1112430929">
                                                          <w:marLeft w:val="0"/>
                                                          <w:marRight w:val="0"/>
                                                          <w:marTop w:val="0"/>
                                                          <w:marBottom w:val="0"/>
                                                          <w:divBdr>
                                                            <w:top w:val="none" w:sz="0" w:space="0" w:color="auto"/>
                                                            <w:left w:val="none" w:sz="0" w:space="0" w:color="auto"/>
                                                            <w:bottom w:val="none" w:sz="0" w:space="0" w:color="auto"/>
                                                            <w:right w:val="none" w:sz="0" w:space="0" w:color="auto"/>
                                                          </w:divBdr>
                                                        </w:div>
                                                        <w:div w:id="716048846">
                                                          <w:marLeft w:val="0"/>
                                                          <w:marRight w:val="0"/>
                                                          <w:marTop w:val="0"/>
                                                          <w:marBottom w:val="0"/>
                                                          <w:divBdr>
                                                            <w:top w:val="none" w:sz="0" w:space="0" w:color="auto"/>
                                                            <w:left w:val="none" w:sz="0" w:space="0" w:color="auto"/>
                                                            <w:bottom w:val="none" w:sz="0" w:space="0" w:color="auto"/>
                                                            <w:right w:val="none" w:sz="0" w:space="0" w:color="auto"/>
                                                          </w:divBdr>
                                                        </w:div>
                                                        <w:div w:id="1011030045">
                                                          <w:marLeft w:val="0"/>
                                                          <w:marRight w:val="0"/>
                                                          <w:marTop w:val="0"/>
                                                          <w:marBottom w:val="0"/>
                                                          <w:divBdr>
                                                            <w:top w:val="none" w:sz="0" w:space="0" w:color="auto"/>
                                                            <w:left w:val="none" w:sz="0" w:space="0" w:color="auto"/>
                                                            <w:bottom w:val="none" w:sz="0" w:space="0" w:color="auto"/>
                                                            <w:right w:val="none" w:sz="0" w:space="0" w:color="auto"/>
                                                          </w:divBdr>
                                                        </w:div>
                                                        <w:div w:id="555706900">
                                                          <w:marLeft w:val="0"/>
                                                          <w:marRight w:val="0"/>
                                                          <w:marTop w:val="0"/>
                                                          <w:marBottom w:val="0"/>
                                                          <w:divBdr>
                                                            <w:top w:val="none" w:sz="0" w:space="0" w:color="auto"/>
                                                            <w:left w:val="none" w:sz="0" w:space="0" w:color="auto"/>
                                                            <w:bottom w:val="none" w:sz="0" w:space="0" w:color="auto"/>
                                                            <w:right w:val="none" w:sz="0" w:space="0" w:color="auto"/>
                                                          </w:divBdr>
                                                        </w:div>
                                                        <w:div w:id="822769407">
                                                          <w:marLeft w:val="0"/>
                                                          <w:marRight w:val="0"/>
                                                          <w:marTop w:val="0"/>
                                                          <w:marBottom w:val="0"/>
                                                          <w:divBdr>
                                                            <w:top w:val="none" w:sz="0" w:space="0" w:color="auto"/>
                                                            <w:left w:val="none" w:sz="0" w:space="0" w:color="auto"/>
                                                            <w:bottom w:val="none" w:sz="0" w:space="0" w:color="auto"/>
                                                            <w:right w:val="none" w:sz="0" w:space="0" w:color="auto"/>
                                                          </w:divBdr>
                                                        </w:div>
                                                        <w:div w:id="973020816">
                                                          <w:marLeft w:val="0"/>
                                                          <w:marRight w:val="0"/>
                                                          <w:marTop w:val="0"/>
                                                          <w:marBottom w:val="0"/>
                                                          <w:divBdr>
                                                            <w:top w:val="none" w:sz="0" w:space="0" w:color="auto"/>
                                                            <w:left w:val="none" w:sz="0" w:space="0" w:color="auto"/>
                                                            <w:bottom w:val="none" w:sz="0" w:space="0" w:color="auto"/>
                                                            <w:right w:val="none" w:sz="0" w:space="0" w:color="auto"/>
                                                          </w:divBdr>
                                                        </w:div>
                                                        <w:div w:id="118929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166280">
          <w:marLeft w:val="0"/>
          <w:marRight w:val="0"/>
          <w:marTop w:val="0"/>
          <w:marBottom w:val="0"/>
          <w:divBdr>
            <w:top w:val="none" w:sz="0" w:space="0" w:color="auto"/>
            <w:left w:val="none" w:sz="0" w:space="0" w:color="auto"/>
            <w:bottom w:val="none" w:sz="0" w:space="0" w:color="auto"/>
            <w:right w:val="none" w:sz="0" w:space="0" w:color="auto"/>
          </w:divBdr>
          <w:divsChild>
            <w:div w:id="6299395">
              <w:marLeft w:val="0"/>
              <w:marRight w:val="0"/>
              <w:marTop w:val="0"/>
              <w:marBottom w:val="0"/>
              <w:divBdr>
                <w:top w:val="none" w:sz="0" w:space="0" w:color="auto"/>
                <w:left w:val="none" w:sz="0" w:space="0" w:color="auto"/>
                <w:bottom w:val="none" w:sz="0" w:space="0" w:color="auto"/>
                <w:right w:val="none" w:sz="0" w:space="0" w:color="auto"/>
              </w:divBdr>
              <w:divsChild>
                <w:div w:id="902985672">
                  <w:marLeft w:val="0"/>
                  <w:marRight w:val="0"/>
                  <w:marTop w:val="0"/>
                  <w:marBottom w:val="0"/>
                  <w:divBdr>
                    <w:top w:val="none" w:sz="0" w:space="0" w:color="auto"/>
                    <w:left w:val="none" w:sz="0" w:space="0" w:color="auto"/>
                    <w:bottom w:val="none" w:sz="0" w:space="0" w:color="auto"/>
                    <w:right w:val="none" w:sz="0" w:space="0" w:color="auto"/>
                  </w:divBdr>
                  <w:divsChild>
                    <w:div w:id="1691099573">
                      <w:marLeft w:val="0"/>
                      <w:marRight w:val="0"/>
                      <w:marTop w:val="0"/>
                      <w:marBottom w:val="0"/>
                      <w:divBdr>
                        <w:top w:val="none" w:sz="0" w:space="0" w:color="auto"/>
                        <w:left w:val="none" w:sz="0" w:space="0" w:color="auto"/>
                        <w:bottom w:val="none" w:sz="0" w:space="0" w:color="auto"/>
                        <w:right w:val="none" w:sz="0" w:space="0" w:color="auto"/>
                      </w:divBdr>
                      <w:divsChild>
                        <w:div w:id="908657340">
                          <w:marLeft w:val="0"/>
                          <w:marRight w:val="0"/>
                          <w:marTop w:val="0"/>
                          <w:marBottom w:val="0"/>
                          <w:divBdr>
                            <w:top w:val="none" w:sz="0" w:space="0" w:color="auto"/>
                            <w:left w:val="none" w:sz="0" w:space="0" w:color="auto"/>
                            <w:bottom w:val="none" w:sz="0" w:space="0" w:color="auto"/>
                            <w:right w:val="none" w:sz="0" w:space="0" w:color="auto"/>
                          </w:divBdr>
                          <w:divsChild>
                            <w:div w:id="1949585712">
                              <w:marLeft w:val="0"/>
                              <w:marRight w:val="0"/>
                              <w:marTop w:val="0"/>
                              <w:marBottom w:val="0"/>
                              <w:divBdr>
                                <w:top w:val="none" w:sz="0" w:space="0" w:color="auto"/>
                                <w:left w:val="none" w:sz="0" w:space="0" w:color="auto"/>
                                <w:bottom w:val="none" w:sz="0" w:space="0" w:color="auto"/>
                                <w:right w:val="none" w:sz="0" w:space="0" w:color="auto"/>
                              </w:divBdr>
                              <w:divsChild>
                                <w:div w:id="321471019">
                                  <w:marLeft w:val="0"/>
                                  <w:marRight w:val="0"/>
                                  <w:marTop w:val="0"/>
                                  <w:marBottom w:val="0"/>
                                  <w:divBdr>
                                    <w:top w:val="none" w:sz="0" w:space="0" w:color="auto"/>
                                    <w:left w:val="none" w:sz="0" w:space="0" w:color="auto"/>
                                    <w:bottom w:val="none" w:sz="0" w:space="0" w:color="auto"/>
                                    <w:right w:val="none" w:sz="0" w:space="0" w:color="auto"/>
                                  </w:divBdr>
                                  <w:divsChild>
                                    <w:div w:id="459496525">
                                      <w:marLeft w:val="0"/>
                                      <w:marRight w:val="0"/>
                                      <w:marTop w:val="0"/>
                                      <w:marBottom w:val="0"/>
                                      <w:divBdr>
                                        <w:top w:val="none" w:sz="0" w:space="0" w:color="auto"/>
                                        <w:left w:val="none" w:sz="0" w:space="0" w:color="auto"/>
                                        <w:bottom w:val="none" w:sz="0" w:space="0" w:color="auto"/>
                                        <w:right w:val="none" w:sz="0" w:space="0" w:color="auto"/>
                                      </w:divBdr>
                                      <w:divsChild>
                                        <w:div w:id="562564044">
                                          <w:marLeft w:val="0"/>
                                          <w:marRight w:val="0"/>
                                          <w:marTop w:val="0"/>
                                          <w:marBottom w:val="0"/>
                                          <w:divBdr>
                                            <w:top w:val="none" w:sz="0" w:space="0" w:color="auto"/>
                                            <w:left w:val="none" w:sz="0" w:space="0" w:color="auto"/>
                                            <w:bottom w:val="none" w:sz="0" w:space="0" w:color="auto"/>
                                            <w:right w:val="none" w:sz="0" w:space="0" w:color="auto"/>
                                          </w:divBdr>
                                          <w:divsChild>
                                            <w:div w:id="246962757">
                                              <w:marLeft w:val="0"/>
                                              <w:marRight w:val="0"/>
                                              <w:marTop w:val="0"/>
                                              <w:marBottom w:val="0"/>
                                              <w:divBdr>
                                                <w:top w:val="none" w:sz="0" w:space="0" w:color="auto"/>
                                                <w:left w:val="none" w:sz="0" w:space="0" w:color="auto"/>
                                                <w:bottom w:val="none" w:sz="0" w:space="0" w:color="auto"/>
                                                <w:right w:val="none" w:sz="0" w:space="0" w:color="auto"/>
                                              </w:divBdr>
                                              <w:divsChild>
                                                <w:div w:id="1738242998">
                                                  <w:marLeft w:val="0"/>
                                                  <w:marRight w:val="0"/>
                                                  <w:marTop w:val="0"/>
                                                  <w:marBottom w:val="0"/>
                                                  <w:divBdr>
                                                    <w:top w:val="none" w:sz="0" w:space="0" w:color="auto"/>
                                                    <w:left w:val="none" w:sz="0" w:space="0" w:color="auto"/>
                                                    <w:bottom w:val="none" w:sz="0" w:space="0" w:color="auto"/>
                                                    <w:right w:val="none" w:sz="0" w:space="0" w:color="auto"/>
                                                  </w:divBdr>
                                                  <w:divsChild>
                                                    <w:div w:id="1246452628">
                                                      <w:marLeft w:val="0"/>
                                                      <w:marRight w:val="0"/>
                                                      <w:marTop w:val="0"/>
                                                      <w:marBottom w:val="0"/>
                                                      <w:divBdr>
                                                        <w:top w:val="none" w:sz="0" w:space="0" w:color="auto"/>
                                                        <w:left w:val="none" w:sz="0" w:space="0" w:color="auto"/>
                                                        <w:bottom w:val="none" w:sz="0" w:space="0" w:color="auto"/>
                                                        <w:right w:val="none" w:sz="0" w:space="0" w:color="auto"/>
                                                      </w:divBdr>
                                                      <w:divsChild>
                                                        <w:div w:id="16580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1561">
                                          <w:marLeft w:val="0"/>
                                          <w:marRight w:val="0"/>
                                          <w:marTop w:val="0"/>
                                          <w:marBottom w:val="0"/>
                                          <w:divBdr>
                                            <w:top w:val="none" w:sz="0" w:space="0" w:color="auto"/>
                                            <w:left w:val="none" w:sz="0" w:space="0" w:color="auto"/>
                                            <w:bottom w:val="none" w:sz="0" w:space="0" w:color="auto"/>
                                            <w:right w:val="none" w:sz="0" w:space="0" w:color="auto"/>
                                          </w:divBdr>
                                          <w:divsChild>
                                            <w:div w:id="1815369402">
                                              <w:marLeft w:val="0"/>
                                              <w:marRight w:val="0"/>
                                              <w:marTop w:val="0"/>
                                              <w:marBottom w:val="0"/>
                                              <w:divBdr>
                                                <w:top w:val="none" w:sz="0" w:space="0" w:color="auto"/>
                                                <w:left w:val="none" w:sz="0" w:space="0" w:color="auto"/>
                                                <w:bottom w:val="none" w:sz="0" w:space="0" w:color="auto"/>
                                                <w:right w:val="none" w:sz="0" w:space="0" w:color="auto"/>
                                              </w:divBdr>
                                              <w:divsChild>
                                                <w:div w:id="924873745">
                                                  <w:marLeft w:val="0"/>
                                                  <w:marRight w:val="0"/>
                                                  <w:marTop w:val="0"/>
                                                  <w:marBottom w:val="0"/>
                                                  <w:divBdr>
                                                    <w:top w:val="none" w:sz="0" w:space="0" w:color="auto"/>
                                                    <w:left w:val="none" w:sz="0" w:space="0" w:color="auto"/>
                                                    <w:bottom w:val="none" w:sz="0" w:space="0" w:color="auto"/>
                                                    <w:right w:val="none" w:sz="0" w:space="0" w:color="auto"/>
                                                  </w:divBdr>
                                                  <w:divsChild>
                                                    <w:div w:id="982007066">
                                                      <w:marLeft w:val="0"/>
                                                      <w:marRight w:val="0"/>
                                                      <w:marTop w:val="0"/>
                                                      <w:marBottom w:val="0"/>
                                                      <w:divBdr>
                                                        <w:top w:val="none" w:sz="0" w:space="0" w:color="auto"/>
                                                        <w:left w:val="none" w:sz="0" w:space="0" w:color="auto"/>
                                                        <w:bottom w:val="none" w:sz="0" w:space="0" w:color="auto"/>
                                                        <w:right w:val="none" w:sz="0" w:space="0" w:color="auto"/>
                                                      </w:divBdr>
                                                      <w:divsChild>
                                                        <w:div w:id="2721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656">
                                                  <w:marLeft w:val="0"/>
                                                  <w:marRight w:val="0"/>
                                                  <w:marTop w:val="0"/>
                                                  <w:marBottom w:val="0"/>
                                                  <w:divBdr>
                                                    <w:top w:val="none" w:sz="0" w:space="0" w:color="auto"/>
                                                    <w:left w:val="none" w:sz="0" w:space="0" w:color="auto"/>
                                                    <w:bottom w:val="none" w:sz="0" w:space="0" w:color="auto"/>
                                                    <w:right w:val="none" w:sz="0" w:space="0" w:color="auto"/>
                                                  </w:divBdr>
                                                  <w:divsChild>
                                                    <w:div w:id="1950697062">
                                                      <w:marLeft w:val="0"/>
                                                      <w:marRight w:val="0"/>
                                                      <w:marTop w:val="0"/>
                                                      <w:marBottom w:val="0"/>
                                                      <w:divBdr>
                                                        <w:top w:val="none" w:sz="0" w:space="0" w:color="auto"/>
                                                        <w:left w:val="none" w:sz="0" w:space="0" w:color="auto"/>
                                                        <w:bottom w:val="none" w:sz="0" w:space="0" w:color="auto"/>
                                                        <w:right w:val="none" w:sz="0" w:space="0" w:color="auto"/>
                                                      </w:divBdr>
                                                      <w:divsChild>
                                                        <w:div w:id="160815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4702501">
                  <w:marLeft w:val="0"/>
                  <w:marRight w:val="0"/>
                  <w:marTop w:val="0"/>
                  <w:marBottom w:val="0"/>
                  <w:divBdr>
                    <w:top w:val="none" w:sz="0" w:space="0" w:color="auto"/>
                    <w:left w:val="none" w:sz="0" w:space="0" w:color="auto"/>
                    <w:bottom w:val="none" w:sz="0" w:space="0" w:color="auto"/>
                    <w:right w:val="none" w:sz="0" w:space="0" w:color="auto"/>
                  </w:divBdr>
                  <w:divsChild>
                    <w:div w:id="726800706">
                      <w:marLeft w:val="0"/>
                      <w:marRight w:val="0"/>
                      <w:marTop w:val="0"/>
                      <w:marBottom w:val="0"/>
                      <w:divBdr>
                        <w:top w:val="none" w:sz="0" w:space="0" w:color="auto"/>
                        <w:left w:val="none" w:sz="0" w:space="0" w:color="auto"/>
                        <w:bottom w:val="none" w:sz="0" w:space="0" w:color="auto"/>
                        <w:right w:val="none" w:sz="0" w:space="0" w:color="auto"/>
                      </w:divBdr>
                      <w:divsChild>
                        <w:div w:id="177019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307595">
      <w:bodyDiv w:val="1"/>
      <w:marLeft w:val="0"/>
      <w:marRight w:val="0"/>
      <w:marTop w:val="0"/>
      <w:marBottom w:val="0"/>
      <w:divBdr>
        <w:top w:val="none" w:sz="0" w:space="0" w:color="auto"/>
        <w:left w:val="none" w:sz="0" w:space="0" w:color="auto"/>
        <w:bottom w:val="none" w:sz="0" w:space="0" w:color="auto"/>
        <w:right w:val="none" w:sz="0" w:space="0" w:color="auto"/>
      </w:divBdr>
    </w:div>
    <w:div w:id="1653606876">
      <w:bodyDiv w:val="1"/>
      <w:marLeft w:val="0"/>
      <w:marRight w:val="0"/>
      <w:marTop w:val="0"/>
      <w:marBottom w:val="0"/>
      <w:divBdr>
        <w:top w:val="none" w:sz="0" w:space="0" w:color="auto"/>
        <w:left w:val="none" w:sz="0" w:space="0" w:color="auto"/>
        <w:bottom w:val="none" w:sz="0" w:space="0" w:color="auto"/>
        <w:right w:val="none" w:sz="0" w:space="0" w:color="auto"/>
      </w:divBdr>
    </w:div>
    <w:div w:id="1698198549">
      <w:bodyDiv w:val="1"/>
      <w:marLeft w:val="0"/>
      <w:marRight w:val="0"/>
      <w:marTop w:val="0"/>
      <w:marBottom w:val="0"/>
      <w:divBdr>
        <w:top w:val="none" w:sz="0" w:space="0" w:color="auto"/>
        <w:left w:val="none" w:sz="0" w:space="0" w:color="auto"/>
        <w:bottom w:val="none" w:sz="0" w:space="0" w:color="auto"/>
        <w:right w:val="none" w:sz="0" w:space="0" w:color="auto"/>
      </w:divBdr>
    </w:div>
    <w:div w:id="1699358558">
      <w:bodyDiv w:val="1"/>
      <w:marLeft w:val="0"/>
      <w:marRight w:val="0"/>
      <w:marTop w:val="0"/>
      <w:marBottom w:val="0"/>
      <w:divBdr>
        <w:top w:val="none" w:sz="0" w:space="0" w:color="auto"/>
        <w:left w:val="none" w:sz="0" w:space="0" w:color="auto"/>
        <w:bottom w:val="none" w:sz="0" w:space="0" w:color="auto"/>
        <w:right w:val="none" w:sz="0" w:space="0" w:color="auto"/>
      </w:divBdr>
    </w:div>
    <w:div w:id="1718892700">
      <w:bodyDiv w:val="1"/>
      <w:marLeft w:val="0"/>
      <w:marRight w:val="0"/>
      <w:marTop w:val="0"/>
      <w:marBottom w:val="0"/>
      <w:divBdr>
        <w:top w:val="none" w:sz="0" w:space="0" w:color="auto"/>
        <w:left w:val="none" w:sz="0" w:space="0" w:color="auto"/>
        <w:bottom w:val="none" w:sz="0" w:space="0" w:color="auto"/>
        <w:right w:val="none" w:sz="0" w:space="0" w:color="auto"/>
      </w:divBdr>
    </w:div>
    <w:div w:id="1719625140">
      <w:bodyDiv w:val="1"/>
      <w:marLeft w:val="0"/>
      <w:marRight w:val="0"/>
      <w:marTop w:val="0"/>
      <w:marBottom w:val="0"/>
      <w:divBdr>
        <w:top w:val="none" w:sz="0" w:space="0" w:color="auto"/>
        <w:left w:val="none" w:sz="0" w:space="0" w:color="auto"/>
        <w:bottom w:val="none" w:sz="0" w:space="0" w:color="auto"/>
        <w:right w:val="none" w:sz="0" w:space="0" w:color="auto"/>
      </w:divBdr>
    </w:div>
    <w:div w:id="1730762154">
      <w:bodyDiv w:val="1"/>
      <w:marLeft w:val="0"/>
      <w:marRight w:val="0"/>
      <w:marTop w:val="0"/>
      <w:marBottom w:val="0"/>
      <w:divBdr>
        <w:top w:val="none" w:sz="0" w:space="0" w:color="auto"/>
        <w:left w:val="none" w:sz="0" w:space="0" w:color="auto"/>
        <w:bottom w:val="none" w:sz="0" w:space="0" w:color="auto"/>
        <w:right w:val="none" w:sz="0" w:space="0" w:color="auto"/>
      </w:divBdr>
    </w:div>
    <w:div w:id="1749384438">
      <w:bodyDiv w:val="1"/>
      <w:marLeft w:val="0"/>
      <w:marRight w:val="0"/>
      <w:marTop w:val="0"/>
      <w:marBottom w:val="0"/>
      <w:divBdr>
        <w:top w:val="none" w:sz="0" w:space="0" w:color="auto"/>
        <w:left w:val="none" w:sz="0" w:space="0" w:color="auto"/>
        <w:bottom w:val="none" w:sz="0" w:space="0" w:color="auto"/>
        <w:right w:val="none" w:sz="0" w:space="0" w:color="auto"/>
      </w:divBdr>
    </w:div>
    <w:div w:id="1750733155">
      <w:bodyDiv w:val="1"/>
      <w:marLeft w:val="0"/>
      <w:marRight w:val="0"/>
      <w:marTop w:val="0"/>
      <w:marBottom w:val="0"/>
      <w:divBdr>
        <w:top w:val="none" w:sz="0" w:space="0" w:color="auto"/>
        <w:left w:val="none" w:sz="0" w:space="0" w:color="auto"/>
        <w:bottom w:val="none" w:sz="0" w:space="0" w:color="auto"/>
        <w:right w:val="none" w:sz="0" w:space="0" w:color="auto"/>
      </w:divBdr>
      <w:divsChild>
        <w:div w:id="151919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550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57192">
      <w:bodyDiv w:val="1"/>
      <w:marLeft w:val="0"/>
      <w:marRight w:val="0"/>
      <w:marTop w:val="0"/>
      <w:marBottom w:val="0"/>
      <w:divBdr>
        <w:top w:val="none" w:sz="0" w:space="0" w:color="auto"/>
        <w:left w:val="none" w:sz="0" w:space="0" w:color="auto"/>
        <w:bottom w:val="none" w:sz="0" w:space="0" w:color="auto"/>
        <w:right w:val="none" w:sz="0" w:space="0" w:color="auto"/>
      </w:divBdr>
      <w:divsChild>
        <w:div w:id="1188640327">
          <w:marLeft w:val="0"/>
          <w:marRight w:val="0"/>
          <w:marTop w:val="0"/>
          <w:marBottom w:val="0"/>
          <w:divBdr>
            <w:top w:val="none" w:sz="0" w:space="0" w:color="auto"/>
            <w:left w:val="none" w:sz="0" w:space="0" w:color="auto"/>
            <w:bottom w:val="none" w:sz="0" w:space="0" w:color="auto"/>
            <w:right w:val="none" w:sz="0" w:space="0" w:color="auto"/>
          </w:divBdr>
        </w:div>
      </w:divsChild>
    </w:div>
    <w:div w:id="1772623746">
      <w:bodyDiv w:val="1"/>
      <w:marLeft w:val="0"/>
      <w:marRight w:val="0"/>
      <w:marTop w:val="0"/>
      <w:marBottom w:val="0"/>
      <w:divBdr>
        <w:top w:val="none" w:sz="0" w:space="0" w:color="auto"/>
        <w:left w:val="none" w:sz="0" w:space="0" w:color="auto"/>
        <w:bottom w:val="none" w:sz="0" w:space="0" w:color="auto"/>
        <w:right w:val="none" w:sz="0" w:space="0" w:color="auto"/>
      </w:divBdr>
    </w:div>
    <w:div w:id="1781485393">
      <w:bodyDiv w:val="1"/>
      <w:marLeft w:val="0"/>
      <w:marRight w:val="0"/>
      <w:marTop w:val="0"/>
      <w:marBottom w:val="0"/>
      <w:divBdr>
        <w:top w:val="none" w:sz="0" w:space="0" w:color="auto"/>
        <w:left w:val="none" w:sz="0" w:space="0" w:color="auto"/>
        <w:bottom w:val="none" w:sz="0" w:space="0" w:color="auto"/>
        <w:right w:val="none" w:sz="0" w:space="0" w:color="auto"/>
      </w:divBdr>
    </w:div>
    <w:div w:id="1781949206">
      <w:bodyDiv w:val="1"/>
      <w:marLeft w:val="0"/>
      <w:marRight w:val="0"/>
      <w:marTop w:val="0"/>
      <w:marBottom w:val="0"/>
      <w:divBdr>
        <w:top w:val="none" w:sz="0" w:space="0" w:color="auto"/>
        <w:left w:val="none" w:sz="0" w:space="0" w:color="auto"/>
        <w:bottom w:val="none" w:sz="0" w:space="0" w:color="auto"/>
        <w:right w:val="none" w:sz="0" w:space="0" w:color="auto"/>
      </w:divBdr>
    </w:div>
    <w:div w:id="1813213115">
      <w:bodyDiv w:val="1"/>
      <w:marLeft w:val="0"/>
      <w:marRight w:val="0"/>
      <w:marTop w:val="0"/>
      <w:marBottom w:val="0"/>
      <w:divBdr>
        <w:top w:val="none" w:sz="0" w:space="0" w:color="auto"/>
        <w:left w:val="none" w:sz="0" w:space="0" w:color="auto"/>
        <w:bottom w:val="none" w:sz="0" w:space="0" w:color="auto"/>
        <w:right w:val="none" w:sz="0" w:space="0" w:color="auto"/>
      </w:divBdr>
    </w:div>
    <w:div w:id="1817453194">
      <w:bodyDiv w:val="1"/>
      <w:marLeft w:val="0"/>
      <w:marRight w:val="0"/>
      <w:marTop w:val="0"/>
      <w:marBottom w:val="0"/>
      <w:divBdr>
        <w:top w:val="none" w:sz="0" w:space="0" w:color="auto"/>
        <w:left w:val="none" w:sz="0" w:space="0" w:color="auto"/>
        <w:bottom w:val="none" w:sz="0" w:space="0" w:color="auto"/>
        <w:right w:val="none" w:sz="0" w:space="0" w:color="auto"/>
      </w:divBdr>
    </w:div>
    <w:div w:id="1825900899">
      <w:bodyDiv w:val="1"/>
      <w:marLeft w:val="0"/>
      <w:marRight w:val="0"/>
      <w:marTop w:val="0"/>
      <w:marBottom w:val="0"/>
      <w:divBdr>
        <w:top w:val="none" w:sz="0" w:space="0" w:color="auto"/>
        <w:left w:val="none" w:sz="0" w:space="0" w:color="auto"/>
        <w:bottom w:val="none" w:sz="0" w:space="0" w:color="auto"/>
        <w:right w:val="none" w:sz="0" w:space="0" w:color="auto"/>
      </w:divBdr>
    </w:div>
    <w:div w:id="1842625465">
      <w:bodyDiv w:val="1"/>
      <w:marLeft w:val="0"/>
      <w:marRight w:val="0"/>
      <w:marTop w:val="0"/>
      <w:marBottom w:val="0"/>
      <w:divBdr>
        <w:top w:val="none" w:sz="0" w:space="0" w:color="auto"/>
        <w:left w:val="none" w:sz="0" w:space="0" w:color="auto"/>
        <w:bottom w:val="none" w:sz="0" w:space="0" w:color="auto"/>
        <w:right w:val="none" w:sz="0" w:space="0" w:color="auto"/>
      </w:divBdr>
    </w:div>
    <w:div w:id="1855532812">
      <w:bodyDiv w:val="1"/>
      <w:marLeft w:val="0"/>
      <w:marRight w:val="0"/>
      <w:marTop w:val="0"/>
      <w:marBottom w:val="0"/>
      <w:divBdr>
        <w:top w:val="none" w:sz="0" w:space="0" w:color="auto"/>
        <w:left w:val="none" w:sz="0" w:space="0" w:color="auto"/>
        <w:bottom w:val="none" w:sz="0" w:space="0" w:color="auto"/>
        <w:right w:val="none" w:sz="0" w:space="0" w:color="auto"/>
      </w:divBdr>
    </w:div>
    <w:div w:id="1893543272">
      <w:bodyDiv w:val="1"/>
      <w:marLeft w:val="0"/>
      <w:marRight w:val="0"/>
      <w:marTop w:val="0"/>
      <w:marBottom w:val="0"/>
      <w:divBdr>
        <w:top w:val="none" w:sz="0" w:space="0" w:color="auto"/>
        <w:left w:val="none" w:sz="0" w:space="0" w:color="auto"/>
        <w:bottom w:val="none" w:sz="0" w:space="0" w:color="auto"/>
        <w:right w:val="none" w:sz="0" w:space="0" w:color="auto"/>
      </w:divBdr>
    </w:div>
    <w:div w:id="1899048765">
      <w:bodyDiv w:val="1"/>
      <w:marLeft w:val="0"/>
      <w:marRight w:val="0"/>
      <w:marTop w:val="0"/>
      <w:marBottom w:val="0"/>
      <w:divBdr>
        <w:top w:val="none" w:sz="0" w:space="0" w:color="auto"/>
        <w:left w:val="none" w:sz="0" w:space="0" w:color="auto"/>
        <w:bottom w:val="none" w:sz="0" w:space="0" w:color="auto"/>
        <w:right w:val="none" w:sz="0" w:space="0" w:color="auto"/>
      </w:divBdr>
    </w:div>
    <w:div w:id="1904020729">
      <w:bodyDiv w:val="1"/>
      <w:marLeft w:val="0"/>
      <w:marRight w:val="0"/>
      <w:marTop w:val="0"/>
      <w:marBottom w:val="0"/>
      <w:divBdr>
        <w:top w:val="none" w:sz="0" w:space="0" w:color="auto"/>
        <w:left w:val="none" w:sz="0" w:space="0" w:color="auto"/>
        <w:bottom w:val="none" w:sz="0" w:space="0" w:color="auto"/>
        <w:right w:val="none" w:sz="0" w:space="0" w:color="auto"/>
      </w:divBdr>
    </w:div>
    <w:div w:id="1919905751">
      <w:bodyDiv w:val="1"/>
      <w:marLeft w:val="0"/>
      <w:marRight w:val="0"/>
      <w:marTop w:val="0"/>
      <w:marBottom w:val="0"/>
      <w:divBdr>
        <w:top w:val="none" w:sz="0" w:space="0" w:color="auto"/>
        <w:left w:val="none" w:sz="0" w:space="0" w:color="auto"/>
        <w:bottom w:val="none" w:sz="0" w:space="0" w:color="auto"/>
        <w:right w:val="none" w:sz="0" w:space="0" w:color="auto"/>
      </w:divBdr>
    </w:div>
    <w:div w:id="1923023633">
      <w:bodyDiv w:val="1"/>
      <w:marLeft w:val="0"/>
      <w:marRight w:val="0"/>
      <w:marTop w:val="0"/>
      <w:marBottom w:val="0"/>
      <w:divBdr>
        <w:top w:val="none" w:sz="0" w:space="0" w:color="auto"/>
        <w:left w:val="none" w:sz="0" w:space="0" w:color="auto"/>
        <w:bottom w:val="none" w:sz="0" w:space="0" w:color="auto"/>
        <w:right w:val="none" w:sz="0" w:space="0" w:color="auto"/>
      </w:divBdr>
    </w:div>
    <w:div w:id="1925189699">
      <w:bodyDiv w:val="1"/>
      <w:marLeft w:val="0"/>
      <w:marRight w:val="0"/>
      <w:marTop w:val="0"/>
      <w:marBottom w:val="0"/>
      <w:divBdr>
        <w:top w:val="none" w:sz="0" w:space="0" w:color="auto"/>
        <w:left w:val="none" w:sz="0" w:space="0" w:color="auto"/>
        <w:bottom w:val="none" w:sz="0" w:space="0" w:color="auto"/>
        <w:right w:val="none" w:sz="0" w:space="0" w:color="auto"/>
      </w:divBdr>
      <w:divsChild>
        <w:div w:id="1749229254">
          <w:marLeft w:val="0"/>
          <w:marRight w:val="0"/>
          <w:marTop w:val="0"/>
          <w:marBottom w:val="0"/>
          <w:divBdr>
            <w:top w:val="none" w:sz="0" w:space="0" w:color="auto"/>
            <w:left w:val="none" w:sz="0" w:space="0" w:color="auto"/>
            <w:bottom w:val="none" w:sz="0" w:space="0" w:color="auto"/>
            <w:right w:val="none" w:sz="0" w:space="0" w:color="auto"/>
          </w:divBdr>
        </w:div>
        <w:div w:id="544759217">
          <w:marLeft w:val="0"/>
          <w:marRight w:val="0"/>
          <w:marTop w:val="0"/>
          <w:marBottom w:val="0"/>
          <w:divBdr>
            <w:top w:val="none" w:sz="0" w:space="0" w:color="auto"/>
            <w:left w:val="none" w:sz="0" w:space="0" w:color="auto"/>
            <w:bottom w:val="none" w:sz="0" w:space="0" w:color="auto"/>
            <w:right w:val="none" w:sz="0" w:space="0" w:color="auto"/>
          </w:divBdr>
        </w:div>
      </w:divsChild>
    </w:div>
    <w:div w:id="1939823590">
      <w:bodyDiv w:val="1"/>
      <w:marLeft w:val="0"/>
      <w:marRight w:val="0"/>
      <w:marTop w:val="0"/>
      <w:marBottom w:val="0"/>
      <w:divBdr>
        <w:top w:val="none" w:sz="0" w:space="0" w:color="auto"/>
        <w:left w:val="none" w:sz="0" w:space="0" w:color="auto"/>
        <w:bottom w:val="none" w:sz="0" w:space="0" w:color="auto"/>
        <w:right w:val="none" w:sz="0" w:space="0" w:color="auto"/>
      </w:divBdr>
    </w:div>
    <w:div w:id="1956671683">
      <w:bodyDiv w:val="1"/>
      <w:marLeft w:val="0"/>
      <w:marRight w:val="0"/>
      <w:marTop w:val="0"/>
      <w:marBottom w:val="0"/>
      <w:divBdr>
        <w:top w:val="none" w:sz="0" w:space="0" w:color="auto"/>
        <w:left w:val="none" w:sz="0" w:space="0" w:color="auto"/>
        <w:bottom w:val="none" w:sz="0" w:space="0" w:color="auto"/>
        <w:right w:val="none" w:sz="0" w:space="0" w:color="auto"/>
      </w:divBdr>
    </w:div>
    <w:div w:id="1965307839">
      <w:bodyDiv w:val="1"/>
      <w:marLeft w:val="0"/>
      <w:marRight w:val="0"/>
      <w:marTop w:val="0"/>
      <w:marBottom w:val="0"/>
      <w:divBdr>
        <w:top w:val="none" w:sz="0" w:space="0" w:color="auto"/>
        <w:left w:val="none" w:sz="0" w:space="0" w:color="auto"/>
        <w:bottom w:val="none" w:sz="0" w:space="0" w:color="auto"/>
        <w:right w:val="none" w:sz="0" w:space="0" w:color="auto"/>
      </w:divBdr>
    </w:div>
    <w:div w:id="1977947476">
      <w:bodyDiv w:val="1"/>
      <w:marLeft w:val="0"/>
      <w:marRight w:val="0"/>
      <w:marTop w:val="0"/>
      <w:marBottom w:val="0"/>
      <w:divBdr>
        <w:top w:val="none" w:sz="0" w:space="0" w:color="auto"/>
        <w:left w:val="none" w:sz="0" w:space="0" w:color="auto"/>
        <w:bottom w:val="none" w:sz="0" w:space="0" w:color="auto"/>
        <w:right w:val="none" w:sz="0" w:space="0" w:color="auto"/>
      </w:divBdr>
    </w:div>
    <w:div w:id="1984046616">
      <w:bodyDiv w:val="1"/>
      <w:marLeft w:val="0"/>
      <w:marRight w:val="0"/>
      <w:marTop w:val="0"/>
      <w:marBottom w:val="0"/>
      <w:divBdr>
        <w:top w:val="none" w:sz="0" w:space="0" w:color="auto"/>
        <w:left w:val="none" w:sz="0" w:space="0" w:color="auto"/>
        <w:bottom w:val="none" w:sz="0" w:space="0" w:color="auto"/>
        <w:right w:val="none" w:sz="0" w:space="0" w:color="auto"/>
      </w:divBdr>
    </w:div>
    <w:div w:id="2022124398">
      <w:bodyDiv w:val="1"/>
      <w:marLeft w:val="0"/>
      <w:marRight w:val="0"/>
      <w:marTop w:val="0"/>
      <w:marBottom w:val="0"/>
      <w:divBdr>
        <w:top w:val="none" w:sz="0" w:space="0" w:color="auto"/>
        <w:left w:val="none" w:sz="0" w:space="0" w:color="auto"/>
        <w:bottom w:val="none" w:sz="0" w:space="0" w:color="auto"/>
        <w:right w:val="none" w:sz="0" w:space="0" w:color="auto"/>
      </w:divBdr>
    </w:div>
    <w:div w:id="2027562307">
      <w:bodyDiv w:val="1"/>
      <w:marLeft w:val="0"/>
      <w:marRight w:val="0"/>
      <w:marTop w:val="0"/>
      <w:marBottom w:val="0"/>
      <w:divBdr>
        <w:top w:val="none" w:sz="0" w:space="0" w:color="auto"/>
        <w:left w:val="none" w:sz="0" w:space="0" w:color="auto"/>
        <w:bottom w:val="none" w:sz="0" w:space="0" w:color="auto"/>
        <w:right w:val="none" w:sz="0" w:space="0" w:color="auto"/>
      </w:divBdr>
    </w:div>
    <w:div w:id="2037274001">
      <w:bodyDiv w:val="1"/>
      <w:marLeft w:val="0"/>
      <w:marRight w:val="0"/>
      <w:marTop w:val="0"/>
      <w:marBottom w:val="0"/>
      <w:divBdr>
        <w:top w:val="none" w:sz="0" w:space="0" w:color="auto"/>
        <w:left w:val="none" w:sz="0" w:space="0" w:color="auto"/>
        <w:bottom w:val="none" w:sz="0" w:space="0" w:color="auto"/>
        <w:right w:val="none" w:sz="0" w:space="0" w:color="auto"/>
      </w:divBdr>
    </w:div>
    <w:div w:id="2070153377">
      <w:bodyDiv w:val="1"/>
      <w:marLeft w:val="0"/>
      <w:marRight w:val="0"/>
      <w:marTop w:val="0"/>
      <w:marBottom w:val="0"/>
      <w:divBdr>
        <w:top w:val="none" w:sz="0" w:space="0" w:color="auto"/>
        <w:left w:val="none" w:sz="0" w:space="0" w:color="auto"/>
        <w:bottom w:val="none" w:sz="0" w:space="0" w:color="auto"/>
        <w:right w:val="none" w:sz="0" w:space="0" w:color="auto"/>
      </w:divBdr>
    </w:div>
    <w:div w:id="2095395238">
      <w:bodyDiv w:val="1"/>
      <w:marLeft w:val="0"/>
      <w:marRight w:val="0"/>
      <w:marTop w:val="0"/>
      <w:marBottom w:val="0"/>
      <w:divBdr>
        <w:top w:val="none" w:sz="0" w:space="0" w:color="auto"/>
        <w:left w:val="none" w:sz="0" w:space="0" w:color="auto"/>
        <w:bottom w:val="none" w:sz="0" w:space="0" w:color="auto"/>
        <w:right w:val="none" w:sz="0" w:space="0" w:color="auto"/>
      </w:divBdr>
    </w:div>
    <w:div w:id="2107337455">
      <w:bodyDiv w:val="1"/>
      <w:marLeft w:val="0"/>
      <w:marRight w:val="0"/>
      <w:marTop w:val="0"/>
      <w:marBottom w:val="0"/>
      <w:divBdr>
        <w:top w:val="none" w:sz="0" w:space="0" w:color="auto"/>
        <w:left w:val="none" w:sz="0" w:space="0" w:color="auto"/>
        <w:bottom w:val="none" w:sz="0" w:space="0" w:color="auto"/>
        <w:right w:val="none" w:sz="0" w:space="0" w:color="auto"/>
      </w:divBdr>
    </w:div>
    <w:div w:id="2116751590">
      <w:bodyDiv w:val="1"/>
      <w:marLeft w:val="0"/>
      <w:marRight w:val="0"/>
      <w:marTop w:val="0"/>
      <w:marBottom w:val="0"/>
      <w:divBdr>
        <w:top w:val="none" w:sz="0" w:space="0" w:color="auto"/>
        <w:left w:val="none" w:sz="0" w:space="0" w:color="auto"/>
        <w:bottom w:val="none" w:sz="0" w:space="0" w:color="auto"/>
        <w:right w:val="none" w:sz="0" w:space="0" w:color="auto"/>
      </w:divBdr>
    </w:div>
    <w:div w:id="2121145067">
      <w:bodyDiv w:val="1"/>
      <w:marLeft w:val="0"/>
      <w:marRight w:val="0"/>
      <w:marTop w:val="0"/>
      <w:marBottom w:val="0"/>
      <w:divBdr>
        <w:top w:val="none" w:sz="0" w:space="0" w:color="auto"/>
        <w:left w:val="none" w:sz="0" w:space="0" w:color="auto"/>
        <w:bottom w:val="none" w:sz="0" w:space="0" w:color="auto"/>
        <w:right w:val="none" w:sz="0" w:space="0" w:color="auto"/>
      </w:divBdr>
      <w:divsChild>
        <w:div w:id="1276521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020478">
      <w:bodyDiv w:val="1"/>
      <w:marLeft w:val="0"/>
      <w:marRight w:val="0"/>
      <w:marTop w:val="0"/>
      <w:marBottom w:val="0"/>
      <w:divBdr>
        <w:top w:val="none" w:sz="0" w:space="0" w:color="auto"/>
        <w:left w:val="none" w:sz="0" w:space="0" w:color="auto"/>
        <w:bottom w:val="none" w:sz="0" w:space="0" w:color="auto"/>
        <w:right w:val="none" w:sz="0" w:space="0" w:color="auto"/>
      </w:divBdr>
    </w:div>
    <w:div w:id="213879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www.newtifi.com/publishing/journals/restructuring" TargetMode="External"/><Relationship Id="rId10" Type="http://schemas.openxmlformats.org/officeDocument/2006/relationships/image" Target="media/image2.sv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s>
</file>

<file path=word/_rels/footnotes.xml.rels><?xml version="1.0" encoding="UTF-8" standalone="yes"?>
<Relationships xmlns="http://schemas.openxmlformats.org/package/2006/relationships"><Relationship Id="rId8" Type="http://schemas.openxmlformats.org/officeDocument/2006/relationships/hyperlink" Target="https://www.cssf.lu/wp-content/uploads/L_230716_RAIF_eng.pdf" TargetMode="External"/><Relationship Id="rId3" Type="http://schemas.openxmlformats.org/officeDocument/2006/relationships/hyperlink" Target="https://legilux.public.lu/eli/etat/leg/loi/2007/02/13/n1/jo" TargetMode="External"/><Relationship Id="rId7" Type="http://schemas.openxmlformats.org/officeDocument/2006/relationships/hyperlink" Target="https://legilux.public.lu/eli/etat/leg/loi/2023/07/21/a442/jo" TargetMode="External"/><Relationship Id="rId2" Type="http://schemas.openxmlformats.org/officeDocument/2006/relationships/hyperlink" Target="https://www.cssf.lu/wp-content/uploads/L_150604_SICAReng.pdf" TargetMode="External"/><Relationship Id="rId1" Type="http://schemas.openxmlformats.org/officeDocument/2006/relationships/hyperlink" Target="https://legilux.public.lu/eli/etat/leg/loi/2004/06/15/n1/jo" TargetMode="External"/><Relationship Id="rId6" Type="http://schemas.openxmlformats.org/officeDocument/2006/relationships/hyperlink" Target="https://www.cssf.lu/wp-content/uploads/L_171210_UCI.pdf" TargetMode="External"/><Relationship Id="rId5" Type="http://schemas.openxmlformats.org/officeDocument/2006/relationships/hyperlink" Target="https://legilux.public.lu/eli/etat/leg/loi/2010/12/17/n9/jo" TargetMode="External"/><Relationship Id="rId10" Type="http://schemas.openxmlformats.org/officeDocument/2006/relationships/hyperlink" Target="https://www.researchgate.net/publication/396855553_Voluntary_liquidation_of_regulated_investments_funds" TargetMode="External"/><Relationship Id="rId4" Type="http://schemas.openxmlformats.org/officeDocument/2006/relationships/hyperlink" Target="https://www.cssf.lu/wp-content/uploads/L_130207_SIF.pdf" TargetMode="External"/><Relationship Id="rId9" Type="http://schemas.openxmlformats.org/officeDocument/2006/relationships/hyperlink" Target="https://legilux.public.lu/eli/etat/leg/loi/1915/08/10/n1/consolide/202503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F28DA-3E47-4346-8918-36CEFEBFE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1046</TotalTime>
  <Pages>13</Pages>
  <Words>6768</Words>
  <Characters>38582</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Ezechiel Havrenne</dc:creator>
  <cp:keywords/>
  <dc:description/>
  <cp:lastModifiedBy>Ezechiel Havrenne</cp:lastModifiedBy>
  <cp:revision>21</cp:revision>
  <cp:lastPrinted>2025-06-28T09:52:00Z</cp:lastPrinted>
  <dcterms:created xsi:type="dcterms:W3CDTF">2025-12-04T07:42:00Z</dcterms:created>
  <dcterms:modified xsi:type="dcterms:W3CDTF">2026-01-07T14:12:00Z</dcterms:modified>
</cp:coreProperties>
</file>