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d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b란 database의 약자로 한 조직의 여러 응용 시스템들이 공용하기 위해 통합, 저장한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 데이터의 집합을 의미한다.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데이터의 판단기준으로는 통합된 데이터, 저장 데이터, 운영 데이터, 공용 데이터 4가지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 나눌 수가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통합된 데이터: 최소의 중복, 통제된 중복된 데이터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 데이터: 컴퓨터가 접근 가능한 저장 매체에 저장하는 데이터 ex)테이프, 디스크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 데이터: 한 조직의 고유 기능을 수행하기 위해 필요한 데이터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공용 데이터: 한 조직의 여러 응용 프로그램이 공동으로 소유, 유지, 이용하는 데이터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데이터베이스의 특성은 4가지로 볼 수 가 있다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실시간 접근성, 계속적인 변화, 동시 공용, 내용에 의한 참조이다.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데이터에 대한 판단과 특성 그리고 앞으로 다룰 직업윤리의식을 잘 다루는 것이 데이터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베이스를 잘 다루는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가끔 뉴스나 신문을 보다보면 보안관계자나 연구원등이 해당 회사에 등록되어 있는 기술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이나 개인정보 등을 유출하는 사건들을 볼 수 가 있다. 이런 사건은 해당 당사자를 처벌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할 수는 있지만 이미 빠져 나간 기술 및 개인정보는 회수가 불가능하다. 따라서 이것은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관련 종사자들의 직업적의식, 윤리적 책임 의식의 부재에서 비롯된다.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먼저 직업적의식, 윤리적 책임 의식의 의미부터 알아보자.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직업의식: </w:t>
      </w:r>
      <w:hyperlink r:id="rId5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각</w:t>
        </w:r>
      </w:hyperlink>
      <w:hyperlink r:id="rId6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직업</w:t>
        </w:r>
      </w:hyperlink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에 </w:t>
      </w:r>
      <w:hyperlink r:id="rId7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종사하는</w:t>
        </w:r>
      </w:hyperlink>
      <w:hyperlink r:id="rId8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사람</w:t>
        </w:r>
      </w:hyperlink>
      <w:hyperlink r:id="rId9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들</w:t>
        </w:r>
      </w:hyperlink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의 </w:t>
      </w:r>
      <w:hyperlink r:id="rId10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특유한</w:t>
        </w:r>
      </w:hyperlink>
      <w:hyperlink r:id="rId11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태도</w:t>
        </w:r>
      </w:hyperlink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나 </w:t>
      </w:r>
      <w:hyperlink r:id="rId12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도덕관</w:t>
        </w:r>
      </w:hyperlink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, </w:t>
      </w:r>
      <w:hyperlink r:id="rId13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가치관</w:t>
        </w:r>
      </w:hyperlink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따위를 </w:t>
      </w:r>
      <w:hyperlink r:id="rId14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통틀어</w:t>
        </w:r>
      </w:hyperlink>
      <w:hyperlink r:id="rId15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이르는</w:t>
        </w:r>
      </w:hyperlink>
      <w:hyperlink r:id="rId16">
        <w:r>
          <w:rPr>
            <w:b w:val="1"/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말</w:t>
        </w:r>
      </w:hyperlink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출처: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표준국어대사전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직업윤리:어떤 </w:t>
      </w:r>
      <w:hyperlink r:id="rId17">
        <w:r>
          <w:rPr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직업</w:t>
        </w:r>
      </w:hyperlink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을 </w:t>
      </w:r>
      <w:hyperlink r:id="rId18">
        <w:r>
          <w:rPr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수행</w:t>
        </w:r>
      </w:hyperlink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하는 사람들에게 </w:t>
      </w:r>
      <w:hyperlink r:id="rId19">
        <w:r>
          <w:rPr>
            <w:color w:val="0563C1"/>
            <w:position w:val="0"/>
            <w:sz w:val="22"/>
            <w:szCs w:val="22"/>
            <w:rFonts w:ascii="맑은 고딕" w:eastAsia="맑은 고딕" w:hAnsi="맑은 고딕" w:hint="default"/>
          </w:rPr>
          <w:t>요구</w:t>
        </w:r>
      </w:hyperlink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되는 행동규범을 의미한다.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출처:HRD 용어사전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이것을 위배하는 사건들이 지난 인터넷이 발달한 이래로 많이 발생했지만 한가지 예를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들어보자.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바로 2014년에 있었던 카드사 개인정보 유출사건이다.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2014년 1월 사상 최대 개인정보 유출사건이 터졌습니다. 당시 KB국민카드(5300만건),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NH농협카드(2500만건), 롯데카드(2600만건) 등 3곳의 카드사에서 유출된 개인정보는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1억400만건.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유출된 개인정보의 내용은 고객이름, 주민번호, 휴대전화번호, 카드번호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, 주거상황, 카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드신용한도금액, 카드신용등급, 카드결제일 등으로 심각했습니다.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원인은 부실한 내부단속에 있었습니다.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 부정사용방지시스템(FDS) 개발을 위해 카드사에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파견 근무를 나갔던 신용평가사 코리아크레딧뷰로(KCB)의 직원이 USB를 이용해 개인정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보를 무작위로 내려받은 게 화근이었습니다.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4050" cy="361759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SUS/AppData/Roaming/PolarisOffice/ETemp/15020_7506520/fImage20057710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618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출처: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by 더스쿠프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economic news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정보유출의 책임을 묻는 손해배상소송도 이어졌습니다.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카드3사는 그렇게 벼랑 끝으로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>밀려났습니다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. 그로부터 3년이 흐른 2017년 11월, 국민 앞에 고개를 숙였던 카드3사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는 책임을 다했을까요?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20802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US/AppData/Roaming/PolarisOffice/ETemp/15020_7506520/fImage290545144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08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우선 현재 진행 중인 카드3사의 정보유출 소송건수를 살펴보시죠. 올 2분기 기준 KB국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민카드의 정보유출 관련 소송건수는 119건으로 소송인원과 소송액은 각각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 8만3000명,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>103억9200만원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에 이릅니다.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NH농협카드는 126건, 소송인원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5만5354명, 소송액은 103억6000만원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인데요. 롯데카드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는 3만1509명이 82건, 소송액은 50억2900만원입니다.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카드3사의 소송건수 등을 모두 합치면 다음과 같습니다. ‘전체 소송건수 327건, 소송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인원 16만9863명.’ 정보유출 고객이 1억400명에 달했다는 점을 감안하면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소송 규모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가 크게 쪼그라들었습니다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소송 규모가 이렇게 줄어든 건 카드3사의 전략이 통했기 때문이라는 지적이 많습니다.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항소 등을 통해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재판을 질질 늘어뜨린 것이 소송 인원을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 줄이는 데 한몫했다는 겁니다.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사례를 보시죠.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 지난해 1월~올해 2월 판결이 난 카드사 정보유출 손해배상 1심 재판에서 법원은 고객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의 손을 들어줬습니다. 하지만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카드사는 고개를 숙이지 않고 항소로 맞대응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했습니다. 용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서를 구하며 고개를 숙이던 2014년과는 전혀 다른 모습이었습니다.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항소뿐만이 아니었습니다. 재판을 끌기 위해 피해자들에게 ‘고객정보가 유출된 경위’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를 입증하라고 요구했습니다.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2015년 1월 정보유출소송을 맡은 변호사 19명의 공동성명 발표내용을 보시죠. “카드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사가 피해자에게 피해사실과 구체적인 유출 경위를 입증하라고 요구하고 있다.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 재판을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의도적으로 지연하는 행위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다.”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정보유출 피해자들의 보상이 늦어진 이유는 또 있습니다. 제도적 허점입니다. 이 소송은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현재 ‘공동소송’ 방식으로 진행되고 있습니다. 피해자들이 함께 소송을 하는 모양새지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만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실질적으론 개별소송입니다.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카드사 정보유출 손해배상 소송을 진행하고 있는 강형구 금융소비자연맹 국장은 “소송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당 수백에서 수천명의 원고가 함께 소송을 진행하고 있다”면서 “개별적으로 피해를 입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증하고 자료를 검토하는 과정에서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물리적 시간이 많이 드는 건 사실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”이라고 말했습니다.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솜방망이 처벌도 문제라는 지적이 나옵니다. 1심 법원은 지난해 7월 개인정보보호법 위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반 등의 혐의로 검찰에 기소된 카드3사에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1000만~1500만원의 벌금형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을 선고했습니다. </w:t>
      </w:r>
      <w:r>
        <w:rPr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br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                                                         출처: </w:t>
      </w: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by 더스쿠프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NanumBarunGothic" w:eastAsia="NanumBarunGothic" w:hAnsi="NanumBarunGothic" w:hint="default"/>
        </w:rPr>
        <w:t xml:space="preserve">economic news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이렇게 개인정보가 소홀히 관리되는 것은 카드사의 손해배상액 미지급, 제도적 미흡, 법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원의 솜방망이 처벌 때문이다.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이것은 우리사회의 물질만능주의, 이기주의, “돈만 있으면 된다”, ”나만 아니면된다” 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생각에서 비롯되는 결과이다. 또한 우리는 자라면서 학교에서 지식들은 많이 가르치지만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 외의 양심적 도덕적 측면의 것들은 잘 가르치지 않는다.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이런 교육을 받은 학생들이 사회에 진출해 있다보니 그들중 일부가 이런 만행들을 저지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르는 것이다.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이기적이고 돈만 쫓다보니 해당 회사를 이용하는 사용자들의 개인정보 보안에는 관심이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없고 오직 돈만을 추구한다. 따라서 해외에서 거액을 주면서 “개인정보나 기술을 팔아라”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라고 하면 고민하지 않고 팔아버린다.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대응도 이와 별반 다르지 않다. 앞의 카드3사도 처음에는 발빠른 사과는 했지만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그것도 표면적인 것 뿐이었고 재판을 질질 끌면서 해당 사건의 소멸 시효만을 기다리고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결국 소송인원과 소송비용도 줄게되었다.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먼저 손해배상청구를 쉽게 할 수 있게 법이 바뀌고 그에 따른 기업들, 사람들의 인식과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생각이 바뀌어야만 더 이상 개인정보가 팔리고 유출되는 사건이 발생하지 않을 것이다.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또한 지금보다 DB관련 업무자들에 대한 대우가 개선되어야 한다고 생각한다.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지금은 남들 보다 열심히 일하고 야근도 많이 하지만 그에 대한 대우는 박한 편이다.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그들에 대한 급여 및 복지, 인식이 좋으면 자기가 맡은 일에 대해 직업적 책임감도 가질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것이고 외부 환경에 휘둘리지 않아 외부에서 유출의 손길이 와도 흔들리지 않을 것이다.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아직까지도 db에게 업무를 맡기는 사람들 중에 본인이 엑셀 및 다른 프로그램으로 충분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히 할 수 있는 것 조차도 db업무자한테 맡기는 사람이 많다.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데이터베이스 관리는 그들이 생각하는 것 보다 훨씬 어렵고 복잡하고 시간도 많이 걸린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나는 그들이 db업무자한테 그렇게 대하는 데에는 db관련 지식의 부재에서 온다고 본다.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따라서 데이터베이스를 관리하는 부서에 근무하는 모든 사람들은 db에 대한 직업적 의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식, 윤리적 의식을 교육하고 데이터베이스 관련 프로그램에 대해서도 교육할 필요가 있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다고 본다. 다같이 db에 대한 책임과 직업적윤리의식을 가져야만 회사를 비롯한 사회에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데이터베이스를 소중히 여기는 문화가 생겨 날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그리고 데이터베이스 보안 관련 캠페인 이나 홍보물 제작이 지금보다 더 필요하다. 일반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사람들은 데이터베이스 보안이 어떻게 이루어지고 있는지에 대해 조금도 알지 못한다.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따라서 켐페인 및 홍보물을 통해 자신의 개인정보 및 데이터가 얼마나 소중한지 깨닫고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인터넷이나 기타 데이터 입력을 필요로 하는 곳에 데이터를 입력할 때 이 사이트가 정상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적인 사이트인지 알아보고 결정하고 인터넷 사이트 뿐만 아니라 오프라인 에서도 한 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더 생각하고 가입을 하게 될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더불어서 조금 더 데이터나 개인정보에 대해 관심이 있는 사람들은 개인정보보호법도 공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부하는 것을 추천한다. 결국 법을 알아야 내가 개인정보를 침해 당했을 때 올바르게 대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처를 할 수 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개인정보보호는 데이터베이스업무자가 하는 일이지만 결국 나로부터 보호를 시작하는 것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“2014년 카드3사 개인정보유출사건”과 같은 일이 발생하지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anumBarun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javascript:klink('&#44033;')" TargetMode="External"></Relationship><Relationship Id="rId6" Type="http://schemas.openxmlformats.org/officeDocument/2006/relationships/hyperlink" Target="javascript:klink('&#51649;&#50629;')" TargetMode="External"></Relationship><Relationship Id="rId7" Type="http://schemas.openxmlformats.org/officeDocument/2006/relationships/hyperlink" Target="javascript:klink('&#51333;&#49324;&#54616;&#45796;')" TargetMode="External"></Relationship><Relationship Id="rId8" Type="http://schemas.openxmlformats.org/officeDocument/2006/relationships/hyperlink" Target="javascript:klink('&#49324;&#46988;')" TargetMode="External"></Relationship><Relationship Id="rId9" Type="http://schemas.openxmlformats.org/officeDocument/2006/relationships/hyperlink" Target="javascript:klink('&#46308;')" TargetMode="External"></Relationship><Relationship Id="rId10" Type="http://schemas.openxmlformats.org/officeDocument/2006/relationships/hyperlink" Target="javascript:klink('&#53945;&#50976;&#54616;&#45796;')" TargetMode="External"></Relationship><Relationship Id="rId11" Type="http://schemas.openxmlformats.org/officeDocument/2006/relationships/hyperlink" Target="javascript:klink('&#53468;&#46020;')" TargetMode="External"></Relationship><Relationship Id="rId12" Type="http://schemas.openxmlformats.org/officeDocument/2006/relationships/hyperlink" Target="javascript:klink('&#46020;&#45909;&#44288;')" TargetMode="External"></Relationship><Relationship Id="rId13" Type="http://schemas.openxmlformats.org/officeDocument/2006/relationships/hyperlink" Target="javascript:klink('&#44032;&#52824;&#44288;')" TargetMode="External"></Relationship><Relationship Id="rId14" Type="http://schemas.openxmlformats.org/officeDocument/2006/relationships/hyperlink" Target="javascript:klink('&#53685;&#53952;&#45796;')" TargetMode="External"></Relationship><Relationship Id="rId15" Type="http://schemas.openxmlformats.org/officeDocument/2006/relationships/hyperlink" Target="javascript:klink('&#51060;&#47476;&#45796;')" TargetMode="External"></Relationship><Relationship Id="rId16" Type="http://schemas.openxmlformats.org/officeDocument/2006/relationships/hyperlink" Target="javascript:klink('&#47568;')" TargetMode="External"></Relationship><Relationship Id="rId17" Type="http://schemas.openxmlformats.org/officeDocument/2006/relationships/hyperlink" Target="https://terms.naver.com/entry.nhn?docId=2178813&amp;ref=y" TargetMode="External"></Relationship><Relationship Id="rId18" Type="http://schemas.openxmlformats.org/officeDocument/2006/relationships/hyperlink" Target="https://terms.naver.com/entry.nhn?docId=2178407&amp;ref=y" TargetMode="External"></Relationship><Relationship Id="rId19" Type="http://schemas.openxmlformats.org/officeDocument/2006/relationships/hyperlink" Target="https://terms.naver.com/entry.nhn?docId=2178505&amp;ref=y" TargetMode="External"></Relationship><Relationship Id="rId20" Type="http://schemas.openxmlformats.org/officeDocument/2006/relationships/image" Target="media/fImage2005771041.png"></Relationship><Relationship Id="rId21" Type="http://schemas.openxmlformats.org/officeDocument/2006/relationships/image" Target="media/fImage2905451441.png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304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donghyeon6021</dc:creator>
  <cp:lastModifiedBy/>
</cp:coreProperties>
</file>