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36"/>
          <w:szCs w:val="36"/>
        </w:rPr>
        <w:t xml:space="preserve">Cohorts Dashboard — Technical Handoff Document</w:t>
      </w:r>
    </w:p>
    <w:p>
      <w:pPr>
        <w:spacing w:after="400"/>
        <w:jc w:val="center"/>
      </w:pPr>
      <w:r>
        <w:rPr>
          <w:rFonts w:ascii="Calibri" w:cs="Calibri" w:eastAsia="Calibri" w:hAnsi="Calibri"/>
          <w:color w:val="595959"/>
          <w:sz w:val="20"/>
          <w:szCs w:val="20"/>
        </w:rPr>
        <w:t xml:space="preserve">Client: TrueSeaMoss  |  Prepared by: IQ Data  |  Date: September 2026</w:t>
      </w:r>
    </w:p>
    <w:p>
      <w:pPr>
        <w:pStyle w:val="Heading1"/>
        <w:spacing w:after="120" w:before="400"/>
      </w:pPr>
      <w:r>
        <w:t xml:space="preserve">1. Project Overview</w:t>
      </w:r>
    </w:p>
    <w:p>
      <w:pPr>
        <w:spacing w:after="120"/>
      </w:pPr>
      <w:r>
        <w:rPr>
          <w:rFonts w:ascii="Calibri" w:cs="Calibri" w:eastAsia="Calibri" w:hAnsi="Calibri"/>
          <w:sz w:val="22"/>
          <w:szCs w:val="22"/>
        </w:rPr>
        <w:t xml:space="preserve">The Cohorts Dashboard is a Google Sheets-based analytics dashboard built for TrueSeaMoss to analyse customer retention and purchasing behaviour across their US Shopify store. It provides cohort-level visibility into repeat purchase rates, flavour preferences, jar size preferences, and customer purchase frequency — segmented by product category and filtered to United States / Shopify only.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c>
          <w:tcPr>
            <w:tcW w:type="dxa" w:w="2340"/>
            <w:shd w:fill="F2F2F2" w:val="clear"/>
          </w:tcPr>
          <w:p>
            <w:pPr>
              <w:spacing w:after="60"/>
            </w:pPr>
            <w:r>
              <w:rPr>
                <w:rFonts w:ascii="Calibri" w:cs="Calibri" w:eastAsia="Calibri" w:hAnsi="Calibri"/>
                <w:b/>
                <w:bCs/>
                <w:sz w:val="20"/>
                <w:szCs w:val="20"/>
              </w:rPr>
              <w:t xml:space="preserve">Client</w:t>
            </w:r>
          </w:p>
        </w:tc>
        <w:tc>
          <w:tcPr>
            <w:tcW w:type="dxa" w:w="7020"/>
          </w:tcPr>
          <w:p>
            <w:pPr>
              <w:spacing w:after="60"/>
            </w:pPr>
            <w:r>
              <w:rPr>
                <w:rFonts w:ascii="Calibri" w:cs="Calibri" w:eastAsia="Calibri" w:hAnsi="Calibri"/>
                <w:sz w:val="20"/>
                <w:szCs w:val="20"/>
              </w:rPr>
              <w:t xml:space="preserve">TrueSeaMoss</w:t>
            </w:r>
          </w:p>
        </w:tc>
      </w:tr>
      <w:tr>
        <w:tc>
          <w:tcPr>
            <w:tcW w:type="dxa" w:w="2340"/>
            <w:shd w:fill="F2F2F2" w:val="clear"/>
          </w:tcPr>
          <w:p>
            <w:pPr>
              <w:spacing w:after="60"/>
            </w:pPr>
            <w:r>
              <w:rPr>
                <w:rFonts w:ascii="Calibri" w:cs="Calibri" w:eastAsia="Calibri" w:hAnsi="Calibri"/>
                <w:b/>
                <w:bCs/>
                <w:sz w:val="20"/>
                <w:szCs w:val="20"/>
              </w:rPr>
              <w:t xml:space="preserve">Geography</w:t>
            </w:r>
          </w:p>
        </w:tc>
        <w:tc>
          <w:tcPr>
            <w:tcW w:type="dxa" w:w="7020"/>
          </w:tcPr>
          <w:p>
            <w:pPr>
              <w:spacing w:after="60"/>
            </w:pPr>
            <w:r>
              <w:rPr>
                <w:rFonts w:ascii="Calibri" w:cs="Calibri" w:eastAsia="Calibri" w:hAnsi="Calibri"/>
                <w:sz w:val="20"/>
                <w:szCs w:val="20"/>
              </w:rPr>
              <w:t xml:space="preserve">United States</w:t>
            </w:r>
          </w:p>
        </w:tc>
      </w:tr>
      <w:tr>
        <w:tc>
          <w:tcPr>
            <w:tcW w:type="dxa" w:w="2340"/>
            <w:shd w:fill="F2F2F2" w:val="clear"/>
          </w:tcPr>
          <w:p>
            <w:pPr>
              <w:spacing w:after="60"/>
            </w:pPr>
            <w:r>
              <w:rPr>
                <w:rFonts w:ascii="Calibri" w:cs="Calibri" w:eastAsia="Calibri" w:hAnsi="Calibri"/>
                <w:b/>
                <w:bCs/>
                <w:sz w:val="20"/>
                <w:szCs w:val="20"/>
              </w:rPr>
              <w:t xml:space="preserve">Platform</w:t>
            </w:r>
          </w:p>
        </w:tc>
        <w:tc>
          <w:tcPr>
            <w:tcW w:type="dxa" w:w="7020"/>
          </w:tcPr>
          <w:p>
            <w:pPr>
              <w:spacing w:after="60"/>
            </w:pPr>
            <w:r>
              <w:rPr>
                <w:rFonts w:ascii="Calibri" w:cs="Calibri" w:eastAsia="Calibri" w:hAnsi="Calibri"/>
                <w:sz w:val="20"/>
                <w:szCs w:val="20"/>
              </w:rPr>
              <w:t xml:space="preserve">Shopify</w:t>
            </w:r>
          </w:p>
        </w:tc>
      </w:tr>
      <w:tr>
        <w:tc>
          <w:tcPr>
            <w:tcW w:type="dxa" w:w="2340"/>
            <w:shd w:fill="F2F2F2" w:val="clear"/>
          </w:tcPr>
          <w:p>
            <w:pPr>
              <w:spacing w:after="60"/>
            </w:pPr>
            <w:r>
              <w:rPr>
                <w:rFonts w:ascii="Calibri" w:cs="Calibri" w:eastAsia="Calibri" w:hAnsi="Calibri"/>
                <w:b/>
                <w:bCs/>
                <w:sz w:val="20"/>
                <w:szCs w:val="20"/>
              </w:rPr>
              <w:t xml:space="preserve">Dashboard type</w:t>
            </w:r>
          </w:p>
        </w:tc>
        <w:tc>
          <w:tcPr>
            <w:tcW w:type="dxa" w:w="7020"/>
          </w:tcPr>
          <w:p>
            <w:pPr>
              <w:spacing w:after="60"/>
            </w:pPr>
            <w:r>
              <w:rPr>
                <w:rFonts w:ascii="Calibri" w:cs="Calibri" w:eastAsia="Calibri" w:hAnsi="Calibri"/>
                <w:sz w:val="20"/>
                <w:szCs w:val="20"/>
              </w:rPr>
              <w:t xml:space="preserve">Google Sheets + Apps Script</w:t>
            </w:r>
          </w:p>
        </w:tc>
      </w:tr>
      <w:tr>
        <w:tc>
          <w:tcPr>
            <w:tcW w:type="dxa" w:w="2340"/>
            <w:shd w:fill="F2F2F2" w:val="clear"/>
          </w:tcPr>
          <w:p>
            <w:pPr>
              <w:spacing w:after="60"/>
            </w:pPr>
            <w:r>
              <w:rPr>
                <w:rFonts w:ascii="Calibri" w:cs="Calibri" w:eastAsia="Calibri" w:hAnsi="Calibri"/>
                <w:b/>
                <w:bCs/>
                <w:sz w:val="20"/>
                <w:szCs w:val="20"/>
              </w:rPr>
              <w:t xml:space="preserve">Data source</w:t>
            </w:r>
          </w:p>
        </w:tc>
        <w:tc>
          <w:tcPr>
            <w:tcW w:type="dxa" w:w="7020"/>
          </w:tcPr>
          <w:p>
            <w:pPr>
              <w:spacing w:after="60"/>
            </w:pPr>
            <w:r>
              <w:rPr>
                <w:rFonts w:ascii="Calibri" w:cs="Calibri" w:eastAsia="Calibri" w:hAnsi="Calibri"/>
                <w:sz w:val="20"/>
                <w:szCs w:val="20"/>
              </w:rPr>
              <w:t xml:space="preserve">Google BigQuery (Daton project)</w:t>
            </w:r>
          </w:p>
        </w:tc>
      </w:tr>
      <w:tr>
        <w:tc>
          <w:tcPr>
            <w:tcW w:type="dxa" w:w="2340"/>
            <w:shd w:fill="F2F2F2" w:val="clear"/>
          </w:tcPr>
          <w:p>
            <w:pPr>
              <w:spacing w:after="60"/>
            </w:pPr>
            <w:r>
              <w:rPr>
                <w:rFonts w:ascii="Calibri" w:cs="Calibri" w:eastAsia="Calibri" w:hAnsi="Calibri"/>
                <w:b/>
                <w:bCs/>
                <w:sz w:val="20"/>
                <w:szCs w:val="20"/>
              </w:rPr>
              <w:t xml:space="preserve">Category options</w:t>
            </w:r>
          </w:p>
        </w:tc>
        <w:tc>
          <w:tcPr>
            <w:tcW w:type="dxa" w:w="7020"/>
          </w:tcPr>
          <w:p>
            <w:pPr>
              <w:spacing w:after="60"/>
            </w:pPr>
            <w:r>
              <w:rPr>
                <w:rFonts w:ascii="Calibri" w:cs="Calibri" w:eastAsia="Calibri" w:hAnsi="Calibri"/>
                <w:sz w:val="20"/>
                <w:szCs w:val="20"/>
              </w:rPr>
              <w:t xml:space="preserve">Gel, Electrolytes, All Categories</w:t>
            </w:r>
          </w:p>
        </w:tc>
      </w:tr>
      <w:tr>
        <w:tc>
          <w:tcPr>
            <w:tcW w:type="dxa" w:w="2340"/>
            <w:shd w:fill="F2F2F2" w:val="clear"/>
          </w:tcPr>
          <w:p>
            <w:pPr>
              <w:spacing w:after="60"/>
            </w:pPr>
            <w:r>
              <w:rPr>
                <w:rFonts w:ascii="Calibri" w:cs="Calibri" w:eastAsia="Calibri" w:hAnsi="Calibri"/>
                <w:b/>
                <w:bCs/>
                <w:sz w:val="20"/>
                <w:szCs w:val="20"/>
              </w:rPr>
              <w:t xml:space="preserve">Electrolytes launch</w:t>
            </w:r>
          </w:p>
        </w:tc>
        <w:tc>
          <w:tcPr>
            <w:tcW w:type="dxa" w:w="7020"/>
          </w:tcPr>
          <w:p>
            <w:pPr>
              <w:spacing w:after="60"/>
            </w:pPr>
            <w:r>
              <w:rPr>
                <w:rFonts w:ascii="Calibri" w:cs="Calibri" w:eastAsia="Calibri" w:hAnsi="Calibri"/>
                <w:sz w:val="20"/>
                <w:szCs w:val="20"/>
              </w:rPr>
              <w:t xml:space="preserve">July 4, 2025</w:t>
            </w:r>
          </w:p>
        </w:tc>
      </w:tr>
    </w:tbl>
    <w:p>
      <w:pPr>
        <w:spacing w:after="120"/>
      </w:pPr>
      <w:r>
        <w:t xml:space="preserve"/>
      </w:r>
    </w:p>
    <w:p>
      <w:r>
        <w:br w:type="page"/>
      </w:r>
    </w:p>
    <w:p>
      <w:pPr>
        <w:pStyle w:val="Heading1"/>
        <w:spacing w:after="120" w:before="400"/>
      </w:pPr>
      <w:r>
        <w:t xml:space="preserve">2. Data Architecture</w:t>
      </w:r>
    </w:p>
    <w:p>
      <w:pPr>
        <w:pStyle w:val="Heading2"/>
        <w:spacing w:after="80" w:before="300"/>
      </w:pPr>
      <w:r>
        <w:t xml:space="preserve">2.1 Source Table</w:t>
      </w:r>
    </w:p>
    <w:p>
      <w:pPr>
        <w:spacing w:after="120"/>
      </w:pPr>
      <w:r>
        <w:rPr>
          <w:rFonts w:ascii="Calibri" w:cs="Calibri" w:eastAsia="Calibri" w:hAnsi="Calibri"/>
          <w:sz w:val="22"/>
          <w:szCs w:val="22"/>
        </w:rPr>
        <w:t xml:space="preserve">All four dashboard views draw from a single source table in BigQuery:</w:t>
      </w:r>
    </w:p>
    <w:p>
      <w:pPr>
        <w:shd w:fill="F0F0F0" w:val="clear"/>
        <w:spacing w:after="60"/>
        <w:ind w:left="360"/>
      </w:pPr>
      <w:r>
        <w:rPr>
          <w:rFonts w:ascii="Courier New" w:cs="Courier New" w:eastAsia="Courier New" w:hAnsi="Courier New"/>
          <w:color w:val="1a1a1a"/>
          <w:sz w:val="18"/>
          <w:szCs w:val="18"/>
        </w:rPr>
        <w:t xml:space="preserve">daton-project.trueseamoss_5363_prod_presentation_datashare.sku_cohort_base</w:t>
      </w:r>
    </w:p>
    <w:p>
      <w:pPr>
        <w:spacing w:after="120"/>
      </w:pPr>
      <w:r>
        <w:rPr>
          <w:rFonts w:ascii="Calibri" w:cs="Calibri" w:eastAsia="Calibri" w:hAnsi="Calibri"/>
          <w:sz w:val="22"/>
          <w:szCs w:val="22"/>
        </w:rPr>
        <w:t xml:space="preserve">This table contains one row per order-line per day, scoped to United States / Shopify. Key columns include:</w:t>
      </w:r>
    </w:p>
    <w:p>
      <w:pPr>
        <w:pStyle w:val="ListParagraph"/>
        <w:numPr>
          <w:ilvl w:val="0"/>
          <w:numId w:val="2"/>
        </w:numPr>
        <w:spacing w:after="60"/>
      </w:pPr>
      <w:r>
        <w:rPr>
          <w:rFonts w:ascii="Calibri" w:cs="Calibri" w:eastAsia="Calibri" w:hAnsi="Calibri"/>
          <w:sz w:val="22"/>
          <w:szCs w:val="22"/>
        </w:rPr>
        <w:t xml:space="preserve">customer_id — unique customer identifier (STRING type)</w:t>
      </w:r>
    </w:p>
    <w:p>
      <w:pPr>
        <w:pStyle w:val="ListParagraph"/>
        <w:numPr>
          <w:ilvl w:val="0"/>
          <w:numId w:val="2"/>
        </w:numPr>
        <w:spacing w:after="60"/>
      </w:pPr>
      <w:r>
        <w:rPr>
          <w:rFonts w:ascii="Calibri" w:cs="Calibri" w:eastAsia="Calibri" w:hAnsi="Calibri"/>
          <w:sz w:val="22"/>
          <w:szCs w:val="22"/>
        </w:rPr>
        <w:t xml:space="preserve">order_id — unique order identifier</w:t>
      </w:r>
    </w:p>
    <w:p>
      <w:pPr>
        <w:pStyle w:val="ListParagraph"/>
        <w:numPr>
          <w:ilvl w:val="0"/>
          <w:numId w:val="2"/>
        </w:numPr>
        <w:spacing w:after="60"/>
      </w:pPr>
      <w:r>
        <w:rPr>
          <w:rFonts w:ascii="Calibri" w:cs="Calibri" w:eastAsia="Calibri" w:hAnsi="Calibri"/>
          <w:sz w:val="22"/>
          <w:szCs w:val="22"/>
        </w:rPr>
        <w:t xml:space="preserve">date — order date</w:t>
      </w:r>
    </w:p>
    <w:p>
      <w:pPr>
        <w:pStyle w:val="ListParagraph"/>
        <w:numPr>
          <w:ilvl w:val="0"/>
          <w:numId w:val="2"/>
        </w:numPr>
        <w:spacing w:after="60"/>
      </w:pPr>
      <w:r>
        <w:rPr>
          <w:rFonts w:ascii="Calibri" w:cs="Calibri" w:eastAsia="Calibri" w:hAnsi="Calibri"/>
          <w:sz w:val="22"/>
          <w:szCs w:val="22"/>
        </w:rPr>
        <w:t xml:space="preserve">acquisition_date — the customer's very first US Shopify order date</w:t>
      </w:r>
    </w:p>
    <w:p>
      <w:pPr>
        <w:pStyle w:val="ListParagraph"/>
        <w:numPr>
          <w:ilvl w:val="0"/>
          <w:numId w:val="2"/>
        </w:numPr>
        <w:spacing w:after="60"/>
      </w:pPr>
      <w:r>
        <w:rPr>
          <w:rFonts w:ascii="Calibri" w:cs="Calibri" w:eastAsia="Calibri" w:hAnsi="Calibri"/>
          <w:sz w:val="22"/>
          <w:szCs w:val="22"/>
        </w:rPr>
        <w:t xml:space="preserve">acquisition_month — the calendar month of the customer's first-ever US Shopify order (YYYY-MM format, fixed customer-level property)</w:t>
      </w:r>
    </w:p>
    <w:p>
      <w:pPr>
        <w:pStyle w:val="ListParagraph"/>
        <w:numPr>
          <w:ilvl w:val="0"/>
          <w:numId w:val="2"/>
        </w:numPr>
        <w:spacing w:after="60"/>
      </w:pPr>
      <w:r>
        <w:rPr>
          <w:rFonts w:ascii="Calibri" w:cs="Calibri" w:eastAsia="Calibri" w:hAnsi="Calibri"/>
          <w:sz w:val="22"/>
          <w:szCs w:val="22"/>
        </w:rPr>
        <w:t xml:space="preserve">store_name — e.g. "United States"</w:t>
      </w:r>
    </w:p>
    <w:p>
      <w:pPr>
        <w:pStyle w:val="ListParagraph"/>
        <w:numPr>
          <w:ilvl w:val="0"/>
          <w:numId w:val="2"/>
        </w:numPr>
        <w:spacing w:after="60"/>
      </w:pPr>
      <w:r>
        <w:rPr>
          <w:rFonts w:ascii="Calibri" w:cs="Calibri" w:eastAsia="Calibri" w:hAnsi="Calibri"/>
          <w:sz w:val="22"/>
          <w:szCs w:val="22"/>
        </w:rPr>
        <w:t xml:space="preserve">platform_name — e.g. "shopify"</w:t>
      </w:r>
    </w:p>
    <w:p>
      <w:pPr>
        <w:pStyle w:val="ListParagraph"/>
        <w:numPr>
          <w:ilvl w:val="0"/>
          <w:numId w:val="2"/>
        </w:numPr>
        <w:spacing w:after="60"/>
      </w:pPr>
      <w:r>
        <w:rPr>
          <w:rFonts w:ascii="Calibri" w:cs="Calibri" w:eastAsia="Calibri" w:hAnsi="Calibri"/>
          <w:sz w:val="22"/>
          <w:szCs w:val="22"/>
        </w:rPr>
        <w:t xml:space="preserve">master_product_category — product category (Gel, Electrolytes, Bundle, etc.)</w:t>
      </w:r>
    </w:p>
    <w:p>
      <w:pPr>
        <w:pStyle w:val="ListParagraph"/>
        <w:numPr>
          <w:ilvl w:val="0"/>
          <w:numId w:val="2"/>
        </w:numPr>
        <w:spacing w:after="60"/>
      </w:pPr>
      <w:r>
        <w:rPr>
          <w:rFonts w:ascii="Calibri" w:cs="Calibri" w:eastAsia="Calibri" w:hAnsi="Calibri"/>
          <w:sz w:val="22"/>
          <w:szCs w:val="22"/>
        </w:rPr>
        <w:t xml:space="preserve">component_sku_flavour_name — flavour name as stored (may contain comma-separated values e.g. "Mango, Pineapple" as a single product name)</w:t>
      </w:r>
    </w:p>
    <w:p>
      <w:pPr>
        <w:pStyle w:val="ListParagraph"/>
        <w:numPr>
          <w:ilvl w:val="0"/>
          <w:numId w:val="2"/>
        </w:numPr>
        <w:spacing w:after="60"/>
      </w:pPr>
      <w:r>
        <w:rPr>
          <w:rFonts w:ascii="Calibri" w:cs="Calibri" w:eastAsia="Calibri" w:hAnsi="Calibri"/>
          <w:sz w:val="22"/>
          <w:szCs w:val="22"/>
        </w:rPr>
        <w:t xml:space="preserve">component_sku_jar_quantity — unit count per line item</w:t>
      </w:r>
    </w:p>
    <w:p>
      <w:pPr>
        <w:spacing w:after="120"/>
      </w:pPr>
      <w:r>
        <w:t xml:space="preserve"/>
      </w:r>
    </w:p>
    <w:p>
      <w:pPr>
        <w:pStyle w:val="Heading2"/>
        <w:spacing w:after="80" w:before="300"/>
      </w:pPr>
      <w:r>
        <w:t xml:space="preserve">2.2 BigQuery Presentation Views</w:t>
      </w:r>
    </w:p>
    <w:p>
      <w:pPr>
        <w:spacing w:after="120"/>
      </w:pPr>
      <w:r>
        <w:rPr>
          <w:rFonts w:ascii="Calibri" w:cs="Calibri" w:eastAsia="Calibri" w:hAnsi="Calibri"/>
          <w:sz w:val="22"/>
          <w:szCs w:val="22"/>
        </w:rPr>
        <w:t xml:space="preserve">Four presentation views are built on top of the source table, stored in:</w:t>
      </w:r>
    </w:p>
    <w:p>
      <w:pPr>
        <w:shd w:fill="F0F0F0" w:val="clear"/>
        <w:spacing w:after="60"/>
        <w:ind w:left="360"/>
      </w:pPr>
      <w:r>
        <w:rPr>
          <w:rFonts w:ascii="Courier New" w:cs="Courier New" w:eastAsia="Courier New" w:hAnsi="Courier New"/>
          <w:color w:val="1a1a1a"/>
          <w:sz w:val="18"/>
          <w:szCs w:val="18"/>
        </w:rPr>
        <w:t xml:space="preserve">daton-project.trueseamoss_5363_prod_presentation_views</w:t>
      </w:r>
    </w:p>
    <w:p>
      <w:pPr>
        <w:spacing w:after="120"/>
      </w:pPr>
      <w:r>
        <w:t xml:space="preserve"/>
      </w:r>
    </w:p>
    <w:p>
      <w:pPr>
        <w:pStyle w:val="Heading3"/>
        <w:spacing w:after="60" w:before="200"/>
      </w:pPr>
      <w:r>
        <w:t xml:space="preserve">bq_cohort_matrix_segmented</w:t>
      </w:r>
    </w:p>
    <w:p>
      <w:pPr>
        <w:spacing w:after="120"/>
      </w:pPr>
      <w:r>
        <w:rPr>
          <w:rFonts w:ascii="Calibri" w:cs="Calibri" w:eastAsia="Calibri" w:hAnsi="Calibri"/>
          <w:sz w:val="22"/>
          <w:szCs w:val="22"/>
        </w:rPr>
        <w:t xml:space="preserve">Powers the Cohorts tab. Pre-aggregates cohort data by acquisition_month, month_diff (calendar months since first order), and product category.</w:t>
      </w:r>
    </w:p>
    <w:p>
      <w:pPr>
        <w:spacing w:after="120"/>
      </w:pPr>
      <w:r>
        <w:rPr>
          <w:rFonts w:ascii="Calibri" w:cs="Calibri" w:eastAsia="Calibri" w:hAnsi="Calibri"/>
          <w:sz w:val="22"/>
          <w:szCs w:val="22"/>
        </w:rPr>
        <w:t xml:space="preserve">Key columns: acquisition_month, acquisition_product_category, month_diff, cohort_size, customers, cumulative_repeat_customers, cumulative_repurchase_rate, first_order_customers.</w:t>
      </w:r>
    </w:p>
    <w:p>
      <w:pPr>
        <w:spacing w:after="120"/>
      </w:pPr>
      <w:r>
        <w:rPr>
          <w:rFonts w:ascii="Calibri" w:cs="Calibri" w:eastAsia="Calibri" w:hAnsi="Calibri"/>
          <w:sz w:val="22"/>
          <w:szCs w:val="22"/>
        </w:rPr>
        <w:t xml:space="preserve">Contains ALL product categories in the underlying data (Gel, Electrolytes, Bundle, Gummies, Soap, Powder, Capsules, Drops, etc.) — but the dashboard only surfaces Gel, Electrolytes, and All Categories.</w:t>
      </w:r>
    </w:p>
    <w:p>
      <w:pPr>
        <w:spacing w:after="120"/>
      </w:pPr>
      <w:r>
        <w:t xml:space="preserve"/>
      </w:r>
    </w:p>
    <w:p>
      <w:pPr>
        <w:pStyle w:val="Heading3"/>
        <w:spacing w:after="60" w:before="200"/>
      </w:pPr>
      <w:r>
        <w:t xml:space="preserve">bq_flavour_take_rate</w:t>
      </w:r>
    </w:p>
    <w:p>
      <w:pPr>
        <w:spacing w:after="120"/>
      </w:pPr>
      <w:r>
        <w:rPr>
          <w:rFonts w:ascii="Calibri" w:cs="Calibri" w:eastAsia="Calibri" w:hAnsi="Calibri"/>
          <w:sz w:val="22"/>
          <w:szCs w:val="22"/>
        </w:rPr>
        <w:t xml:space="preserve">Powers the Flavour Take Rate tab. Aggregates by month_start, category_filter, and component_sku_flavour_name.</w:t>
      </w:r>
    </w:p>
    <w:p>
      <w:pPr>
        <w:spacing w:after="120"/>
      </w:pPr>
      <w:r>
        <w:rPr>
          <w:rFonts w:ascii="Calibri" w:cs="Calibri" w:eastAsia="Calibri" w:hAnsi="Calibri"/>
          <w:sz w:val="22"/>
          <w:szCs w:val="22"/>
        </w:rPr>
        <w:t xml:space="preserve">Key calculation: take_rate_pct = order_count / SUM(order_count) OVER (PARTITION BY month_start, category_filter). Denominator = total flavour selections for that month/category, so percentages always sum to 100%.</w:t>
      </w:r>
    </w:p>
    <w:p>
      <w:pPr>
        <w:spacing w:after="120"/>
      </w:pPr>
      <w:r>
        <w:rPr>
          <w:rFonts w:ascii="Calibri" w:cs="Calibri" w:eastAsia="Calibri" w:hAnsi="Calibri"/>
          <w:sz w:val="22"/>
          <w:szCs w:val="22"/>
        </w:rPr>
        <w:t xml:space="preserve">Only rows with at least one order are included — no explicit zero rows.</w:t>
      </w:r>
    </w:p>
    <w:p>
      <w:pPr>
        <w:spacing w:after="120"/>
      </w:pPr>
      <w:r>
        <w:t xml:space="preserve"/>
      </w:r>
    </w:p>
    <w:p>
      <w:pPr>
        <w:pStyle w:val="Heading3"/>
        <w:spacing w:after="60" w:before="200"/>
      </w:pPr>
      <w:r>
        <w:t xml:space="preserve">bq_jar_take_rate</w:t>
      </w:r>
    </w:p>
    <w:p>
      <w:pPr>
        <w:spacing w:after="120"/>
      </w:pPr>
      <w:r>
        <w:rPr>
          <w:rFonts w:ascii="Calibri" w:cs="Calibri" w:eastAsia="Calibri" w:hAnsi="Calibri"/>
          <w:sz w:val="22"/>
          <w:szCs w:val="22"/>
        </w:rPr>
        <w:t xml:space="preserve">Powers the Jar Take Rate tab. Aggregates total unit count per order (across all products, not just the selected category), then assigns each order to a jar bucket: 1, 2, 3, 4, 5, 6+.</w:t>
      </w:r>
    </w:p>
    <w:p>
      <w:pPr>
        <w:spacing w:after="120"/>
      </w:pPr>
      <w:r>
        <w:rPr>
          <w:rFonts w:ascii="Calibri" w:cs="Calibri" w:eastAsia="Calibri" w:hAnsi="Calibri"/>
          <w:sz w:val="22"/>
          <w:szCs w:val="22"/>
        </w:rPr>
        <w:t xml:space="preserve">Multipacks are converted to individual unit counts before bucketing. Percentages sum to 100%.</w:t>
      </w:r>
    </w:p>
    <w:p>
      <w:pPr>
        <w:spacing w:after="120"/>
      </w:pPr>
      <w:r>
        <w:t xml:space="preserve"/>
      </w:r>
    </w:p>
    <w:p>
      <w:pPr>
        <w:pStyle w:val="Heading3"/>
        <w:spacing w:after="60" w:before="200"/>
      </w:pPr>
      <w:r>
        <w:t xml:space="preserve">bq_customer_purchase_bucket</w:t>
      </w:r>
    </w:p>
    <w:p>
      <w:pPr>
        <w:spacing w:after="120"/>
      </w:pPr>
      <w:r>
        <w:rPr>
          <w:rFonts w:ascii="Calibri" w:cs="Calibri" w:eastAsia="Calibri" w:hAnsi="Calibri"/>
          <w:sz w:val="22"/>
          <w:szCs w:val="22"/>
        </w:rPr>
        <w:t xml:space="preserve">Powers the Customers Who Purchased X Times tab. Key logic:</w:t>
      </w:r>
    </w:p>
    <w:p>
      <w:pPr>
        <w:pStyle w:val="ListParagraph"/>
        <w:numPr>
          <w:ilvl w:val="0"/>
          <w:numId w:val="2"/>
        </w:numPr>
        <w:spacing w:after="60"/>
      </w:pPr>
      <w:r>
        <w:rPr>
          <w:rFonts w:ascii="Calibri" w:cs="Calibri" w:eastAsia="Calibri" w:hAnsi="Calibri"/>
          <w:sz w:val="22"/>
          <w:szCs w:val="22"/>
        </w:rPr>
        <w:t xml:space="preserve">scoped_customers CTE: identifies which customers purchased each category — using ALL their orders, not just their first order. This means the category filter = "ever bought this category."</w:t>
      </w:r>
    </w:p>
    <w:p>
      <w:pPr>
        <w:pStyle w:val="ListParagraph"/>
        <w:numPr>
          <w:ilvl w:val="0"/>
          <w:numId w:val="2"/>
        </w:numPr>
        <w:spacing w:after="60"/>
      </w:pPr>
      <w:r>
        <w:rPr>
          <w:rFonts w:ascii="Calibri" w:cs="Calibri" w:eastAsia="Calibri" w:hAnsi="Calibri"/>
          <w:sz w:val="22"/>
          <w:szCs w:val="22"/>
        </w:rPr>
        <w:t xml:space="preserve">global_order_counts CTE: counts total lifetime orders per customer across ALL stores and channels (no WHERE clause restriction).</w:t>
      </w:r>
    </w:p>
    <w:p>
      <w:pPr>
        <w:pStyle w:val="ListParagraph"/>
        <w:numPr>
          <w:ilvl w:val="0"/>
          <w:numId w:val="2"/>
        </w:numPr>
        <w:spacing w:after="60"/>
      </w:pPr>
      <w:r>
        <w:rPr>
          <w:rFonts w:ascii="Calibri" w:cs="Calibri" w:eastAsia="Calibri" w:hAnsi="Calibri"/>
          <w:sz w:val="22"/>
          <w:szCs w:val="22"/>
        </w:rPr>
        <w:t xml:space="preserve">Category filter includes a UNION ALL to create an "All Categories" row = Gel + Electrolytes customers combined.</w:t>
      </w:r>
    </w:p>
    <w:p>
      <w:pPr>
        <w:spacing w:after="120"/>
      </w:pPr>
      <w:r>
        <w:rPr>
          <w:rFonts w:ascii="Calibri" w:cs="Calibri" w:eastAsia="Calibri" w:hAnsi="Calibri"/>
          <w:sz w:val="22"/>
          <w:szCs w:val="22"/>
        </w:rPr>
        <w:t xml:space="preserve">Key columns: acquisition_month, product_category, purchase_bucket (1–10+), customer_count, total_customers, take_rate_pct.</w:t>
      </w:r>
    </w:p>
    <w:p>
      <w:pPr>
        <w:spacing w:after="120"/>
      </w:pPr>
      <w:r>
        <w:t xml:space="preserve"/>
      </w:r>
    </w:p>
    <w:p>
      <w:pPr>
        <w:pStyle w:val="Heading2"/>
        <w:spacing w:after="80" w:before="300"/>
      </w:pPr>
      <w:r>
        <w:t xml:space="preserve">2.3 Critical Data Definitions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c>
          <w:tcPr>
            <w:tcW w:type="dxa" w:w="2340"/>
            <w:shd w:fill="F2F2F2" w:val="clear"/>
          </w:tcPr>
          <w:p>
            <w:pPr>
              <w:spacing w:after="60"/>
            </w:pPr>
            <w:r>
              <w:rPr>
                <w:rFonts w:ascii="Calibri" w:cs="Calibri" w:eastAsia="Calibri" w:hAnsi="Calibri"/>
                <w:b/>
                <w:bCs/>
                <w:sz w:val="20"/>
                <w:szCs w:val="20"/>
              </w:rPr>
              <w:t xml:space="preserve">Acquisition Month</w:t>
            </w:r>
          </w:p>
        </w:tc>
        <w:tc>
          <w:tcPr>
            <w:tcW w:type="dxa" w:w="7020"/>
          </w:tcPr>
          <w:p>
            <w:pPr>
              <w:spacing w:after="60"/>
            </w:pPr>
            <w:r>
              <w:rPr>
                <w:rFonts w:ascii="Calibri" w:cs="Calibri" w:eastAsia="Calibri" w:hAnsi="Calibri"/>
                <w:sz w:val="20"/>
                <w:szCs w:val="20"/>
              </w:rPr>
              <w:t xml:space="preserve">The calendar month (YYYY-MM) of the customer's very first US Shopify order. This is a fixed, customer-level property. It does not change when they buy again or buy a different category.</w:t>
            </w:r>
          </w:p>
        </w:tc>
      </w:tr>
      <w:tr>
        <w:tc>
          <w:tcPr>
            <w:tcW w:type="dxa" w:w="2340"/>
            <w:shd w:fill="F2F2F2" w:val="clear"/>
          </w:tcPr>
          <w:p>
            <w:pPr>
              <w:spacing w:after="60"/>
            </w:pPr>
            <w:r>
              <w:rPr>
                <w:rFonts w:ascii="Calibri" w:cs="Calibri" w:eastAsia="Calibri" w:hAnsi="Calibri"/>
                <w:b/>
                <w:bCs/>
                <w:sz w:val="20"/>
                <w:szCs w:val="20"/>
              </w:rPr>
              <w:t xml:space="preserve">Month Diff (0, 1, 2…)</w:t>
            </w:r>
          </w:p>
        </w:tc>
        <w:tc>
          <w:tcPr>
            <w:tcW w:type="dxa" w:w="7020"/>
          </w:tcPr>
          <w:p>
            <w:pPr>
              <w:spacing w:after="60"/>
            </w:pPr>
            <w:r>
              <w:rPr>
                <w:rFonts w:ascii="Calibri" w:cs="Calibri" w:eastAsia="Calibri" w:hAnsi="Calibri"/>
                <w:sz w:val="20"/>
                <w:szCs w:val="20"/>
              </w:rPr>
              <w:t xml:space="preserve">DATE_DIFF(date, acquisition_date, MONTH) — the number of calendar-month boundaries crossed between the customer's first order and a subsequent order. Month 0 = same calendar month as first order.</w:t>
            </w:r>
          </w:p>
        </w:tc>
      </w:tr>
      <w:tr>
        <w:tc>
          <w:tcPr>
            <w:tcW w:type="dxa" w:w="2340"/>
            <w:shd w:fill="F2F2F2" w:val="clear"/>
          </w:tcPr>
          <w:p>
            <w:pPr>
              <w:spacing w:after="60"/>
            </w:pPr>
            <w:r>
              <w:rPr>
                <w:rFonts w:ascii="Calibri" w:cs="Calibri" w:eastAsia="Calibri" w:hAnsi="Calibri"/>
                <w:b/>
                <w:bCs/>
                <w:sz w:val="20"/>
                <w:szCs w:val="20"/>
              </w:rPr>
              <w:t xml:space="preserve">All Categories</w:t>
            </w:r>
          </w:p>
        </w:tc>
        <w:tc>
          <w:tcPr>
            <w:tcW w:type="dxa" w:w="7020"/>
          </w:tcPr>
          <w:p>
            <w:pPr>
              <w:spacing w:after="60"/>
            </w:pPr>
            <w:r>
              <w:rPr>
                <w:rFonts w:ascii="Calibri" w:cs="Calibri" w:eastAsia="Calibri" w:hAnsi="Calibri"/>
                <w:sz w:val="20"/>
                <w:szCs w:val="20"/>
              </w:rPr>
              <w:t xml:space="preserve">Gel + Electrolytes customers combined only. NOT all product categories in the business. Calculated as a single distinct customer count to prevent double-counting.</w:t>
            </w:r>
          </w:p>
        </w:tc>
      </w:tr>
      <w:tr>
        <w:tc>
          <w:tcPr>
            <w:tcW w:type="dxa" w:w="2340"/>
            <w:shd w:fill="F2F2F2" w:val="clear"/>
          </w:tcPr>
          <w:p>
            <w:pPr>
              <w:spacing w:after="60"/>
            </w:pPr>
            <w:r>
              <w:rPr>
                <w:rFonts w:ascii="Calibri" w:cs="Calibri" w:eastAsia="Calibri" w:hAnsi="Calibri"/>
                <w:b/>
                <w:bCs/>
                <w:sz w:val="20"/>
                <w:szCs w:val="20"/>
              </w:rPr>
              <w:t xml:space="preserve">Category — Cohorts tab</w:t>
            </w:r>
          </w:p>
        </w:tc>
        <w:tc>
          <w:tcPr>
            <w:tcW w:type="dxa" w:w="7020"/>
          </w:tcPr>
          <w:p>
            <w:pPr>
              <w:spacing w:after="60"/>
            </w:pPr>
            <w:r>
              <w:rPr>
                <w:rFonts w:ascii="Calibri" w:cs="Calibri" w:eastAsia="Calibri" w:hAnsi="Calibri"/>
                <w:sz w:val="20"/>
                <w:szCs w:val="20"/>
              </w:rPr>
              <w:t xml:space="preserve">Based on the product category in the customer's FIRST-EVER order.</w:t>
            </w:r>
          </w:p>
        </w:tc>
      </w:tr>
      <w:tr>
        <w:tc>
          <w:tcPr>
            <w:tcW w:type="dxa" w:w="2340"/>
            <w:shd w:fill="F2F2F2" w:val="clear"/>
          </w:tcPr>
          <w:p>
            <w:pPr>
              <w:spacing w:after="60"/>
            </w:pPr>
            <w:r>
              <w:rPr>
                <w:rFonts w:ascii="Calibri" w:cs="Calibri" w:eastAsia="Calibri" w:hAnsi="Calibri"/>
                <w:b/>
                <w:bCs/>
                <w:sz w:val="20"/>
                <w:szCs w:val="20"/>
              </w:rPr>
              <w:t xml:space="preserve">Category — Customers X Times tab</w:t>
            </w:r>
          </w:p>
        </w:tc>
        <w:tc>
          <w:tcPr>
            <w:tcW w:type="dxa" w:w="7020"/>
          </w:tcPr>
          <w:p>
            <w:pPr>
              <w:spacing w:after="60"/>
            </w:pPr>
            <w:r>
              <w:rPr>
                <w:rFonts w:ascii="Calibri" w:cs="Calibri" w:eastAsia="Calibri" w:hAnsi="Calibri"/>
                <w:sz w:val="20"/>
                <w:szCs w:val="20"/>
              </w:rPr>
              <w:t xml:space="preserve">Based on whether the customer has EVER purchased that category at any point in their history.</w:t>
            </w:r>
          </w:p>
        </w:tc>
      </w:tr>
      <w:tr>
        <w:tc>
          <w:tcPr>
            <w:tcW w:type="dxa" w:w="2340"/>
            <w:shd w:fill="F2F2F2" w:val="clear"/>
          </w:tcPr>
          <w:p>
            <w:pPr>
              <w:spacing w:after="60"/>
            </w:pPr>
            <w:r>
              <w:rPr>
                <w:rFonts w:ascii="Calibri" w:cs="Calibri" w:eastAsia="Calibri" w:hAnsi="Calibri"/>
                <w:b/>
                <w:bCs/>
                <w:sz w:val="20"/>
                <w:szCs w:val="20"/>
              </w:rPr>
              <w:t xml:space="preserve">First Order column</w:t>
            </w:r>
          </w:p>
        </w:tc>
        <w:tc>
          <w:tcPr>
            <w:tcW w:type="dxa" w:w="7020"/>
          </w:tcPr>
          <w:p>
            <w:pPr>
              <w:spacing w:after="60"/>
            </w:pPr>
            <w:r>
              <w:rPr>
                <w:rFonts w:ascii="Calibri" w:cs="Calibri" w:eastAsia="Calibri" w:hAnsi="Calibri"/>
                <w:sz w:val="20"/>
                <w:szCs w:val="20"/>
              </w:rPr>
              <w:t xml:space="preserve">KPI value attributable to the customer's initial transaction.</w:t>
            </w:r>
          </w:p>
        </w:tc>
      </w:tr>
      <w:tr>
        <w:tc>
          <w:tcPr>
            <w:tcW w:type="dxa" w:w="2340"/>
            <w:shd w:fill="F2F2F2" w:val="clear"/>
          </w:tcPr>
          <w:p>
            <w:pPr>
              <w:spacing w:after="60"/>
            </w:pPr>
            <w:r>
              <w:rPr>
                <w:rFonts w:ascii="Calibri" w:cs="Calibri" w:eastAsia="Calibri" w:hAnsi="Calibri"/>
                <w:b/>
                <w:bCs/>
                <w:sz w:val="20"/>
                <w:szCs w:val="20"/>
              </w:rPr>
              <w:t xml:space="preserve">Month 0 column</w:t>
            </w:r>
          </w:p>
        </w:tc>
        <w:tc>
          <w:tcPr>
            <w:tcW w:type="dxa" w:w="7020"/>
          </w:tcPr>
          <w:p>
            <w:pPr>
              <w:spacing w:after="60"/>
            </w:pPr>
            <w:r>
              <w:rPr>
                <w:rFonts w:ascii="Calibri" w:cs="Calibri" w:eastAsia="Calibri" w:hAnsi="Calibri"/>
                <w:sz w:val="20"/>
                <w:szCs w:val="20"/>
              </w:rPr>
              <w:t xml:space="preserve">KPI value for additional purchases made within the same calendar month as the first order.</w:t>
            </w:r>
          </w:p>
        </w:tc>
      </w:tr>
      <w:tr>
        <w:tc>
          <w:tcPr>
            <w:tcW w:type="dxa" w:w="2340"/>
            <w:shd w:fill="F2F2F2" w:val="clear"/>
          </w:tcPr>
          <w:p>
            <w:pPr>
              <w:spacing w:after="60"/>
            </w:pPr>
            <w:r>
              <w:rPr>
                <w:rFonts w:ascii="Calibri" w:cs="Calibri" w:eastAsia="Calibri" w:hAnsi="Calibri"/>
                <w:b/>
                <w:bCs/>
                <w:sz w:val="20"/>
                <w:szCs w:val="20"/>
              </w:rPr>
              <w:t xml:space="preserve">Return transactions</w:t>
            </w:r>
          </w:p>
        </w:tc>
        <w:tc>
          <w:tcPr>
            <w:tcW w:type="dxa" w:w="7020"/>
          </w:tcPr>
          <w:p>
            <w:pPr>
              <w:spacing w:after="60"/>
            </w:pPr>
            <w:r>
              <w:rPr>
                <w:rFonts w:ascii="Calibri" w:cs="Calibri" w:eastAsia="Calibri" w:hAnsi="Calibri"/>
                <w:sz w:val="20"/>
                <w:szCs w:val="20"/>
              </w:rPr>
              <w:t xml:space="preserve">Excluded at the source level via transaction_type &lt;&gt; 'Return' filter. Revenue figures reflect original order values, not net of refunds.</w:t>
            </w:r>
          </w:p>
        </w:tc>
      </w:tr>
      <w:tr>
        <w:tc>
          <w:tcPr>
            <w:tcW w:type="dxa" w:w="2340"/>
            <w:shd w:fill="F2F2F2" w:val="clear"/>
          </w:tcPr>
          <w:p>
            <w:pPr>
              <w:spacing w:after="60"/>
            </w:pPr>
            <w:r>
              <w:rPr>
                <w:rFonts w:ascii="Calibri" w:cs="Calibri" w:eastAsia="Calibri" w:hAnsi="Calibri"/>
                <w:b/>
                <w:bCs/>
                <w:sz w:val="20"/>
                <w:szCs w:val="20"/>
              </w:rPr>
              <w:t xml:space="preserve">Cancelled orders</w:t>
            </w:r>
          </w:p>
        </w:tc>
        <w:tc>
          <w:tcPr>
            <w:tcW w:type="dxa" w:w="7020"/>
          </w:tcPr>
          <w:p>
            <w:pPr>
              <w:spacing w:after="60"/>
            </w:pPr>
            <w:r>
              <w:rPr>
                <w:rFonts w:ascii="Calibri" w:cs="Calibri" w:eastAsia="Calibri" w:hAnsi="Calibri"/>
                <w:sz w:val="20"/>
                <w:szCs w:val="20"/>
              </w:rPr>
              <w:t xml:space="preserve">Currently included and not correctly identified — is_cancelled is hardcoded to false in the pipeline. See Section 5.3 for fix details.</w:t>
            </w:r>
          </w:p>
        </w:tc>
      </w:tr>
    </w:tbl>
    <w:p>
      <w:pPr>
        <w:spacing w:after="120"/>
      </w:pPr>
      <w:r>
        <w:t xml:space="preserve"/>
      </w:r>
    </w:p>
    <w:p>
      <w:r>
        <w:br w:type="page"/>
      </w:r>
    </w:p>
    <w:p>
      <w:pPr>
        <w:pStyle w:val="Heading1"/>
        <w:spacing w:after="120" w:before="400"/>
      </w:pPr>
      <w:r>
        <w:t xml:space="preserve">3. Dashboard Architecture</w:t>
      </w:r>
    </w:p>
    <w:p>
      <w:pPr>
        <w:pStyle w:val="Heading2"/>
        <w:spacing w:after="80" w:before="300"/>
      </w:pPr>
      <w:r>
        <w:t xml:space="preserve">3.1 Platform</w:t>
      </w:r>
    </w:p>
    <w:p>
      <w:pPr>
        <w:spacing w:after="120"/>
      </w:pPr>
      <w:r>
        <w:rPr>
          <w:rFonts w:ascii="Calibri" w:cs="Calibri" w:eastAsia="Calibri" w:hAnsi="Calibri"/>
          <w:sz w:val="22"/>
          <w:szCs w:val="22"/>
        </w:rPr>
        <w:t xml:space="preserve">The dashboard is a Google Sheets workbook driven by a Google Apps Script (buildCohortsDashboard()). On each refresh, the Apps Script:</w:t>
      </w:r>
    </w:p>
    <w:p>
      <w:pPr>
        <w:pStyle w:val="ListParagraph"/>
        <w:numPr>
          <w:ilvl w:val="0"/>
          <w:numId w:val="2"/>
        </w:numPr>
        <w:spacing w:after="60"/>
      </w:pPr>
      <w:r>
        <w:rPr>
          <w:rFonts w:ascii="Calibri" w:cs="Calibri" w:eastAsia="Calibri" w:hAnsi="Calibri"/>
          <w:sz w:val="22"/>
          <w:szCs w:val="22"/>
        </w:rPr>
        <w:t xml:space="preserve">Authenticates to BigQuery using a service account.</w:t>
      </w:r>
    </w:p>
    <w:p>
      <w:pPr>
        <w:pStyle w:val="ListParagraph"/>
        <w:numPr>
          <w:ilvl w:val="0"/>
          <w:numId w:val="2"/>
        </w:numPr>
        <w:spacing w:after="60"/>
      </w:pPr>
      <w:r>
        <w:rPr>
          <w:rFonts w:ascii="Calibri" w:cs="Calibri" w:eastAsia="Calibri" w:hAnsi="Calibri"/>
          <w:sz w:val="22"/>
          <w:szCs w:val="22"/>
        </w:rPr>
        <w:t xml:space="preserve">Queries each of the four BQ presentation views.</w:t>
      </w:r>
    </w:p>
    <w:p>
      <w:pPr>
        <w:pStyle w:val="ListParagraph"/>
        <w:numPr>
          <w:ilvl w:val="0"/>
          <w:numId w:val="2"/>
        </w:numPr>
        <w:spacing w:after="60"/>
      </w:pPr>
      <w:r>
        <w:rPr>
          <w:rFonts w:ascii="Calibri" w:cs="Calibri" w:eastAsia="Calibri" w:hAnsi="Calibri"/>
          <w:sz w:val="22"/>
          <w:szCs w:val="22"/>
        </w:rPr>
        <w:t xml:space="preserve">Writes the results into the corresponding Google Sheets tabs.</w:t>
      </w:r>
    </w:p>
    <w:p>
      <w:pPr>
        <w:pStyle w:val="ListParagraph"/>
        <w:numPr>
          <w:ilvl w:val="0"/>
          <w:numId w:val="2"/>
        </w:numPr>
        <w:spacing w:after="60"/>
      </w:pPr>
      <w:r>
        <w:rPr>
          <w:rFonts w:ascii="Calibri" w:cs="Calibri" w:eastAsia="Calibri" w:hAnsi="Calibri"/>
          <w:sz w:val="22"/>
          <w:szCs w:val="22"/>
        </w:rPr>
        <w:t xml:space="preserve">Applies formatting, conditional heat-mapping, dropdowns, and formula-based display logic.</w:t>
      </w:r>
    </w:p>
    <w:p>
      <w:pPr>
        <w:spacing w:after="120"/>
      </w:pPr>
      <w:r>
        <w:t xml:space="preserve"/>
      </w:r>
    </w:p>
    <w:p>
      <w:pPr>
        <w:pStyle w:val="Heading2"/>
        <w:spacing w:after="80" w:before="300"/>
      </w:pPr>
      <w:r>
        <w:t xml:space="preserve">3.2 Dashboard Tabs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c>
          <w:tcPr>
            <w:tcW w:type="dxa" w:w="2340"/>
            <w:shd w:fill="F2F2F2" w:val="clear"/>
          </w:tcPr>
          <w:p>
            <w:pPr>
              <w:spacing w:after="60"/>
            </w:pPr>
            <w:r>
              <w:rPr>
                <w:rFonts w:ascii="Calibri" w:cs="Calibri" w:eastAsia="Calibri" w:hAnsi="Calibri"/>
                <w:b/>
                <w:bCs/>
                <w:sz w:val="20"/>
                <w:szCs w:val="20"/>
              </w:rPr>
              <w:t xml:space="preserve">Cohorts</w:t>
            </w:r>
          </w:p>
        </w:tc>
        <w:tc>
          <w:tcPr>
            <w:tcW w:type="dxa" w:w="7020"/>
          </w:tcPr>
          <w:p>
            <w:pPr>
              <w:spacing w:after="60"/>
            </w:pPr>
            <w:r>
              <w:rPr>
                <w:rFonts w:ascii="Calibri" w:cs="Calibri" w:eastAsia="Calibri" w:hAnsi="Calibri"/>
                <w:sz w:val="20"/>
                <w:szCs w:val="20"/>
              </w:rPr>
              <w:t xml:space="preserve">Cohort matrix: rows = acquisition months, columns = Month 0, 1, 2… up to current. KPI selector: Total Customers, Cumulative Repurchase Rate, Revenue, etc. Category selector: Gel, Electrolytes, All Categories.</w:t>
            </w:r>
          </w:p>
        </w:tc>
      </w:tr>
      <w:tr>
        <w:tc>
          <w:tcPr>
            <w:tcW w:type="dxa" w:w="2340"/>
            <w:shd w:fill="F2F2F2" w:val="clear"/>
          </w:tcPr>
          <w:p>
            <w:pPr>
              <w:spacing w:after="60"/>
            </w:pPr>
            <w:r>
              <w:rPr>
                <w:rFonts w:ascii="Calibri" w:cs="Calibri" w:eastAsia="Calibri" w:hAnsi="Calibri"/>
                <w:b/>
                <w:bCs/>
                <w:sz w:val="20"/>
                <w:szCs w:val="20"/>
              </w:rPr>
              <w:t xml:space="preserve">Flavour Take Rate</w:t>
            </w:r>
          </w:p>
        </w:tc>
        <w:tc>
          <w:tcPr>
            <w:tcW w:type="dxa" w:w="7020"/>
          </w:tcPr>
          <w:p>
            <w:pPr>
              <w:spacing w:after="60"/>
            </w:pPr>
            <w:r>
              <w:rPr>
                <w:rFonts w:ascii="Calibri" w:cs="Calibri" w:eastAsia="Calibri" w:hAnsi="Calibri"/>
                <w:sz w:val="20"/>
                <w:szCs w:val="20"/>
              </w:rPr>
              <w:t xml:space="preserve">Month-by-month share of each flavour within the selected category. Percentages sum to 100%.</w:t>
            </w:r>
          </w:p>
        </w:tc>
      </w:tr>
      <w:tr>
        <w:tc>
          <w:tcPr>
            <w:tcW w:type="dxa" w:w="2340"/>
            <w:shd w:fill="F2F2F2" w:val="clear"/>
          </w:tcPr>
          <w:p>
            <w:pPr>
              <w:spacing w:after="60"/>
            </w:pPr>
            <w:r>
              <w:rPr>
                <w:rFonts w:ascii="Calibri" w:cs="Calibri" w:eastAsia="Calibri" w:hAnsi="Calibri"/>
                <w:b/>
                <w:bCs/>
                <w:sz w:val="20"/>
                <w:szCs w:val="20"/>
              </w:rPr>
              <w:t xml:space="preserve">Jar Take Rate</w:t>
            </w:r>
          </w:p>
        </w:tc>
        <w:tc>
          <w:tcPr>
            <w:tcW w:type="dxa" w:w="7020"/>
          </w:tcPr>
          <w:p>
            <w:pPr>
              <w:spacing w:after="60"/>
            </w:pPr>
            <w:r>
              <w:rPr>
                <w:rFonts w:ascii="Calibri" w:cs="Calibri" w:eastAsia="Calibri" w:hAnsi="Calibri"/>
                <w:sz w:val="20"/>
                <w:szCs w:val="20"/>
              </w:rPr>
              <w:t xml:space="preserve">Month-by-month share of orders by total jar count (1, 2, 3, 4, 5, 6+). Percentages sum to 100%.</w:t>
            </w:r>
          </w:p>
        </w:tc>
      </w:tr>
      <w:tr>
        <w:tc>
          <w:tcPr>
            <w:tcW w:type="dxa" w:w="2340"/>
            <w:shd w:fill="F2F2F2" w:val="clear"/>
          </w:tcPr>
          <w:p>
            <w:pPr>
              <w:spacing w:after="60"/>
            </w:pPr>
            <w:r>
              <w:rPr>
                <w:rFonts w:ascii="Calibri" w:cs="Calibri" w:eastAsia="Calibri" w:hAnsi="Calibri"/>
                <w:b/>
                <w:bCs/>
                <w:sz w:val="20"/>
                <w:szCs w:val="20"/>
              </w:rPr>
              <w:t xml:space="preserve">Customers Who Purchased X Times</w:t>
            </w:r>
          </w:p>
        </w:tc>
        <w:tc>
          <w:tcPr>
            <w:tcW w:type="dxa" w:w="7020"/>
          </w:tcPr>
          <w:p>
            <w:pPr>
              <w:spacing w:after="60"/>
            </w:pPr>
            <w:r>
              <w:rPr>
                <w:rFonts w:ascii="Calibri" w:cs="Calibri" w:eastAsia="Calibri" w:hAnsi="Calibri"/>
                <w:sz w:val="20"/>
                <w:szCs w:val="20"/>
              </w:rPr>
              <w:t xml:space="preserve">Rows = acquisition months. Columns = purchase count buckets (1, 2, 3, … 10+). Category filter here = ever purchased that category. Purchase bucket = total lifetime orders.</w:t>
            </w:r>
          </w:p>
        </w:tc>
      </w:tr>
      <w:tr>
        <w:tc>
          <w:tcPr>
            <w:tcW w:type="dxa" w:w="2340"/>
            <w:shd w:fill="F2F2F2" w:val="clear"/>
          </w:tcPr>
          <w:p>
            <w:pPr>
              <w:spacing w:after="60"/>
            </w:pPr>
            <w:r>
              <w:rPr>
                <w:rFonts w:ascii="Calibri" w:cs="Calibri" w:eastAsia="Calibri" w:hAnsi="Calibri"/>
                <w:b/>
                <w:bCs/>
                <w:sz w:val="20"/>
                <w:szCs w:val="20"/>
              </w:rPr>
              <w:t xml:space="preserve">Definitions</w:t>
            </w:r>
          </w:p>
        </w:tc>
        <w:tc>
          <w:tcPr>
            <w:tcW w:type="dxa" w:w="7020"/>
          </w:tcPr>
          <w:p>
            <w:pPr>
              <w:spacing w:after="60"/>
            </w:pPr>
            <w:r>
              <w:rPr>
                <w:rFonts w:ascii="Calibri" w:cs="Calibri" w:eastAsia="Calibri" w:hAnsi="Calibri"/>
                <w:sz w:val="20"/>
                <w:szCs w:val="20"/>
              </w:rPr>
              <w:t xml:space="preserve">Reference tab for metric definitions and data rules.</w:t>
            </w:r>
          </w:p>
        </w:tc>
      </w:tr>
    </w:tbl>
    <w:p>
      <w:pPr>
        <w:spacing w:after="120"/>
      </w:pPr>
      <w:r>
        <w:t xml:space="preserve"/>
      </w:r>
    </w:p>
    <w:p>
      <w:pPr>
        <w:pStyle w:val="Heading2"/>
        <w:spacing w:after="80" w:before="300"/>
      </w:pPr>
      <w:r>
        <w:t xml:space="preserve">3.3 Category Selector</w:t>
      </w:r>
    </w:p>
    <w:p>
      <w:pPr>
        <w:spacing w:after="120"/>
      </w:pPr>
      <w:r>
        <w:rPr>
          <w:rFonts w:ascii="Calibri" w:cs="Calibri" w:eastAsia="Calibri" w:hAnsi="Calibri"/>
          <w:sz w:val="22"/>
          <w:szCs w:val="22"/>
        </w:rPr>
        <w:t xml:space="preserve">The dashboard exposes three category views across all tabs: Gel, Electrolytes, and All Categories. This is an intentional limitation by the Apps Script — the underlying BQ views contain data for all product categories (Bundle, Gummies, Soap, Powder, Capsules, etc.) but only these three are surfaced.</w:t>
      </w:r>
    </w:p>
    <w:p>
      <w:pPr>
        <w:spacing w:after="120"/>
      </w:pPr>
      <w:r>
        <w:rPr>
          <w:rFonts w:ascii="Calibri" w:cs="Calibri" w:eastAsia="Calibri" w:hAnsi="Calibri"/>
          <w:sz w:val="22"/>
          <w:szCs w:val="22"/>
        </w:rPr>
        <w:t xml:space="preserve">"All Categories" = Gel + Electrolytes customers combined. It does not include other product categories.</w:t>
      </w:r>
    </w:p>
    <w:p>
      <w:pPr>
        <w:spacing w:after="120"/>
      </w:pPr>
      <w:r>
        <w:t xml:space="preserve"/>
      </w:r>
    </w:p>
    <w:p>
      <w:pPr>
        <w:pStyle w:val="Heading2"/>
        <w:spacing w:after="80" w:before="300"/>
      </w:pPr>
      <w:r>
        <w:t xml:space="preserve">3.4 Controls</w:t>
      </w:r>
    </w:p>
    <w:p>
      <w:pPr>
        <w:spacing w:after="120"/>
      </w:pPr>
      <w:r>
        <w:rPr>
          <w:rFonts w:ascii="Calibri" w:cs="Calibri" w:eastAsia="Calibri" w:hAnsi="Calibri"/>
          <w:sz w:val="22"/>
          <w:szCs w:val="22"/>
        </w:rPr>
        <w:t xml:space="preserve">Four editable control cells on the Cohorts tab:</w:t>
      </w:r>
    </w:p>
    <w:p>
      <w:pPr>
        <w:pStyle w:val="ListParagraph"/>
        <w:numPr>
          <w:ilvl w:val="0"/>
          <w:numId w:val="2"/>
        </w:numPr>
        <w:spacing w:after="60"/>
      </w:pPr>
      <w:r>
        <w:rPr>
          <w:rFonts w:ascii="Calibri" w:cs="Calibri" w:eastAsia="Calibri" w:hAnsi="Calibri"/>
          <w:sz w:val="22"/>
          <w:szCs w:val="22"/>
        </w:rPr>
        <w:t xml:space="preserve">Select KPI — switches the metric displayed (Total Customers, Cumulative Repurchase Rate, Revenue, etc.)</w:t>
      </w:r>
    </w:p>
    <w:p>
      <w:pPr>
        <w:pStyle w:val="ListParagraph"/>
        <w:numPr>
          <w:ilvl w:val="0"/>
          <w:numId w:val="2"/>
        </w:numPr>
        <w:spacing w:after="60"/>
      </w:pPr>
      <w:r>
        <w:rPr>
          <w:rFonts w:ascii="Calibri" w:cs="Calibri" w:eastAsia="Calibri" w:hAnsi="Calibri"/>
          <w:sz w:val="22"/>
          <w:szCs w:val="22"/>
        </w:rPr>
        <w:t xml:space="preserve">Select Category — Gel / Electrolytes / All Categories</w:t>
      </w:r>
    </w:p>
    <w:p>
      <w:pPr>
        <w:pStyle w:val="ListParagraph"/>
        <w:numPr>
          <w:ilvl w:val="0"/>
          <w:numId w:val="2"/>
        </w:numPr>
        <w:spacing w:after="60"/>
      </w:pPr>
      <w:r>
        <w:rPr>
          <w:rFonts w:ascii="Calibri" w:cs="Calibri" w:eastAsia="Calibri" w:hAnsi="Calibri"/>
          <w:sz w:val="22"/>
          <w:szCs w:val="22"/>
        </w:rPr>
        <w:t xml:space="preserve">Display Mode — # (raw count) or % (percentage)</w:t>
      </w:r>
    </w:p>
    <w:p>
      <w:pPr>
        <w:pStyle w:val="ListParagraph"/>
        <w:numPr>
          <w:ilvl w:val="0"/>
          <w:numId w:val="2"/>
        </w:numPr>
        <w:spacing w:after="60"/>
      </w:pPr>
      <w:r>
        <w:rPr>
          <w:rFonts w:ascii="Calibri" w:cs="Calibri" w:eastAsia="Calibri" w:hAnsi="Calibri"/>
          <w:sz w:val="22"/>
          <w:szCs w:val="22"/>
        </w:rPr>
        <w:t xml:space="preserve">Number Scale — Raw / K (thousands) / M (millions)</w:t>
      </w:r>
    </w:p>
    <w:p>
      <w:pPr>
        <w:spacing w:after="120"/>
      </w:pPr>
      <w:r>
        <w:t xml:space="preserve"/>
      </w:r>
    </w:p>
    <w:p>
      <w:pPr>
        <w:pStyle w:val="Heading2"/>
        <w:spacing w:after="80" w:before="300"/>
      </w:pPr>
      <w:r>
        <w:t xml:space="preserve">3.5 Blank vs Zero</w:t>
      </w:r>
    </w:p>
    <w:p>
      <w:pPr>
        <w:spacing w:after="120"/>
      </w:pPr>
      <w:r>
        <w:rPr>
          <w:rFonts w:ascii="Calibri" w:cs="Calibri" w:eastAsia="Calibri" w:hAnsi="Calibri"/>
          <w:sz w:val="22"/>
          <w:szCs w:val="22"/>
        </w:rPr>
        <w:t xml:space="preserve">In the Cohorts tab: 0 = the month has arrived but no customers purchased. Blank = the month has not yet occurred (future date). The current dashboard does not visually distinguish between a confirmed zero and the current in-progress month.</w:t>
      </w:r>
    </w:p>
    <w:p>
      <w:pPr>
        <w:spacing w:after="120"/>
      </w:pPr>
      <w:r>
        <w:rPr>
          <w:rFonts w:ascii="Calibri" w:cs="Calibri" w:eastAsia="Calibri" w:hAnsi="Calibri"/>
          <w:sz w:val="22"/>
          <w:szCs w:val="22"/>
        </w:rPr>
        <w:t xml:space="preserve">In Flavour Take Rate and Jar Take Rate: blanks indicate no orders recorded for that combination. There are no explicit zero rows in those tabs.</w:t>
      </w:r>
    </w:p>
    <w:p>
      <w:pPr>
        <w:spacing w:after="120"/>
      </w:pPr>
      <w:r>
        <w:t xml:space="preserve"/>
      </w:r>
    </w:p>
    <w:p>
      <w:r>
        <w:br w:type="page"/>
      </w:r>
    </w:p>
    <w:p>
      <w:pPr>
        <w:pStyle w:val="Heading1"/>
        <w:spacing w:after="120" w:before="400"/>
      </w:pPr>
      <w:r>
        <w:t xml:space="preserve">4. Client Feedback — Questions and Answers</w:t>
      </w:r>
    </w:p>
    <w:p>
      <w:pPr>
        <w:spacing w:after="120"/>
      </w:pPr>
      <w:r>
        <w:rPr>
          <w:rFonts w:ascii="Calibri" w:cs="Calibri" w:eastAsia="Calibri" w:hAnsi="Calibri"/>
          <w:sz w:val="22"/>
          <w:szCs w:val="22"/>
        </w:rPr>
        <w:t xml:space="preserve">The following 18 questions were raised by the client following delivery of the dashboard. All answers have been validated against the underlying BigQuery data.</w:t>
      </w:r>
    </w:p>
    <w:p>
      <w:pPr>
        <w:spacing w:after="120"/>
      </w:pPr>
      <w:r>
        <w:t xml:space="preserve"/>
      </w:r>
    </w:p>
    <w:p>
      <w:pPr>
        <w:spacing w:after="80" w:before="240"/>
      </w:pPr>
      <w:r>
        <w:rPr>
          <w:rFonts w:ascii="Calibri" w:cs="Calibri" w:eastAsia="Calibri" w:hAnsi="Calibri"/>
          <w:b/>
          <w:bCs/>
          <w:color w:val="1F4E79"/>
          <w:sz w:val="22"/>
          <w:szCs w:val="22"/>
        </w:rPr>
        <w:t xml:space="preserve">Q1. </w:t>
      </w:r>
      <w:r>
        <w:rPr>
          <w:rFonts w:ascii="Calibri" w:cs="Calibri" w:eastAsia="Calibri" w:hAnsi="Calibri"/>
          <w:b/>
          <w:bCs/>
          <w:color w:val="1F4E79"/>
          <w:sz w:val="22"/>
          <w:szCs w:val="22"/>
        </w:rPr>
        <w:t xml:space="preserve">Cumulative Repurchase Rate — Could you confirm the exact calculation and denominator? The definition says it is the percentage of customers who made at least one repeat purchase, so we would expect it to remain between 0% and 100%. However, some values in the underlying extract appear to exceed 100%.</w:t>
      </w:r>
    </w:p>
    <w:p>
      <w:pPr>
        <w:spacing w:after="120"/>
      </w:pPr>
      <w:r>
        <w:rPr>
          <w:rFonts w:ascii="Calibri" w:cs="Calibri" w:eastAsia="Calibri" w:hAnsi="Calibri"/>
          <w:sz w:val="22"/>
          <w:szCs w:val="22"/>
        </w:rPr>
        <w:t xml:space="preserve">The Cumulative Repurchase Rate is intended to show the percentage of customers in a cohort who have made at least one repeat purchase by a given month.</w:t>
      </w:r>
    </w:p>
    <w:p>
      <w:pPr>
        <w:pStyle w:val="ListParagraph"/>
        <w:numPr>
          <w:ilvl w:val="0"/>
          <w:numId w:val="2"/>
        </w:numPr>
        <w:spacing w:after="60"/>
      </w:pPr>
      <w:r>
        <w:rPr>
          <w:rFonts w:ascii="Calibri" w:cs="Calibri" w:eastAsia="Calibri" w:hAnsi="Calibri"/>
          <w:sz w:val="22"/>
          <w:szCs w:val="22"/>
        </w:rPr>
        <w:t xml:space="preserve">Denominator: Total number of customers in the cohort.</w:t>
      </w:r>
    </w:p>
    <w:p>
      <w:pPr>
        <w:pStyle w:val="ListParagraph"/>
        <w:numPr>
          <w:ilvl w:val="0"/>
          <w:numId w:val="2"/>
        </w:numPr>
        <w:spacing w:after="60"/>
      </w:pPr>
      <w:r>
        <w:rPr>
          <w:rFonts w:ascii="Calibri" w:cs="Calibri" w:eastAsia="Calibri" w:hAnsi="Calibri"/>
          <w:sz w:val="22"/>
          <w:szCs w:val="22"/>
        </w:rPr>
        <w:t xml:space="preserve">Numerator: Distinct customers from that cohort who have made at least one repeat purchase up to that month.</w:t>
      </w:r>
    </w:p>
    <w:p>
      <w:pPr>
        <w:spacing w:after="120"/>
      </w:pPr>
      <w:r>
        <w:rPr>
          <w:rFonts w:ascii="Calibri" w:cs="Calibri" w:eastAsia="Calibri" w:hAnsi="Calibri"/>
          <w:sz w:val="22"/>
          <w:szCs w:val="22"/>
        </w:rPr>
        <w:t xml:space="preserve">Some values currently exceed 100% because the repeat-purchase count is drawing from a wider population than the defined cohort, creating a mismatch between the numerator and denominator. This has been identified and the calculation will be corrected so the rate remains within the expected 0%–100% range.</w:t>
      </w:r>
    </w:p>
    <w:p>
      <w:pPr>
        <w:spacing w:after="120"/>
      </w:pPr>
      <w:r>
        <w:t xml:space="preserve"/>
      </w:r>
    </w:p>
    <w:p>
      <w:pPr>
        <w:spacing w:after="80" w:before="240"/>
      </w:pPr>
      <w:r>
        <w:rPr>
          <w:rFonts w:ascii="Calibri" w:cs="Calibri" w:eastAsia="Calibri" w:hAnsi="Calibri"/>
          <w:b/>
          <w:bCs/>
          <w:color w:val="1F4E79"/>
          <w:sz w:val="22"/>
          <w:szCs w:val="22"/>
        </w:rPr>
        <w:t xml:space="preserve">Q2. </w:t>
      </w:r>
      <w:r>
        <w:rPr>
          <w:rFonts w:ascii="Calibri" w:cs="Calibri" w:eastAsia="Calibri" w:hAnsi="Calibri"/>
          <w:b/>
          <w:bCs/>
          <w:color w:val="1F4E79"/>
          <w:sz w:val="22"/>
          <w:szCs w:val="22"/>
        </w:rPr>
        <w:t xml:space="preserve">Customers Who Purchased X Times — For acquisition cohorts from June 2025 and earlier, the "1 purchase" column is blank, while the percentages for 2–10+ purchases appear to total approximately 100%. Are one-time purchasers unavailable or excluded for those older cohorts?</w:t>
      </w:r>
    </w:p>
    <w:p>
      <w:pPr>
        <w:spacing w:after="120"/>
      </w:pPr>
      <w:r>
        <w:rPr>
          <w:rFonts w:ascii="Calibri" w:cs="Calibri" w:eastAsia="Calibri" w:hAnsi="Calibri"/>
          <w:sz w:val="22"/>
          <w:szCs w:val="22"/>
        </w:rPr>
        <w:t xml:space="preserve">No — one-time purchasers are not being excluded. There are two separate concepts in this tab:</w:t>
      </w:r>
    </w:p>
    <w:p>
      <w:pPr>
        <w:pStyle w:val="ListParagraph"/>
        <w:numPr>
          <w:ilvl w:val="0"/>
          <w:numId w:val="2"/>
        </w:numPr>
        <w:spacing w:after="60"/>
      </w:pPr>
      <w:r>
        <w:rPr>
          <w:rFonts w:ascii="Calibri" w:cs="Calibri" w:eastAsia="Calibri" w:hAnsi="Calibri"/>
          <w:sz w:val="22"/>
          <w:szCs w:val="22"/>
        </w:rPr>
        <w:t xml:space="preserve">Acquisition Month = the month when the customer first became a customer overall.</w:t>
      </w:r>
    </w:p>
    <w:p>
      <w:pPr>
        <w:pStyle w:val="ListParagraph"/>
        <w:numPr>
          <w:ilvl w:val="0"/>
          <w:numId w:val="2"/>
        </w:numPr>
        <w:spacing w:after="60"/>
      </w:pPr>
      <w:r>
        <w:rPr>
          <w:rFonts w:ascii="Calibri" w:cs="Calibri" w:eastAsia="Calibri" w:hAnsi="Calibri"/>
          <w:sz w:val="22"/>
          <w:szCs w:val="22"/>
        </w:rPr>
        <w:t xml:space="preserve">Category filter = identifies customers who have purchased that category at any point in their history.</w:t>
      </w:r>
    </w:p>
    <w:p>
      <w:pPr>
        <w:spacing w:after="120"/>
      </w:pPr>
      <w:r>
        <w:rPr>
          <w:rFonts w:ascii="Calibri" w:cs="Calibri" w:eastAsia="Calibri" w:hAnsi="Calibri"/>
          <w:sz w:val="22"/>
          <w:szCs w:val="22"/>
        </w:rPr>
        <w:t xml:space="preserve">Electrolytes launched on July 4, 2025. A customer acquired before July 2025 could not have had Electrolytes as their first-ever purchase. If a pre-July customer appears in the Electrolytes view, they must have purchased Electrolytes after it launched — meaning they already had at least one earlier order, so their lifetime order count is at least 2.</w:t>
      </w:r>
    </w:p>
    <w:p>
      <w:pPr>
        <w:spacing w:after="120"/>
      </w:pPr>
      <w:r>
        <w:rPr>
          <w:rFonts w:ascii="Calibri" w:cs="Calibri" w:eastAsia="Calibri" w:hAnsi="Calibri"/>
          <w:sz w:val="22"/>
          <w:szCs w:val="22"/>
        </w:rPr>
        <w:t xml:space="preserve">Example A — customer acquired before Electrolytes launched: June 2025 first order (Gel) → July 2025 buys Electrolytes. Acquired June 2025, 2 lifetime orders → appears under June / 2 purchases.</w:t>
      </w:r>
    </w:p>
    <w:p>
      <w:pPr>
        <w:spacing w:after="120"/>
      </w:pPr>
      <w:r>
        <w:rPr>
          <w:rFonts w:ascii="Calibri" w:cs="Calibri" w:eastAsia="Calibri" w:hAnsi="Calibri"/>
          <w:sz w:val="22"/>
          <w:szCs w:val="22"/>
        </w:rPr>
        <w:t xml:space="preserve">Example B — customer acquired after launch: July 2025 first order (Electrolytes), no further purchases → appears under July / 1 purchase.</w:t>
      </w:r>
    </w:p>
    <w:p>
      <w:pPr>
        <w:spacing w:after="120"/>
      </w:pPr>
      <w:r>
        <w:rPr>
          <w:rFonts w:ascii="Calibri" w:cs="Calibri" w:eastAsia="Calibri" w:hAnsi="Calibri"/>
          <w:sz w:val="22"/>
          <w:szCs w:val="22"/>
        </w:rPr>
        <w:t xml:space="preserve">Therefore, the "1 purchase" bucket is blank for pre-July 2025 cohorts because Electrolytes did not exist before July 4, 2025 — not because one-time purchasers are filtered out.</w:t>
      </w:r>
    </w:p>
    <w:p>
      <w:pPr>
        <w:spacing w:after="120"/>
      </w:pPr>
      <w:r>
        <w:t xml:space="preserve"/>
      </w:r>
    </w:p>
    <w:p>
      <w:pPr>
        <w:spacing w:after="80" w:before="240"/>
      </w:pPr>
      <w:r>
        <w:rPr>
          <w:rFonts w:ascii="Calibri" w:cs="Calibri" w:eastAsia="Calibri" w:hAnsi="Calibri"/>
          <w:b/>
          <w:bCs/>
          <w:color w:val="1F4E79"/>
          <w:sz w:val="22"/>
          <w:szCs w:val="22"/>
        </w:rPr>
        <w:t xml:space="preserve">Q3. </w:t>
      </w:r>
      <w:r>
        <w:rPr>
          <w:rFonts w:ascii="Calibri" w:cs="Calibri" w:eastAsia="Calibri" w:hAnsi="Calibri"/>
          <w:b/>
          <w:bCs/>
          <w:color w:val="1F4E79"/>
          <w:sz w:val="22"/>
          <w:szCs w:val="22"/>
        </w:rPr>
        <w:t xml:space="preserve">First Order versus Month 0 — Could you clarify the distinction between these two columns? Does "First Order" include only the customer's initial order, while Month 0 includes all activity during the remainder of the acquisition calendar month?</w:t>
      </w:r>
    </w:p>
    <w:p>
      <w:pPr>
        <w:spacing w:after="120"/>
      </w:pPr>
      <w:r>
        <w:rPr>
          <w:rFonts w:ascii="Calibri" w:cs="Calibri" w:eastAsia="Calibri" w:hAnsi="Calibri"/>
          <w:sz w:val="22"/>
          <w:szCs w:val="22"/>
        </w:rPr>
        <w:t xml:space="preserve">Yes. First Order captures data attributable to the customer's initial transaction. Month 0 captures additional purchases made within the same calendar month as the customer's first order. Example: June 5 → first order (counted under First Order). June 20 → second purchase (counted under Month 0).</w:t>
      </w:r>
    </w:p>
    <w:p>
      <w:pPr>
        <w:spacing w:after="120"/>
      </w:pPr>
      <w:r>
        <w:t xml:space="preserve"/>
      </w:r>
    </w:p>
    <w:p>
      <w:pPr>
        <w:spacing w:after="80" w:before="240"/>
      </w:pPr>
      <w:r>
        <w:rPr>
          <w:rFonts w:ascii="Calibri" w:cs="Calibri" w:eastAsia="Calibri" w:hAnsi="Calibri"/>
          <w:b/>
          <w:bCs/>
          <w:color w:val="1F4E79"/>
          <w:sz w:val="22"/>
          <w:szCs w:val="22"/>
        </w:rPr>
        <w:t xml:space="preserve">Q4. </w:t>
      </w:r>
      <w:r>
        <w:rPr>
          <w:rFonts w:ascii="Calibri" w:cs="Calibri" w:eastAsia="Calibri" w:hAnsi="Calibri"/>
          <w:b/>
          <w:bCs/>
          <w:color w:val="1F4E79"/>
          <w:sz w:val="22"/>
          <w:szCs w:val="22"/>
        </w:rPr>
        <w:t xml:space="preserve">Total Customers — Does this metric represent customers active in each individual month, or the cumulative number of customers who have purchased by that month?</w:t>
      </w:r>
    </w:p>
    <w:p>
      <w:pPr>
        <w:spacing w:after="120"/>
      </w:pPr>
      <w:r>
        <w:rPr>
          <w:rFonts w:ascii="Calibri" w:cs="Calibri" w:eastAsia="Calibri" w:hAnsi="Calibri"/>
          <w:sz w:val="22"/>
          <w:szCs w:val="22"/>
        </w:rPr>
        <w:t xml:space="preserve">In the Cohorts tab, Total Customers is a monthly, point-in-time count. It represents the number of distinct customers from that cohort who made a purchase during that specific month. It is not cumulative. The Cumulative Repurchase Rate is the cumulative measure — it counts distinct customers who have made at least one repeat purchase at any point up to that month.</w:t>
      </w:r>
    </w:p>
    <w:p>
      <w:pPr>
        <w:spacing w:after="120"/>
      </w:pPr>
      <w:r>
        <w:t xml:space="preserve"/>
      </w:r>
    </w:p>
    <w:p>
      <w:pPr>
        <w:spacing w:after="80" w:before="240"/>
      </w:pPr>
      <w:r>
        <w:rPr>
          <w:rFonts w:ascii="Calibri" w:cs="Calibri" w:eastAsia="Calibri" w:hAnsi="Calibri"/>
          <w:b/>
          <w:bCs/>
          <w:color w:val="1F4E79"/>
          <w:sz w:val="22"/>
          <w:szCs w:val="22"/>
        </w:rPr>
        <w:t xml:space="preserve">Q5. </w:t>
      </w:r>
      <w:r>
        <w:rPr>
          <w:rFonts w:ascii="Calibri" w:cs="Calibri" w:eastAsia="Calibri" w:hAnsi="Calibri"/>
          <w:b/>
          <w:bCs/>
          <w:color w:val="1F4E79"/>
          <w:sz w:val="22"/>
          <w:szCs w:val="22"/>
        </w:rPr>
        <w:t xml:space="preserve">Cumulative Repurchase Rate Timing — Is a repeat purchase assigned based on the calendar-month difference from the acquisition month, or by completed 30-day periods since the first order?</w:t>
      </w:r>
    </w:p>
    <w:p>
      <w:pPr>
        <w:spacing w:after="120"/>
      </w:pPr>
      <w:r>
        <w:rPr>
          <w:rFonts w:ascii="Calibri" w:cs="Calibri" w:eastAsia="Calibri" w:hAnsi="Calibri"/>
          <w:sz w:val="22"/>
          <w:szCs w:val="22"/>
        </w:rPr>
        <w:t xml:space="preserve">The dashboard currently uses calendar months. The month is determined by how many calendar-month boundaries have been crossed between the customer's first order and the subsequent purchase. Example: first order January 31, next purchase February 1 → assigned to Month 1, even though only one day has passed. If you would prefer the calculation based on completed 30-day periods instead, we can implement this as an alternative.</w:t>
      </w:r>
    </w:p>
    <w:p>
      <w:pPr>
        <w:spacing w:after="120"/>
      </w:pPr>
      <w:r>
        <w:t xml:space="preserve"/>
      </w:r>
    </w:p>
    <w:p>
      <w:pPr>
        <w:spacing w:after="80" w:before="240"/>
      </w:pPr>
      <w:r>
        <w:rPr>
          <w:rFonts w:ascii="Calibri" w:cs="Calibri" w:eastAsia="Calibri" w:hAnsi="Calibri"/>
          <w:b/>
          <w:bCs/>
          <w:color w:val="1F4E79"/>
          <w:sz w:val="22"/>
          <w:szCs w:val="22"/>
        </w:rPr>
        <w:t xml:space="preserve">Q6. </w:t>
      </w:r>
      <w:r>
        <w:rPr>
          <w:rFonts w:ascii="Calibri" w:cs="Calibri" w:eastAsia="Calibri" w:hAnsi="Calibri"/>
          <w:b/>
          <w:bCs/>
          <w:color w:val="1F4E79"/>
          <w:sz w:val="22"/>
          <w:szCs w:val="22"/>
        </w:rPr>
        <w:t xml:space="preserve">Category Assignment — When "Gel" or "Electrolytes" is selected, is the cohort defined by the customer's first-order category, or does it include customers who purchased that category at any point? How are first orders containing both categories treated?</w:t>
      </w:r>
    </w:p>
    <w:p>
      <w:pPr>
        <w:spacing w:after="120"/>
      </w:pPr>
      <w:r>
        <w:rPr>
          <w:rFonts w:ascii="Calibri" w:cs="Calibri" w:eastAsia="Calibri" w:hAnsi="Calibri"/>
          <w:sz w:val="22"/>
          <w:szCs w:val="22"/>
        </w:rPr>
        <w:t xml:space="preserve">The dashboard's Cohorts tab offers three category views: Gel, Electrolytes, and All Categories.</w:t>
      </w:r>
    </w:p>
    <w:p>
      <w:pPr>
        <w:spacing w:after="120"/>
      </w:pPr>
      <w:r>
        <w:rPr>
          <w:rFonts w:ascii="Calibri" w:cs="Calibri" w:eastAsia="Calibri" w:hAnsi="Calibri"/>
          <w:sz w:val="22"/>
          <w:szCs w:val="22"/>
        </w:rPr>
        <w:t xml:space="preserve">Within each view, the cohort is defined by the category in the customer's first-ever order. Once assigned to a cohort, subsequent purchases contribute to that same original cohort regardless of what category they purchase later.</w:t>
      </w:r>
    </w:p>
    <w:p>
      <w:pPr>
        <w:spacing w:after="120"/>
      </w:pPr>
      <w:r>
        <w:rPr>
          <w:rFonts w:ascii="Calibri" w:cs="Calibri" w:eastAsia="Calibri" w:hAnsi="Calibri"/>
          <w:sz w:val="22"/>
          <w:szCs w:val="22"/>
        </w:rPr>
        <w:t xml:space="preserve">If the customer's first order contains both Gel and Electrolytes, they are counted in both the Gel cohort and the Electrolytes cohort. In the All Categories view, that customer is counted only once.</w:t>
      </w:r>
    </w:p>
    <w:p>
      <w:pPr>
        <w:spacing w:after="120"/>
      </w:pPr>
      <w:r>
        <w:rPr>
          <w:rFonts w:ascii="Calibri" w:cs="Calibri" w:eastAsia="Calibri" w:hAnsi="Calibri"/>
          <w:sz w:val="22"/>
          <w:szCs w:val="22"/>
        </w:rPr>
        <w:t xml:space="preserve">This definition applies specifically to the Cohorts tab. The Customers Who Purchased X Times tab uses a different category definition — explained in Q12.</w:t>
      </w:r>
    </w:p>
    <w:p>
      <w:pPr>
        <w:spacing w:after="120"/>
      </w:pPr>
      <w:r>
        <w:t xml:space="preserve"/>
      </w:r>
    </w:p>
    <w:p>
      <w:pPr>
        <w:spacing w:after="80" w:before="240"/>
      </w:pPr>
      <w:r>
        <w:rPr>
          <w:rFonts w:ascii="Calibri" w:cs="Calibri" w:eastAsia="Calibri" w:hAnsi="Calibri"/>
          <w:b/>
          <w:bCs/>
          <w:color w:val="1F4E79"/>
          <w:sz w:val="22"/>
          <w:szCs w:val="22"/>
        </w:rPr>
        <w:t xml:space="preserve">Q7. </w:t>
      </w:r>
      <w:r>
        <w:rPr>
          <w:rFonts w:ascii="Calibri" w:cs="Calibri" w:eastAsia="Calibri" w:hAnsi="Calibri"/>
          <w:b/>
          <w:bCs/>
          <w:color w:val="1F4E79"/>
          <w:sz w:val="22"/>
          <w:szCs w:val="22"/>
        </w:rPr>
        <w:t xml:space="preserve">All Categories — Is this calculated as one distinct combined customer cohort, rather than adding the Gel and Electrolytes cohorts together?</w:t>
      </w:r>
    </w:p>
    <w:p>
      <w:pPr>
        <w:spacing w:after="120"/>
      </w:pPr>
      <w:r>
        <w:rPr>
          <w:rFonts w:ascii="Calibri" w:cs="Calibri" w:eastAsia="Calibri" w:hAnsi="Calibri"/>
          <w:sz w:val="22"/>
          <w:szCs w:val="22"/>
        </w:rPr>
        <w:t xml:space="preserve">"All Categories" is a single distinct combined customer count for Gel + Electrolytes together. It does not mean all product categories across the business. The dashboard category selector offers three views: Gel, Electrolytes, and All Categories. Other product categories exist in the underlying data but are not surfaced as separate options.</w:t>
      </w:r>
    </w:p>
    <w:p>
      <w:pPr>
        <w:spacing w:after="120"/>
      </w:pPr>
      <w:r>
        <w:rPr>
          <w:rFonts w:ascii="Calibri" w:cs="Calibri" w:eastAsia="Calibri" w:hAnsi="Calibri"/>
          <w:sz w:val="22"/>
          <w:szCs w:val="22"/>
        </w:rPr>
        <w:t xml:space="preserve">Example: If Customer A has purchased both Gel and Electrolytes — Gel → 1, Electrolytes → 1, All Categories → 1, not 2. This prevents double-counting.</w:t>
      </w:r>
    </w:p>
    <w:p>
      <w:pPr>
        <w:spacing w:after="120"/>
      </w:pPr>
      <w:r>
        <w:t xml:space="preserve"/>
      </w:r>
    </w:p>
    <w:p>
      <w:pPr>
        <w:spacing w:after="80" w:before="240"/>
      </w:pPr>
      <w:r>
        <w:rPr>
          <w:rFonts w:ascii="Calibri" w:cs="Calibri" w:eastAsia="Calibri" w:hAnsi="Calibri"/>
          <w:b/>
          <w:bCs/>
          <w:color w:val="1F4E79"/>
          <w:sz w:val="22"/>
          <w:szCs w:val="22"/>
        </w:rPr>
        <w:t xml:space="preserve">Q8. </w:t>
      </w:r>
      <w:r>
        <w:rPr>
          <w:rFonts w:ascii="Calibri" w:cs="Calibri" w:eastAsia="Calibri" w:hAnsi="Calibri"/>
          <w:b/>
          <w:bCs/>
          <w:color w:val="1F4E79"/>
          <w:sz w:val="22"/>
          <w:szCs w:val="22"/>
        </w:rPr>
        <w:t xml:space="preserve">Flavour Take Rate — What is the denominator in percentage mode: total orders in the month, total units, or orders with a recognised flavour? We understand that percentages can total more than 100% when an order contains multiple flavours.</w:t>
      </w:r>
    </w:p>
    <w:p>
      <w:pPr>
        <w:spacing w:after="120"/>
      </w:pPr>
      <w:r>
        <w:rPr>
          <w:rFonts w:ascii="Calibri" w:cs="Calibri" w:eastAsia="Calibri" w:hAnsi="Calibri"/>
          <w:sz w:val="22"/>
          <w:szCs w:val="22"/>
        </w:rPr>
        <w:t xml:space="preserve">The percentages are based on the total flavour selections for that month and category, and the percentages therefore add up to 100%. If an order contains multiple different flavour products, each flavour is counted separately in both the flavour count and the denominator. This metric represents each flavour's share of all flavour selections, not the percentage of orders containing that flavour.</w:t>
      </w:r>
    </w:p>
    <w:p>
      <w:pPr>
        <w:spacing w:after="120"/>
      </w:pPr>
      <w:r>
        <w:rPr>
          <w:rFonts w:ascii="Calibri" w:cs="Calibri" w:eastAsia="Calibri" w:hAnsi="Calibri"/>
          <w:sz w:val="22"/>
          <w:szCs w:val="22"/>
        </w:rPr>
        <w:t xml:space="preserve">Example: An order containing Banana, Strawberry, and Apple contributes one selection to each. All three are included in the denominator, so percentages sum to 100%.</w:t>
      </w:r>
    </w:p>
    <w:p>
      <w:pPr>
        <w:spacing w:after="120"/>
      </w:pPr>
      <w:r>
        <w:t xml:space="preserve"/>
      </w:r>
    </w:p>
    <w:p>
      <w:pPr>
        <w:spacing w:after="80" w:before="240"/>
      </w:pPr>
      <w:r>
        <w:rPr>
          <w:rFonts w:ascii="Calibri" w:cs="Calibri" w:eastAsia="Calibri" w:hAnsi="Calibri"/>
          <w:b/>
          <w:bCs/>
          <w:color w:val="1F4E79"/>
          <w:sz w:val="22"/>
          <w:szCs w:val="22"/>
        </w:rPr>
        <w:t xml:space="preserve">Q9. </w:t>
      </w:r>
      <w:r>
        <w:rPr>
          <w:rFonts w:ascii="Calibri" w:cs="Calibri" w:eastAsia="Calibri" w:hAnsi="Calibri"/>
          <w:b/>
          <w:bCs/>
          <w:color w:val="1F4E79"/>
          <w:sz w:val="22"/>
          <w:szCs w:val="22"/>
        </w:rPr>
        <w:t xml:space="preserve">Flavour Combinations — Are labels such as "Apple, Cinnamon" and "Mango, Pineapple" treated as individual product flavours, or as orders containing two separate flavours?</w:t>
      </w:r>
    </w:p>
    <w:p>
      <w:pPr>
        <w:spacing w:after="120"/>
      </w:pPr>
      <w:r>
        <w:rPr>
          <w:rFonts w:ascii="Calibri" w:cs="Calibri" w:eastAsia="Calibri" w:hAnsi="Calibri"/>
          <w:sz w:val="22"/>
          <w:szCs w:val="22"/>
        </w:rPr>
        <w:t xml:space="preserve">Values such as "Mango, Pineapple" and "Apple, Cinnamon" are stored as a single flavour value in the underlying data — each represents one product's flavour name and is not split into two separate flavours. However, a single order can contain multiple separate flavour products. Example: an order with Banana, Mango Pineapple, Strawberry, Apple contributes one selection to each of those four flavour values.</w:t>
      </w:r>
    </w:p>
    <w:p>
      <w:pPr>
        <w:spacing w:after="120"/>
      </w:pPr>
      <w:r>
        <w:t xml:space="preserve"/>
      </w:r>
    </w:p>
    <w:p>
      <w:pPr>
        <w:spacing w:after="80" w:before="240"/>
      </w:pPr>
      <w:r>
        <w:rPr>
          <w:rFonts w:ascii="Calibri" w:cs="Calibri" w:eastAsia="Calibri" w:hAnsi="Calibri"/>
          <w:b/>
          <w:bCs/>
          <w:color w:val="1F4E79"/>
          <w:sz w:val="22"/>
          <w:szCs w:val="22"/>
        </w:rPr>
        <w:t xml:space="preserve">Q10. </w:t>
      </w:r>
      <w:r>
        <w:rPr>
          <w:rFonts w:ascii="Calibri" w:cs="Calibri" w:eastAsia="Calibri" w:hAnsi="Calibri"/>
          <w:b/>
          <w:bCs/>
          <w:color w:val="1F4E79"/>
          <w:sz w:val="22"/>
          <w:szCs w:val="22"/>
        </w:rPr>
        <w:t xml:space="preserve">Blank versus 0% — Could blanks and zeroes be defined separately? For example, does a blank mean the product was unavailable or data was missing, while 0% means it was available but had no qualifying orders?</w:t>
      </w:r>
    </w:p>
    <w:p>
      <w:pPr>
        <w:spacing w:after="120"/>
      </w:pPr>
      <w:r>
        <w:rPr>
          <w:rFonts w:ascii="Calibri" w:cs="Calibri" w:eastAsia="Calibri" w:hAnsi="Calibri"/>
          <w:sz w:val="22"/>
          <w:szCs w:val="22"/>
        </w:rPr>
        <w:t xml:space="preserve">In the Cohorts tab: 0 = the calendar month has arrived and there is a row for that period, but no customers from that cohort made a purchase. Blank = the calendar month has not yet occurred. The current dashboard does not visually distinguish a confirmed zero from a month that is currently in progress — the current-period indicator (Q14) will address this.</w:t>
      </w:r>
    </w:p>
    <w:p>
      <w:pPr>
        <w:spacing w:after="120"/>
      </w:pPr>
      <w:r>
        <w:rPr>
          <w:rFonts w:ascii="Calibri" w:cs="Calibri" w:eastAsia="Calibri" w:hAnsi="Calibri"/>
          <w:sz w:val="22"/>
          <w:szCs w:val="22"/>
        </w:rPr>
        <w:t xml:space="preserve">For Flavour Take Rate and Jar Take Rate tabs: only combinations with at least one recorded order are included. A blank means no orders were recorded for that combination.</w:t>
      </w:r>
    </w:p>
    <w:p>
      <w:pPr>
        <w:spacing w:after="120"/>
      </w:pPr>
      <w:r>
        <w:t xml:space="preserve"/>
      </w:r>
    </w:p>
    <w:p>
      <w:pPr>
        <w:spacing w:after="80" w:before="240"/>
      </w:pPr>
      <w:r>
        <w:rPr>
          <w:rFonts w:ascii="Calibri" w:cs="Calibri" w:eastAsia="Calibri" w:hAnsi="Calibri"/>
          <w:b/>
          <w:bCs/>
          <w:color w:val="1F4E79"/>
          <w:sz w:val="22"/>
          <w:szCs w:val="22"/>
        </w:rPr>
        <w:t xml:space="preserve">Q11. </w:t>
      </w:r>
      <w:r>
        <w:rPr>
          <w:rFonts w:ascii="Calibri" w:cs="Calibri" w:eastAsia="Calibri" w:hAnsi="Calibri"/>
          <w:b/>
          <w:bCs/>
          <w:color w:val="1F4E79"/>
          <w:sz w:val="22"/>
          <w:szCs w:val="22"/>
        </w:rPr>
        <w:t xml:space="preserve">Jar Take Rate — Does jar count represent total Gel/Electrolytes units in the complete order or only units from the selected category? How are bundles, pouches, multipacks, and mixed-category orders counted?</w:t>
      </w:r>
    </w:p>
    <w:p>
      <w:pPr>
        <w:spacing w:after="120"/>
      </w:pPr>
      <w:r>
        <w:rPr>
          <w:rFonts w:ascii="Calibri" w:cs="Calibri" w:eastAsia="Calibri" w:hAnsi="Calibri"/>
          <w:sz w:val="22"/>
          <w:szCs w:val="22"/>
        </w:rPr>
        <w:t xml:space="preserve">Jar count represents the total number of units in the complete order across all products, not only the units from the selected category. Multipacks and bundles are converted to their individual unit equivalent before bucketing (a 3-pack = 3 units). Orders are grouped into buckets: 1, 2, 3, 4, 5, 6+. Percentages sum to 100%.</w:t>
      </w:r>
    </w:p>
    <w:p>
      <w:pPr>
        <w:spacing w:after="120"/>
      </w:pPr>
      <w:r>
        <w:t xml:space="preserve"/>
      </w:r>
    </w:p>
    <w:p>
      <w:pPr>
        <w:spacing w:after="80" w:before="240"/>
      </w:pPr>
      <w:r>
        <w:rPr>
          <w:rFonts w:ascii="Calibri" w:cs="Calibri" w:eastAsia="Calibri" w:hAnsi="Calibri"/>
          <w:b/>
          <w:bCs/>
          <w:color w:val="1F4E79"/>
          <w:sz w:val="22"/>
          <w:szCs w:val="22"/>
        </w:rPr>
        <w:t xml:space="preserve">Q12. </w:t>
      </w:r>
      <w:r>
        <w:rPr>
          <w:rFonts w:ascii="Calibri" w:cs="Calibri" w:eastAsia="Calibri" w:hAnsi="Calibri"/>
          <w:b/>
          <w:bCs/>
          <w:color w:val="1F4E79"/>
          <w:sz w:val="22"/>
          <w:szCs w:val="22"/>
        </w:rPr>
        <w:t xml:space="preserve">Customers Who Purchased X Times — Are the purchase counts based on all qualifying Shopify orders made by each customer, or only orders containing the selected category?</w:t>
      </w:r>
    </w:p>
    <w:p>
      <w:pPr>
        <w:spacing w:after="120"/>
      </w:pPr>
      <w:r>
        <w:rPr>
          <w:rFonts w:ascii="Calibri" w:cs="Calibri" w:eastAsia="Calibri" w:hAnsi="Calibri"/>
          <w:sz w:val="22"/>
          <w:szCs w:val="22"/>
        </w:rPr>
        <w:t xml:space="preserve">The purchase count is based on the customer's total qualifying lifetime Shopify orders, not only orders containing the selected category. There are two separate pieces of logic:</w:t>
      </w:r>
    </w:p>
    <w:p>
      <w:pPr>
        <w:pStyle w:val="ListParagraph"/>
        <w:numPr>
          <w:ilvl w:val="0"/>
          <w:numId w:val="2"/>
        </w:numPr>
        <w:spacing w:after="60"/>
      </w:pPr>
      <w:r>
        <w:rPr>
          <w:rFonts w:ascii="Calibri" w:cs="Calibri" w:eastAsia="Calibri" w:hAnsi="Calibri"/>
          <w:sz w:val="22"/>
          <w:szCs w:val="22"/>
        </w:rPr>
        <w:t xml:space="preserve">Category selector: A customer appears if they have ever purchased that category, regardless of their first-ever order.</w:t>
      </w:r>
    </w:p>
    <w:p>
      <w:pPr>
        <w:pStyle w:val="ListParagraph"/>
        <w:numPr>
          <w:ilvl w:val="0"/>
          <w:numId w:val="2"/>
        </w:numPr>
        <w:spacing w:after="60"/>
      </w:pPr>
      <w:r>
        <w:rPr>
          <w:rFonts w:ascii="Calibri" w:cs="Calibri" w:eastAsia="Calibri" w:hAnsi="Calibri"/>
          <w:sz w:val="22"/>
          <w:szCs w:val="22"/>
        </w:rPr>
        <w:t xml:space="preserve">Purchase bucket: Once included, the customer is placed based on their total lifetime order count across all products, stores, and channels.</w:t>
      </w:r>
    </w:p>
    <w:p>
      <w:pPr>
        <w:spacing w:after="120"/>
      </w:pPr>
      <w:r>
        <w:rPr>
          <w:rFonts w:ascii="Calibri" w:cs="Calibri" w:eastAsia="Calibri" w:hAnsi="Calibri"/>
          <w:sz w:val="22"/>
          <w:szCs w:val="22"/>
        </w:rPr>
        <w:t xml:space="preserve">Acquisition Month remains the month when the customer first became a customer overall. Example: a customer with first order in June 2025 (Gel), second in July 2025 (Electrolytes), third in August 2025 (Gummies) — when Electrolytes is selected, this customer appears under June 2025 / 3 purchases.</w:t>
      </w:r>
    </w:p>
    <w:p>
      <w:pPr>
        <w:spacing w:after="120"/>
      </w:pPr>
      <w:r>
        <w:rPr>
          <w:rFonts w:ascii="Calibri" w:cs="Calibri" w:eastAsia="Calibri" w:hAnsi="Calibri"/>
          <w:sz w:val="22"/>
          <w:szCs w:val="22"/>
        </w:rPr>
        <w:t xml:space="preserve">This is different from the Cohorts tab, where category is based on the customer's first-ever order category.</w:t>
      </w:r>
    </w:p>
    <w:p>
      <w:pPr>
        <w:spacing w:after="120"/>
      </w:pPr>
      <w:r>
        <w:t xml:space="preserve"/>
      </w:r>
    </w:p>
    <w:p>
      <w:pPr>
        <w:spacing w:after="80" w:before="240"/>
      </w:pPr>
      <w:r>
        <w:rPr>
          <w:rFonts w:ascii="Calibri" w:cs="Calibri" w:eastAsia="Calibri" w:hAnsi="Calibri"/>
          <w:b/>
          <w:bCs/>
          <w:color w:val="1F4E79"/>
          <w:sz w:val="22"/>
          <w:szCs w:val="22"/>
        </w:rPr>
        <w:t xml:space="preserve">Q13. </w:t>
      </w:r>
      <w:r>
        <w:rPr>
          <w:rFonts w:ascii="Calibri" w:cs="Calibri" w:eastAsia="Calibri" w:hAnsi="Calibri"/>
          <w:b/>
          <w:bCs/>
          <w:color w:val="1F4E79"/>
          <w:sz w:val="22"/>
          <w:szCs w:val="22"/>
        </w:rPr>
        <w:t xml:space="preserve">Order Eligibility — Which orders are included or excluded: paid, partially refunded, fully refunded, canceled, test, free, replacement, and subscription orders?</w:t>
      </w:r>
    </w:p>
    <w:p>
      <w:pPr>
        <w:spacing w:after="120"/>
      </w:pPr>
      <w:r>
        <w:rPr>
          <w:rFonts w:ascii="Calibri" w:cs="Calibri" w:eastAsia="Calibri" w:hAnsi="Calibri"/>
          <w:sz w:val="22"/>
          <w:szCs w:val="22"/>
        </w:rPr>
        <w:t xml:space="preserve">Return transactions are excluded at the source level. This means revenue reflects the original order value for all orders, including those subsequently refunded — refund amounts do not reduce the figures. TikTok Shop orders are excluded from the Shopify feed to avoid double-counting.</w:t>
      </w:r>
    </w:p>
    <w:p>
      <w:pPr>
        <w:spacing w:after="120"/>
      </w:pPr>
      <w:r>
        <w:rPr>
          <w:rFonts w:ascii="Calibri" w:cs="Calibri" w:eastAsia="Calibri" w:hAnsi="Calibri"/>
          <w:sz w:val="22"/>
          <w:szCs w:val="22"/>
        </w:rPr>
        <w:t xml:space="preserve">All other order types are currently included — paid, test, free, replacement, and subscription. These are not separately filtered or identified within the dashboard views.</w:t>
      </w:r>
    </w:p>
    <w:p>
      <w:pPr>
        <w:spacing w:after="120"/>
      </w:pPr>
      <w:r>
        <w:rPr>
          <w:rFonts w:ascii="Calibri" w:cs="Calibri" w:eastAsia="Calibri" w:hAnsi="Calibri"/>
          <w:sz w:val="22"/>
          <w:szCs w:val="22"/>
        </w:rPr>
        <w:t xml:space="preserve">Shopify-cancelled orders are included and not correctly identified as cancelled — they appear identical to active orders. Because their associated return rows are excluded alongside all other return transactions, cancelled orders contribute positively to revenue and order count metrics without offset. Fixing this requires a change at the data pipeline level.</w:t>
      </w:r>
    </w:p>
    <w:p>
      <w:pPr>
        <w:spacing w:after="120"/>
      </w:pPr>
      <w:r>
        <w:rPr>
          <w:rFonts w:ascii="Calibri" w:cs="Calibri" w:eastAsia="Calibri" w:hAnsi="Calibri"/>
          <w:sz w:val="22"/>
          <w:szCs w:val="22"/>
        </w:rPr>
        <w:t xml:space="preserve">If any specific order types need to be explicitly included or excluded going forward, that change would need to be applied at the source/data-pipeline level.</w:t>
      </w:r>
    </w:p>
    <w:p>
      <w:pPr>
        <w:spacing w:after="120"/>
      </w:pPr>
      <w:r>
        <w:t xml:space="preserve"/>
      </w:r>
    </w:p>
    <w:p>
      <w:pPr>
        <w:spacing w:after="80" w:before="240"/>
      </w:pPr>
      <w:r>
        <w:rPr>
          <w:rFonts w:ascii="Calibri" w:cs="Calibri" w:eastAsia="Calibri" w:hAnsi="Calibri"/>
          <w:b/>
          <w:bCs/>
          <w:color w:val="1F4E79"/>
          <w:sz w:val="22"/>
          <w:szCs w:val="22"/>
        </w:rPr>
        <w:t xml:space="preserve">Q14. </w:t>
      </w:r>
      <w:r>
        <w:rPr>
          <w:rFonts w:ascii="Calibri" w:cs="Calibri" w:eastAsia="Calibri" w:hAnsi="Calibri"/>
          <w:b/>
          <w:bCs/>
          <w:color w:val="1F4E79"/>
          <w:sz w:val="22"/>
          <w:szCs w:val="22"/>
        </w:rPr>
        <w:t xml:space="preserve">Current-Period Data — How should the most recent month be interpreted when the month is still in progress and the data only covers the period through the latest refresh?</w:t>
      </w:r>
    </w:p>
    <w:p>
      <w:pPr>
        <w:spacing w:after="120"/>
      </w:pPr>
      <w:r>
        <w:rPr>
          <w:rFonts w:ascii="Calibri" w:cs="Calibri" w:eastAsia="Calibri" w:hAnsi="Calibri"/>
          <w:sz w:val="22"/>
          <w:szCs w:val="22"/>
        </w:rPr>
        <w:t xml:space="preserve">The most recent month is a partial period — it includes data only through the latest available data refresh and does not represent a completed month. We will add a visual indicator (label or distinct fill) to distinguish the in-progress month from completed months.</w:t>
      </w:r>
    </w:p>
    <w:p>
      <w:pPr>
        <w:spacing w:after="120"/>
      </w:pPr>
      <w:r>
        <w:t xml:space="preserve"/>
      </w:r>
    </w:p>
    <w:p>
      <w:pPr>
        <w:spacing w:after="80" w:before="240"/>
      </w:pPr>
      <w:r>
        <w:rPr>
          <w:rFonts w:ascii="Calibri" w:cs="Calibri" w:eastAsia="Calibri" w:hAnsi="Calibri"/>
          <w:b/>
          <w:bCs/>
          <w:color w:val="1F4E79"/>
          <w:sz w:val="22"/>
          <w:szCs w:val="22"/>
        </w:rPr>
        <w:t xml:space="preserve">Q15. </w:t>
      </w:r>
      <w:r>
        <w:rPr>
          <w:rFonts w:ascii="Calibri" w:cs="Calibri" w:eastAsia="Calibri" w:hAnsi="Calibri"/>
          <w:b/>
          <w:bCs/>
          <w:color w:val="1F4E79"/>
          <w:sz w:val="22"/>
          <w:szCs w:val="22"/>
        </w:rPr>
        <w:t xml:space="preserve">Refresh Information — Can the dashboard show when the data was last refreshed and which reporting timezone is being used?</w:t>
      </w:r>
    </w:p>
    <w:p>
      <w:pPr>
        <w:spacing w:after="120"/>
      </w:pPr>
      <w:r>
        <w:rPr>
          <w:rFonts w:ascii="Calibri" w:cs="Calibri" w:eastAsia="Calibri" w:hAnsi="Calibri"/>
          <w:sz w:val="22"/>
          <w:szCs w:val="22"/>
        </w:rPr>
        <w:t xml:space="preserve">Yes. We will display the last successful data refresh date/time and the reporting timezone directly on the dashboard.</w:t>
      </w:r>
    </w:p>
    <w:p>
      <w:pPr>
        <w:spacing w:after="120"/>
      </w:pPr>
      <w:r>
        <w:t xml:space="preserve"/>
      </w:r>
    </w:p>
    <w:p>
      <w:pPr>
        <w:spacing w:after="80" w:before="240"/>
      </w:pPr>
      <w:r>
        <w:rPr>
          <w:rFonts w:ascii="Calibri" w:cs="Calibri" w:eastAsia="Calibri" w:hAnsi="Calibri"/>
          <w:b/>
          <w:bCs/>
          <w:color w:val="1F4E79"/>
          <w:sz w:val="22"/>
          <w:szCs w:val="22"/>
        </w:rPr>
        <w:t xml:space="preserve">Q16. </w:t>
      </w:r>
      <w:r>
        <w:rPr>
          <w:rFonts w:ascii="Calibri" w:cs="Calibri" w:eastAsia="Calibri" w:hAnsi="Calibri"/>
          <w:b/>
          <w:bCs/>
          <w:color w:val="1F4E79"/>
          <w:sz w:val="22"/>
          <w:szCs w:val="22"/>
        </w:rPr>
        <w:t xml:space="preserve">Data Coverage — Can each tab clearly document the data scope and the earliest reliable reporting period?</w:t>
      </w:r>
    </w:p>
    <w:p>
      <w:pPr>
        <w:spacing w:after="120"/>
      </w:pPr>
      <w:r>
        <w:rPr>
          <w:rFonts w:ascii="Calibri" w:cs="Calibri" w:eastAsia="Calibri" w:hAnsi="Calibri"/>
          <w:sz w:val="22"/>
          <w:szCs w:val="22"/>
        </w:rPr>
        <w:t xml:space="preserve">Yes. We will add a short data coverage note to each tab confirming: Geography (United States), Platform (Shopify), and the earliest reliable reporting month.</w:t>
      </w:r>
    </w:p>
    <w:p>
      <w:pPr>
        <w:spacing w:after="120"/>
      </w:pPr>
      <w:r>
        <w:t xml:space="preserve"/>
      </w:r>
    </w:p>
    <w:p>
      <w:pPr>
        <w:spacing w:after="80" w:before="240"/>
      </w:pPr>
      <w:r>
        <w:rPr>
          <w:rFonts w:ascii="Calibri" w:cs="Calibri" w:eastAsia="Calibri" w:hAnsi="Calibri"/>
          <w:b/>
          <w:bCs/>
          <w:color w:val="1F4E79"/>
          <w:sz w:val="22"/>
          <w:szCs w:val="22"/>
        </w:rPr>
        <w:t xml:space="preserve">Q17. </w:t>
      </w:r>
      <w:r>
        <w:rPr>
          <w:rFonts w:ascii="Calibri" w:cs="Calibri" w:eastAsia="Calibri" w:hAnsi="Calibri"/>
          <w:b/>
          <w:bCs/>
          <w:color w:val="1F4E79"/>
          <w:sz w:val="22"/>
          <w:szCs w:val="22"/>
        </w:rPr>
        <w:t xml:space="preserve">Controls — Can the editable controls on the dashboard be clearly distinguished from the rest of the cells?</w:t>
      </w:r>
    </w:p>
    <w:p>
      <w:pPr>
        <w:spacing w:after="120"/>
      </w:pPr>
      <w:r>
        <w:rPr>
          <w:rFonts w:ascii="Calibri" w:cs="Calibri" w:eastAsia="Calibri" w:hAnsi="Calibri"/>
          <w:sz w:val="22"/>
          <w:szCs w:val="22"/>
        </w:rPr>
        <w:t xml:space="preserve">Yes. The editable control cells will be given a distinct fill or border to make them immediately identifiable as inputs.</w:t>
      </w:r>
    </w:p>
    <w:p>
      <w:pPr>
        <w:spacing w:after="120"/>
      </w:pPr>
      <w:r>
        <w:t xml:space="preserve"/>
      </w:r>
    </w:p>
    <w:p>
      <w:pPr>
        <w:spacing w:after="80" w:before="240"/>
      </w:pPr>
      <w:r>
        <w:rPr>
          <w:rFonts w:ascii="Calibri" w:cs="Calibri" w:eastAsia="Calibri" w:hAnsi="Calibri"/>
          <w:b/>
          <w:bCs/>
          <w:color w:val="1F4E79"/>
          <w:sz w:val="22"/>
          <w:szCs w:val="22"/>
        </w:rPr>
        <w:t xml:space="preserve">Q18. </w:t>
      </w:r>
      <w:r>
        <w:rPr>
          <w:rFonts w:ascii="Calibri" w:cs="Calibri" w:eastAsia="Calibri" w:hAnsi="Calibri"/>
          <w:b/>
          <w:bCs/>
          <w:color w:val="1F4E79"/>
          <w:sz w:val="22"/>
          <w:szCs w:val="22"/>
        </w:rPr>
        <w:t xml:space="preserve">Definitions — Can the dashboard include a centralised definitions section explaining the calculation logic and key data rules for each metric?</w:t>
      </w:r>
    </w:p>
    <w:p>
      <w:pPr>
        <w:spacing w:after="120"/>
      </w:pPr>
      <w:r>
        <w:rPr>
          <w:rFonts w:ascii="Calibri" w:cs="Calibri" w:eastAsia="Calibri" w:hAnsi="Calibri"/>
          <w:sz w:val="22"/>
          <w:szCs w:val="22"/>
        </w:rPr>
        <w:t xml:space="preserve">Yes. We will expand the Definitions tab to cover: denominator, data grain, included order types, category-assignment rule, and how refunds are treated for each metric.</w:t>
      </w:r>
    </w:p>
    <w:p>
      <w:pPr>
        <w:spacing w:after="120"/>
      </w:pPr>
      <w:r>
        <w:t xml:space="preserve"/>
      </w:r>
    </w:p>
    <w:p>
      <w:r>
        <w:br w:type="page"/>
      </w:r>
    </w:p>
    <w:p>
      <w:pPr>
        <w:pStyle w:val="Heading1"/>
        <w:spacing w:after="120" w:before="400"/>
      </w:pPr>
      <w:r>
        <w:t xml:space="preserve">5. Committed Changes and Implementation Guide</w:t>
      </w:r>
    </w:p>
    <w:p>
      <w:pPr>
        <w:spacing w:after="120"/>
      </w:pPr>
      <w:r>
        <w:rPr>
          <w:rFonts w:ascii="Calibri" w:cs="Calibri" w:eastAsia="Calibri" w:hAnsi="Calibri"/>
          <w:sz w:val="22"/>
          <w:szCs w:val="22"/>
        </w:rPr>
        <w:t xml:space="preserve">All changes are grouped into three phases by effort and risk level.</w:t>
      </w:r>
    </w:p>
    <w:p>
      <w:pPr>
        <w:spacing w:after="120"/>
      </w:pPr>
      <w:r>
        <w:t xml:space="preserve"/>
      </w:r>
    </w:p>
    <w:p>
      <w:pPr>
        <w:pStyle w:val="Heading2"/>
        <w:spacing w:after="80" w:before="300"/>
      </w:pPr>
      <w:r>
        <w:t xml:space="preserve">Phase 1 — Dashboard Changes (2–3 days)</w:t>
      </w:r>
    </w:p>
    <w:p>
      <w:pPr>
        <w:spacing w:after="120"/>
      </w:pPr>
      <w:r>
        <w:rPr>
          <w:rFonts w:ascii="Calibri" w:cs="Calibri" w:eastAsia="Calibri" w:hAnsi="Calibri"/>
          <w:sz w:val="22"/>
          <w:szCs w:val="22"/>
        </w:rPr>
        <w:t xml:space="preserve">Low-risk Apps Script / Google Sheets updates. Can be implemented and tested in isolation.</w:t>
      </w:r>
    </w:p>
    <w:p>
      <w:pPr>
        <w:spacing w:after="120"/>
      </w:pPr>
      <w:r>
        <w:t xml:space="preserve"/>
      </w:r>
    </w:p>
    <w:p>
      <w:pPr>
        <w:spacing w:after="120"/>
      </w:pPr>
      <w:r>
        <w:rPr>
          <w:rFonts w:ascii="Calibri" w:cs="Calibri" w:eastAsia="Calibri" w:hAnsi="Calibri"/>
          <w:b/>
          <w:bCs/>
          <w:sz w:val="22"/>
          <w:szCs w:val="22"/>
        </w:rPr>
        <w:t xml:space="preserve">Q14 — Current-period indicator</w:t>
      </w:r>
      <w:r>
        <w:rPr>
          <w:rFonts w:ascii="Calibri" w:cs="Calibri" w:eastAsia="Calibri" w:hAnsi="Calibri"/>
          <w:sz w:val="22"/>
          <w:szCs w:val="22"/>
        </w:rPr>
        <w:t xml:space="preserve">   [0.5 days]</w:t>
      </w:r>
    </w:p>
    <w:p>
      <w:pPr>
        <w:spacing w:after="120"/>
      </w:pPr>
      <w:r>
        <w:rPr>
          <w:rFonts w:ascii="Calibri" w:cs="Calibri" w:eastAsia="Calibri" w:hAnsi="Calibri"/>
          <w:sz w:val="22"/>
          <w:szCs w:val="22"/>
        </w:rPr>
        <w:t xml:space="preserve">Add a visual marker (e.g. yellow fill or "(in progress)" label) on the current calendar month column in the Cohorts tab.</w:t>
      </w:r>
    </w:p>
    <w:p>
      <w:pPr>
        <w:pStyle w:val="ListParagraph"/>
        <w:numPr>
          <w:ilvl w:val="0"/>
          <w:numId w:val="2"/>
        </w:numPr>
        <w:spacing w:after="60"/>
      </w:pPr>
      <w:r>
        <w:rPr>
          <w:rFonts w:ascii="Calibri" w:cs="Calibri" w:eastAsia="Calibri" w:hAnsi="Calibri"/>
          <w:sz w:val="22"/>
          <w:szCs w:val="22"/>
        </w:rPr>
        <w:t xml:space="preserve">In the Apps Script, compare each column's resolved date to EOMONTH(TODAY(), 0).</w:t>
      </w:r>
    </w:p>
    <w:p>
      <w:pPr>
        <w:pStyle w:val="ListParagraph"/>
        <w:numPr>
          <w:ilvl w:val="0"/>
          <w:numId w:val="2"/>
        </w:numPr>
        <w:spacing w:after="60"/>
      </w:pPr>
      <w:r>
        <w:rPr>
          <w:rFonts w:ascii="Calibri" w:cs="Calibri" w:eastAsia="Calibri" w:hAnsi="Calibri"/>
          <w:sz w:val="22"/>
          <w:szCs w:val="22"/>
        </w:rPr>
        <w:t xml:space="preserve">If monthDate &lt;= EOMONTH(TODAY(), 0) AND monthDate &gt;= DATE(YEAR(TODAY()), MONTH(TODAY()), 1): apply a distinct background colour (e.g. light yellow) to that column header and cells.</w:t>
      </w:r>
    </w:p>
    <w:p>
      <w:pPr>
        <w:pStyle w:val="ListParagraph"/>
        <w:numPr>
          <w:ilvl w:val="0"/>
          <w:numId w:val="2"/>
        </w:numPr>
        <w:spacing w:after="60"/>
      </w:pPr>
      <w:r>
        <w:rPr>
          <w:rFonts w:ascii="Calibri" w:cs="Calibri" w:eastAsia="Calibri" w:hAnsi="Calibri"/>
          <w:sz w:val="22"/>
          <w:szCs w:val="22"/>
        </w:rPr>
        <w:t xml:space="preserve">Add a legend note below the matrix: "* In progress — data through [last refresh date]."</w:t>
      </w:r>
    </w:p>
    <w:p>
      <w:pPr>
        <w:spacing w:after="120"/>
      </w:pPr>
      <w:r>
        <w:t xml:space="preserve"/>
      </w:r>
    </w:p>
    <w:p>
      <w:pPr>
        <w:spacing w:after="120"/>
      </w:pPr>
      <w:r>
        <w:rPr>
          <w:rFonts w:ascii="Calibri" w:cs="Calibri" w:eastAsia="Calibri" w:hAnsi="Calibri"/>
          <w:b/>
          <w:bCs/>
          <w:sz w:val="22"/>
          <w:szCs w:val="22"/>
        </w:rPr>
        <w:t xml:space="preserve">Q15 — Refresh timestamp and timezone</w:t>
      </w:r>
      <w:r>
        <w:rPr>
          <w:rFonts w:ascii="Calibri" w:cs="Calibri" w:eastAsia="Calibri" w:hAnsi="Calibri"/>
          <w:sz w:val="22"/>
          <w:szCs w:val="22"/>
        </w:rPr>
        <w:t xml:space="preserve">   [0.5 days]</w:t>
      </w:r>
    </w:p>
    <w:p>
      <w:pPr>
        <w:spacing w:after="120"/>
      </w:pPr>
      <w:r>
        <w:rPr>
          <w:rFonts w:ascii="Calibri" w:cs="Calibri" w:eastAsia="Calibri" w:hAnsi="Calibri"/>
          <w:sz w:val="22"/>
          <w:szCs w:val="22"/>
        </w:rPr>
        <w:t xml:space="preserve">Display last data refresh date/time and reporting timezone on the dashboard header.</w:t>
      </w:r>
    </w:p>
    <w:p>
      <w:pPr>
        <w:pStyle w:val="ListParagraph"/>
        <w:numPr>
          <w:ilvl w:val="0"/>
          <w:numId w:val="2"/>
        </w:numPr>
        <w:spacing w:after="60"/>
      </w:pPr>
      <w:r>
        <w:rPr>
          <w:rFonts w:ascii="Calibri" w:cs="Calibri" w:eastAsia="Calibri" w:hAnsi="Calibri"/>
          <w:sz w:val="22"/>
          <w:szCs w:val="22"/>
        </w:rPr>
        <w:t xml:space="preserve">In the Apps Script, after the BQ query completes, write the current timestamp to a header cell: e.g. "Data as of: " &amp; Utilities.formatDate(new Date(), "America/New_York", "MMM dd, yyyy HH:mm z").</w:t>
      </w:r>
    </w:p>
    <w:p>
      <w:pPr>
        <w:pStyle w:val="ListParagraph"/>
        <w:numPr>
          <w:ilvl w:val="0"/>
          <w:numId w:val="2"/>
        </w:numPr>
        <w:spacing w:after="60"/>
      </w:pPr>
      <w:r>
        <w:rPr>
          <w:rFonts w:ascii="Calibri" w:cs="Calibri" w:eastAsia="Calibri" w:hAnsi="Calibri"/>
          <w:sz w:val="22"/>
          <w:szCs w:val="22"/>
        </w:rPr>
        <w:t xml:space="preserve">Add a static label: "Timezone: US Eastern (ET)" next to the timestamp.</w:t>
      </w:r>
    </w:p>
    <w:p>
      <w:pPr>
        <w:spacing w:after="120"/>
      </w:pPr>
      <w:r>
        <w:t xml:space="preserve"/>
      </w:r>
    </w:p>
    <w:p>
      <w:pPr>
        <w:spacing w:after="120"/>
      </w:pPr>
      <w:r>
        <w:rPr>
          <w:rFonts w:ascii="Calibri" w:cs="Calibri" w:eastAsia="Calibri" w:hAnsi="Calibri"/>
          <w:b/>
          <w:bCs/>
          <w:sz w:val="22"/>
          <w:szCs w:val="22"/>
        </w:rPr>
        <w:t xml:space="preserve">Q16 — Data coverage notes per tab</w:t>
      </w:r>
      <w:r>
        <w:rPr>
          <w:rFonts w:ascii="Calibri" w:cs="Calibri" w:eastAsia="Calibri" w:hAnsi="Calibri"/>
          <w:sz w:val="22"/>
          <w:szCs w:val="22"/>
        </w:rPr>
        <w:t xml:space="preserve">   [0.5 days]</w:t>
      </w:r>
    </w:p>
    <w:p>
      <w:pPr>
        <w:spacing w:after="120"/>
      </w:pPr>
      <w:r>
        <w:rPr>
          <w:rFonts w:ascii="Calibri" w:cs="Calibri" w:eastAsia="Calibri" w:hAnsi="Calibri"/>
          <w:sz w:val="22"/>
          <w:szCs w:val="22"/>
        </w:rPr>
        <w:t xml:space="preserve">Add a short scope note to each tab footer or header.</w:t>
      </w:r>
    </w:p>
    <w:p>
      <w:pPr>
        <w:pStyle w:val="ListParagraph"/>
        <w:numPr>
          <w:ilvl w:val="0"/>
          <w:numId w:val="2"/>
        </w:numPr>
        <w:spacing w:after="60"/>
      </w:pPr>
      <w:r>
        <w:rPr>
          <w:rFonts w:ascii="Calibri" w:cs="Calibri" w:eastAsia="Calibri" w:hAnsi="Calibri"/>
          <w:sz w:val="22"/>
          <w:szCs w:val="22"/>
        </w:rPr>
        <w:t xml:space="preserve">For each tab, insert a fixed row at the top or bottom: "Geography: United States | Platform: Shopify | Data from: [earliest reliable month]".</w:t>
      </w:r>
    </w:p>
    <w:p>
      <w:pPr>
        <w:pStyle w:val="ListParagraph"/>
        <w:numPr>
          <w:ilvl w:val="0"/>
          <w:numId w:val="2"/>
        </w:numPr>
        <w:spacing w:after="60"/>
      </w:pPr>
      <w:r>
        <w:rPr>
          <w:rFonts w:ascii="Calibri" w:cs="Calibri" w:eastAsia="Calibri" w:hAnsi="Calibri"/>
          <w:sz w:val="22"/>
          <w:szCs w:val="22"/>
        </w:rPr>
        <w:t xml:space="preserve">Earliest reliable month should be confirmed with the data team and hardcoded (or pulled from a config cell).</w:t>
      </w:r>
    </w:p>
    <w:p>
      <w:pPr>
        <w:spacing w:after="120"/>
      </w:pPr>
      <w:r>
        <w:t xml:space="preserve"/>
      </w:r>
    </w:p>
    <w:p>
      <w:pPr>
        <w:spacing w:after="120"/>
      </w:pPr>
      <w:r>
        <w:rPr>
          <w:rFonts w:ascii="Calibri" w:cs="Calibri" w:eastAsia="Calibri" w:hAnsi="Calibri"/>
          <w:b/>
          <w:bCs/>
          <w:sz w:val="22"/>
          <w:szCs w:val="22"/>
        </w:rPr>
        <w:t xml:space="preserve">Q17 — Control cell styling</w:t>
      </w:r>
      <w:r>
        <w:rPr>
          <w:rFonts w:ascii="Calibri" w:cs="Calibri" w:eastAsia="Calibri" w:hAnsi="Calibri"/>
          <w:sz w:val="22"/>
          <w:szCs w:val="22"/>
        </w:rPr>
        <w:t xml:space="preserve">   [0.25 days]</w:t>
      </w:r>
    </w:p>
    <w:p>
      <w:pPr>
        <w:spacing w:after="120"/>
      </w:pPr>
      <w:r>
        <w:rPr>
          <w:rFonts w:ascii="Calibri" w:cs="Calibri" w:eastAsia="Calibri" w:hAnsi="Calibri"/>
          <w:sz w:val="22"/>
          <w:szCs w:val="22"/>
        </w:rPr>
        <w:t xml:space="preserve">Give the four editable control cells a distinct fill and/or border so they are immediately identifiable as inputs.</w:t>
      </w:r>
    </w:p>
    <w:p>
      <w:pPr>
        <w:pStyle w:val="ListParagraph"/>
        <w:numPr>
          <w:ilvl w:val="0"/>
          <w:numId w:val="2"/>
        </w:numPr>
        <w:spacing w:after="60"/>
      </w:pPr>
      <w:r>
        <w:rPr>
          <w:rFonts w:ascii="Calibri" w:cs="Calibri" w:eastAsia="Calibri" w:hAnsi="Calibri"/>
          <w:sz w:val="22"/>
          <w:szCs w:val="22"/>
        </w:rPr>
        <w:t xml:space="preserve">In the Apps Script formatting section, apply a yellow fill (#FFF2CC) and a medium border to the four dropdown cells (KPI, Category, Display Mode, Number Scale).</w:t>
      </w:r>
    </w:p>
    <w:p>
      <w:pPr>
        <w:pStyle w:val="ListParagraph"/>
        <w:numPr>
          <w:ilvl w:val="0"/>
          <w:numId w:val="2"/>
        </w:numPr>
        <w:spacing w:after="60"/>
      </w:pPr>
      <w:r>
        <w:rPr>
          <w:rFonts w:ascii="Calibri" w:cs="Calibri" w:eastAsia="Calibri" w:hAnsi="Calibri"/>
          <w:sz w:val="22"/>
          <w:szCs w:val="22"/>
        </w:rPr>
        <w:t xml:space="preserve">Optionally add a small label above each cell: "Edit here ↓".</w:t>
      </w:r>
    </w:p>
    <w:p>
      <w:pPr>
        <w:spacing w:after="120"/>
      </w:pPr>
      <w:r>
        <w:t xml:space="preserve"/>
      </w:r>
    </w:p>
    <w:p>
      <w:pPr>
        <w:spacing w:after="120"/>
      </w:pPr>
      <w:r>
        <w:rPr>
          <w:rFonts w:ascii="Calibri" w:cs="Calibri" w:eastAsia="Calibri" w:hAnsi="Calibri"/>
          <w:b/>
          <w:bCs/>
          <w:sz w:val="22"/>
          <w:szCs w:val="22"/>
        </w:rPr>
        <w:t xml:space="preserve">Q18 — Expand Definitions tab</w:t>
      </w:r>
      <w:r>
        <w:rPr>
          <w:rFonts w:ascii="Calibri" w:cs="Calibri" w:eastAsia="Calibri" w:hAnsi="Calibri"/>
          <w:sz w:val="22"/>
          <w:szCs w:val="22"/>
        </w:rPr>
        <w:t xml:space="preserve">   [1 day]</w:t>
      </w:r>
    </w:p>
    <w:p>
      <w:pPr>
        <w:spacing w:after="120"/>
      </w:pPr>
      <w:r>
        <w:rPr>
          <w:rFonts w:ascii="Calibri" w:cs="Calibri" w:eastAsia="Calibri" w:hAnsi="Calibri"/>
          <w:sz w:val="22"/>
          <w:szCs w:val="22"/>
        </w:rPr>
        <w:t xml:space="preserve">Add structured definitions for all metrics, covering denominator, data grain, category rule, order inclusion, and refund treatment.</w:t>
      </w:r>
    </w:p>
    <w:p>
      <w:pPr>
        <w:pStyle w:val="ListParagraph"/>
        <w:numPr>
          <w:ilvl w:val="0"/>
          <w:numId w:val="2"/>
        </w:numPr>
        <w:spacing w:after="60"/>
      </w:pPr>
      <w:r>
        <w:rPr>
          <w:rFonts w:ascii="Calibri" w:cs="Calibri" w:eastAsia="Calibri" w:hAnsi="Calibri"/>
          <w:sz w:val="22"/>
          <w:szCs w:val="22"/>
        </w:rPr>
        <w:t xml:space="preserve">Create a structured table in the Definitions tab with one row per metric.</w:t>
      </w:r>
    </w:p>
    <w:p>
      <w:pPr>
        <w:pStyle w:val="ListParagraph"/>
        <w:numPr>
          <w:ilvl w:val="0"/>
          <w:numId w:val="2"/>
        </w:numPr>
        <w:spacing w:after="60"/>
      </w:pPr>
      <w:r>
        <w:rPr>
          <w:rFonts w:ascii="Calibri" w:cs="Calibri" w:eastAsia="Calibri" w:hAnsi="Calibri"/>
          <w:sz w:val="22"/>
          <w:szCs w:val="22"/>
        </w:rPr>
        <w:t xml:space="preserve">Cover: Cumulative Repurchase Rate, Total Customers, Revenue, Flavour Take Rate, Jar Take Rate, Purchase Bucket, Acquisition Month, Month Diff, All Categories.</w:t>
      </w:r>
    </w:p>
    <w:p>
      <w:pPr>
        <w:pStyle w:val="ListParagraph"/>
        <w:numPr>
          <w:ilvl w:val="0"/>
          <w:numId w:val="2"/>
        </w:numPr>
        <w:spacing w:after="60"/>
      </w:pPr>
      <w:r>
        <w:rPr>
          <w:rFonts w:ascii="Calibri" w:cs="Calibri" w:eastAsia="Calibri" w:hAnsi="Calibri"/>
          <w:sz w:val="22"/>
          <w:szCs w:val="22"/>
        </w:rPr>
        <w:t xml:space="preserve">Document the category rule difference between the Cohorts tab and the Customers Who Purchased X Times tab explicitly.</w:t>
      </w:r>
    </w:p>
    <w:p>
      <w:pPr>
        <w:spacing w:after="120"/>
      </w:pPr>
      <w:r>
        <w:t xml:space="preserve"/>
      </w:r>
    </w:p>
    <w:p>
      <w:pPr>
        <w:pStyle w:val="Heading2"/>
        <w:spacing w:after="80" w:before="300"/>
      </w:pPr>
      <w:r>
        <w:t xml:space="preserve">Phase 2 — Repurchase Rate Fix (3–5 days)</w:t>
      </w:r>
    </w:p>
    <w:p>
      <w:pPr>
        <w:spacing w:after="120"/>
      </w:pPr>
      <w:r>
        <w:rPr>
          <w:rFonts w:ascii="Calibri" w:cs="Calibri" w:eastAsia="Calibri" w:hAnsi="Calibri"/>
          <w:sz w:val="22"/>
          <w:szCs w:val="22"/>
        </w:rPr>
        <w:t xml:space="preserve">Moderate complexity. Requires a change to the bq_cohort_matrix_segmented view in BigQuery, followed by validation.</w:t>
      </w:r>
    </w:p>
    <w:p>
      <w:pPr>
        <w:spacing w:after="120"/>
      </w:pPr>
      <w:r>
        <w:t xml:space="preserve"/>
      </w:r>
    </w:p>
    <w:p>
      <w:pPr>
        <w:spacing w:after="120"/>
      </w:pPr>
      <w:r>
        <w:rPr>
          <w:rFonts w:ascii="Calibri" w:cs="Calibri" w:eastAsia="Calibri" w:hAnsi="Calibri"/>
          <w:b/>
          <w:bCs/>
          <w:sz w:val="22"/>
          <w:szCs w:val="22"/>
        </w:rPr>
        <w:t xml:space="preserve">Q1 — Fix Cumulative Repurchase Rate exceeding 100%</w:t>
      </w:r>
      <w:r>
        <w:rPr>
          <w:rFonts w:ascii="Calibri" w:cs="Calibri" w:eastAsia="Calibri" w:hAnsi="Calibri"/>
          <w:sz w:val="22"/>
          <w:szCs w:val="22"/>
        </w:rPr>
        <w:t xml:space="preserve">   [3–5 days]</w:t>
      </w:r>
    </w:p>
    <w:p>
      <w:pPr>
        <w:spacing w:after="120"/>
      </w:pPr>
      <w:r>
        <w:rPr>
          <w:rFonts w:ascii="Calibri" w:cs="Calibri" w:eastAsia="Calibri" w:hAnsi="Calibri"/>
          <w:sz w:val="22"/>
          <w:szCs w:val="22"/>
        </w:rPr>
        <w:t xml:space="preserve">The repeat-purchase numerator is currently drawn from a wider population than the defined cohort, causing rates above 100%. The fix restricts the numerator to the cohort.</w:t>
      </w:r>
    </w:p>
    <w:p>
      <w:pPr>
        <w:pStyle w:val="ListParagraph"/>
        <w:numPr>
          <w:ilvl w:val="0"/>
          <w:numId w:val="2"/>
        </w:numPr>
        <w:spacing w:after="60"/>
      </w:pPr>
      <w:r>
        <w:rPr>
          <w:rFonts w:ascii="Calibri" w:cs="Calibri" w:eastAsia="Calibri" w:hAnsi="Calibri"/>
          <w:sz w:val="22"/>
          <w:szCs w:val="22"/>
        </w:rPr>
        <w:t xml:space="preserve">Locate the repeat_events CTE (or equivalent) in the bq_cohort_matrix_segmented view definition.</w:t>
      </w:r>
    </w:p>
    <w:p>
      <w:pPr>
        <w:pStyle w:val="ListParagraph"/>
        <w:numPr>
          <w:ilvl w:val="0"/>
          <w:numId w:val="2"/>
        </w:numPr>
        <w:spacing w:after="60"/>
      </w:pPr>
      <w:r>
        <w:rPr>
          <w:rFonts w:ascii="Calibri" w:cs="Calibri" w:eastAsia="Calibri" w:hAnsi="Calibri"/>
          <w:sz w:val="22"/>
          <w:szCs w:val="22"/>
        </w:rPr>
        <w:t xml:space="preserve">Add a JOIN or WHERE condition to ensure only customers whose acquisition_month matches the cohort row's acquisition_month are counted in the repeat numerator.</w:t>
      </w:r>
    </w:p>
    <w:p>
      <w:pPr>
        <w:pStyle w:val="ListParagraph"/>
        <w:numPr>
          <w:ilvl w:val="0"/>
          <w:numId w:val="2"/>
        </w:numPr>
        <w:spacing w:after="60"/>
      </w:pPr>
      <w:r>
        <w:rPr>
          <w:rFonts w:ascii="Calibri" w:cs="Calibri" w:eastAsia="Calibri" w:hAnsi="Calibri"/>
          <w:sz w:val="22"/>
          <w:szCs w:val="22"/>
        </w:rPr>
        <w:t xml:space="preserve">Validate: run a query confirming MAX(cumulative_repurchase_rate) &lt;= 1.0 across all rows.</w:t>
      </w:r>
    </w:p>
    <w:p>
      <w:pPr>
        <w:pStyle w:val="ListParagraph"/>
        <w:numPr>
          <w:ilvl w:val="0"/>
          <w:numId w:val="2"/>
        </w:numPr>
        <w:spacing w:after="60"/>
      </w:pPr>
      <w:r>
        <w:rPr>
          <w:rFonts w:ascii="Calibri" w:cs="Calibri" w:eastAsia="Calibri" w:hAnsi="Calibri"/>
          <w:sz w:val="22"/>
          <w:szCs w:val="22"/>
        </w:rPr>
        <w:t xml:space="preserve">Validate: check that rates move monotonically non-decreasing across month_diff for each cohort (cannot go down over time).</w:t>
      </w:r>
    </w:p>
    <w:p>
      <w:pPr>
        <w:pStyle w:val="ListParagraph"/>
        <w:numPr>
          <w:ilvl w:val="0"/>
          <w:numId w:val="2"/>
        </w:numPr>
        <w:spacing w:after="60"/>
      </w:pPr>
      <w:r>
        <w:rPr>
          <w:rFonts w:ascii="Calibri" w:cs="Calibri" w:eastAsia="Calibri" w:hAnsi="Calibri"/>
          <w:sz w:val="22"/>
          <w:szCs w:val="22"/>
        </w:rPr>
        <w:t xml:space="preserve">Deploy the updated view and trigger a data refresh.</w:t>
      </w:r>
    </w:p>
    <w:p>
      <w:pPr>
        <w:spacing w:after="120"/>
      </w:pPr>
      <w:r>
        <w:t xml:space="preserve"/>
      </w:r>
    </w:p>
    <w:p>
      <w:pPr>
        <w:pStyle w:val="Heading2"/>
        <w:spacing w:after="80" w:before="300"/>
      </w:pPr>
      <w:r>
        <w:t xml:space="preserve">Phase 3 — Cancelled Orders Pipeline Fix (1–2 weeks)</w:t>
      </w:r>
    </w:p>
    <w:p>
      <w:pPr>
        <w:spacing w:after="120"/>
      </w:pPr>
      <w:r>
        <w:rPr>
          <w:rFonts w:ascii="Calibri" w:cs="Calibri" w:eastAsia="Calibri" w:hAnsi="Calibri"/>
          <w:sz w:val="22"/>
          <w:szCs w:val="22"/>
        </w:rPr>
        <w:t xml:space="preserve">High impact. Single-line code change, but requires full dbt pipeline rerun, historical data reconciliation, and sign-off before deploying to production.</w:t>
      </w:r>
    </w:p>
    <w:p>
      <w:pPr>
        <w:spacing w:after="120"/>
      </w:pPr>
      <w:r>
        <w:t xml:space="preserve"/>
      </w:r>
    </w:p>
    <w:p>
      <w:pPr>
        <w:spacing w:after="120"/>
      </w:pPr>
      <w:r>
        <w:rPr>
          <w:rFonts w:ascii="Calibri" w:cs="Calibri" w:eastAsia="Calibri" w:hAnsi="Calibri"/>
          <w:b/>
          <w:bCs/>
          <w:sz w:val="22"/>
          <w:szCs w:val="22"/>
        </w:rPr>
        <w:t xml:space="preserve">Q13 — Fix hardcoded is_cancelled = false in pipeline</w:t>
      </w:r>
      <w:r>
        <w:rPr>
          <w:rFonts w:ascii="Calibri" w:cs="Calibri" w:eastAsia="Calibri" w:hAnsi="Calibri"/>
          <w:sz w:val="22"/>
          <w:szCs w:val="22"/>
        </w:rPr>
        <w:t xml:space="preserve">   [1–2 weeks]</w:t>
      </w:r>
    </w:p>
    <w:p>
      <w:pPr>
        <w:spacing w:after="120"/>
      </w:pPr>
      <w:r>
        <w:rPr>
          <w:rFonts w:ascii="Calibri" w:cs="Calibri" w:eastAsia="Calibri" w:hAnsi="Calibri"/>
          <w:sz w:val="22"/>
          <w:szCs w:val="22"/>
        </w:rPr>
        <w:t xml:space="preserve">In the current pipeline, is_cancelled is hardcoded to false for every row in fact_order_lines_shopify.sql (line 330). This means Shopify-cancelled orders are not excluded or flagged — they inflate order counts, revenue, NTB metrics, and cohort sizes. Return rows for those cancelled orders are also stripped by the transaction_type &lt;&gt; 'Return' filter, so only the positive order row remains.</w:t>
      </w:r>
    </w:p>
    <w:p>
      <w:pPr>
        <w:pStyle w:val="ListParagraph"/>
        <w:numPr>
          <w:ilvl w:val="0"/>
          <w:numId w:val="2"/>
        </w:numPr>
        <w:spacing w:after="60"/>
      </w:pPr>
      <w:r>
        <w:rPr>
          <w:rFonts w:ascii="Calibri" w:cs="Calibri" w:eastAsia="Calibri" w:hAnsi="Calibri"/>
          <w:sz w:val="22"/>
          <w:szCs w:val="22"/>
        </w:rPr>
        <w:t xml:space="preserve">File to edit: models/Modelling/Prerequisites/Shopify/fact_order_lines_shopify.sql, line 330.</w:t>
      </w:r>
    </w:p>
    <w:p>
      <w:pPr>
        <w:pStyle w:val="ListParagraph"/>
        <w:numPr>
          <w:ilvl w:val="0"/>
          <w:numId w:val="2"/>
        </w:numPr>
        <w:spacing w:after="60"/>
      </w:pPr>
      <w:r>
        <w:rPr>
          <w:rFonts w:ascii="Calibri" w:cs="Calibri" w:eastAsia="Calibri" w:hAnsi="Calibri"/>
          <w:sz w:val="22"/>
          <w:szCs w:val="22"/>
        </w:rPr>
        <w:t xml:space="preserve">Change: false as is_cancelled → (cancelled_at IS NOT NULL) as is_cancelled</w:t>
      </w:r>
    </w:p>
    <w:p>
      <w:pPr>
        <w:pStyle w:val="ListParagraph"/>
        <w:numPr>
          <w:ilvl w:val="0"/>
          <w:numId w:val="2"/>
        </w:numPr>
        <w:spacing w:after="60"/>
      </w:pPr>
      <w:r>
        <w:rPr>
          <w:rFonts w:ascii="Calibri" w:cs="Calibri" w:eastAsia="Calibri" w:hAnsi="Calibri"/>
          <w:sz w:val="22"/>
          <w:szCs w:val="22"/>
        </w:rPr>
        <w:t xml:space="preserve">Downstream impact: all models using is_cancelled as a filter (OrderLinesMaster, All_KPIs_Date_Level, sku_cohort_base, etc.) will automatically inherit the fix on the next dbt run.</w:t>
      </w:r>
    </w:p>
    <w:p>
      <w:pPr>
        <w:pStyle w:val="ListParagraph"/>
        <w:numPr>
          <w:ilvl w:val="0"/>
          <w:numId w:val="2"/>
        </w:numPr>
        <w:spacing w:after="60"/>
      </w:pPr>
      <w:r>
        <w:rPr>
          <w:rFonts w:ascii="Calibri" w:cs="Calibri" w:eastAsia="Calibri" w:hAnsi="Calibri"/>
          <w:sz w:val="22"/>
          <w:szCs w:val="22"/>
        </w:rPr>
        <w:t xml:space="preserve">Validation: compare post-fix order counts against Shopify admin exports for a representative month (e.g. April 2026). Expect ~2–3% reduction in order count and revenue.</w:t>
      </w:r>
    </w:p>
    <w:p>
      <w:pPr>
        <w:pStyle w:val="ListParagraph"/>
        <w:numPr>
          <w:ilvl w:val="0"/>
          <w:numId w:val="2"/>
        </w:numPr>
        <w:spacing w:after="60"/>
      </w:pPr>
      <w:r>
        <w:rPr>
          <w:rFonts w:ascii="Calibri" w:cs="Calibri" w:eastAsia="Calibri" w:hAnsi="Calibri"/>
          <w:sz w:val="22"/>
          <w:szCs w:val="22"/>
        </w:rPr>
        <w:t xml:space="preserve">Note the known impact: ~$2.76M in net sales inflation identified across Jan 2025–Sep 2026 in the presentation tables. Confirm with client before deploying if historical figures will change.</w:t>
      </w:r>
    </w:p>
    <w:p>
      <w:pPr>
        <w:pStyle w:val="ListParagraph"/>
        <w:numPr>
          <w:ilvl w:val="0"/>
          <w:numId w:val="2"/>
        </w:numPr>
        <w:spacing w:after="60"/>
      </w:pPr>
      <w:r>
        <w:rPr>
          <w:rFonts w:ascii="Calibri" w:cs="Calibri" w:eastAsia="Calibri" w:hAnsi="Calibri"/>
          <w:sz w:val="22"/>
          <w:szCs w:val="22"/>
        </w:rPr>
        <w:t xml:space="preserve">Once validated in staging, run full dbt production run and trigger dashboard refresh.</w:t>
      </w:r>
    </w:p>
    <w:p>
      <w:pPr>
        <w:pStyle w:val="ListParagraph"/>
        <w:numPr>
          <w:ilvl w:val="0"/>
          <w:numId w:val="2"/>
        </w:numPr>
        <w:spacing w:after="60"/>
      </w:pPr>
      <w:r>
        <w:rPr>
          <w:rFonts w:ascii="Calibri" w:cs="Calibri" w:eastAsia="Calibri" w:hAnsi="Calibri"/>
          <w:sz w:val="22"/>
          <w:szCs w:val="22"/>
        </w:rPr>
        <w:t xml:space="preserve">Update Q13 answer in client documentation after fix is deployed to reflect that cancelled orders are now excluded.</w:t>
      </w:r>
    </w:p>
    <w:p>
      <w:pPr>
        <w:spacing w:after="120"/>
      </w:pPr>
      <w:r>
        <w:t xml:space="preserve"/>
      </w:r>
    </w:p>
    <w:p>
      <w:r>
        <w:br w:type="page"/>
      </w:r>
    </w:p>
    <w:p>
      <w:pPr>
        <w:pStyle w:val="Heading1"/>
        <w:spacing w:after="120" w:before="400"/>
      </w:pPr>
      <w:r>
        <w:t xml:space="preserve">6. Estimated Timelines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c>
          <w:tcPr>
            <w:tcW w:type="dxa" w:w="2340"/>
            <w:shd w:fill="F2F2F2" w:val="clear"/>
          </w:tcPr>
          <w:p>
            <w:pPr>
              <w:spacing w:after="60"/>
            </w:pPr>
            <w:r>
              <w:rPr>
                <w:rFonts w:ascii="Calibri" w:cs="Calibri" w:eastAsia="Calibri" w:hAnsi="Calibri"/>
                <w:b/>
                <w:bCs/>
                <w:sz w:val="20"/>
                <w:szCs w:val="20"/>
              </w:rPr>
              <w:t xml:space="preserve">Phase 1: Dashboard changes (Q14–Q18)</w:t>
            </w:r>
          </w:p>
        </w:tc>
        <w:tc>
          <w:tcPr>
            <w:tcW w:type="dxa" w:w="7020"/>
          </w:tcPr>
          <w:p>
            <w:pPr>
              <w:spacing w:after="60"/>
            </w:pPr>
            <w:r>
              <w:rPr>
                <w:rFonts w:ascii="Calibri" w:cs="Calibri" w:eastAsia="Calibri" w:hAnsi="Calibri"/>
                <w:sz w:val="20"/>
                <w:szCs w:val="20"/>
              </w:rPr>
              <w:t xml:space="preserve">2–3 days</w:t>
            </w:r>
          </w:p>
        </w:tc>
      </w:tr>
      <w:tr>
        <w:tc>
          <w:tcPr>
            <w:tcW w:type="dxa" w:w="2340"/>
            <w:shd w:fill="F2F2F2" w:val="clear"/>
          </w:tcPr>
          <w:p>
            <w:pPr>
              <w:spacing w:after="60"/>
            </w:pPr>
            <w:r>
              <w:rPr>
                <w:rFonts w:ascii="Calibri" w:cs="Calibri" w:eastAsia="Calibri" w:hAnsi="Calibri"/>
                <w:b/>
                <w:bCs/>
                <w:sz w:val="20"/>
                <w:szCs w:val="20"/>
              </w:rPr>
              <w:t xml:space="preserve">Phase 2: Repurchase rate fix (Q1)</w:t>
            </w:r>
          </w:p>
        </w:tc>
        <w:tc>
          <w:tcPr>
            <w:tcW w:type="dxa" w:w="7020"/>
          </w:tcPr>
          <w:p>
            <w:pPr>
              <w:spacing w:after="60"/>
            </w:pPr>
            <w:r>
              <w:rPr>
                <w:rFonts w:ascii="Calibri" w:cs="Calibri" w:eastAsia="Calibri" w:hAnsi="Calibri"/>
                <w:sz w:val="20"/>
                <w:szCs w:val="20"/>
              </w:rPr>
              <w:t xml:space="preserve">3–5 days</w:t>
            </w:r>
          </w:p>
        </w:tc>
      </w:tr>
      <w:tr>
        <w:tc>
          <w:tcPr>
            <w:tcW w:type="dxa" w:w="2340"/>
            <w:shd w:fill="F2F2F2" w:val="clear"/>
          </w:tcPr>
          <w:p>
            <w:pPr>
              <w:spacing w:after="60"/>
            </w:pPr>
            <w:r>
              <w:rPr>
                <w:rFonts w:ascii="Calibri" w:cs="Calibri" w:eastAsia="Calibri" w:hAnsi="Calibri"/>
                <w:b/>
                <w:bCs/>
                <w:sz w:val="20"/>
                <w:szCs w:val="20"/>
              </w:rPr>
              <w:t xml:space="preserve">Phase 1 + 2 in parallel</w:t>
            </w:r>
          </w:p>
        </w:tc>
        <w:tc>
          <w:tcPr>
            <w:tcW w:type="dxa" w:w="7020"/>
          </w:tcPr>
          <w:p>
            <w:pPr>
              <w:spacing w:after="60"/>
            </w:pPr>
            <w:r>
              <w:rPr>
                <w:rFonts w:ascii="Calibri" w:cs="Calibri" w:eastAsia="Calibri" w:hAnsi="Calibri"/>
                <w:sz w:val="20"/>
                <w:szCs w:val="20"/>
              </w:rPr>
              <w:t xml:space="preserve">~1 week</w:t>
            </w:r>
          </w:p>
        </w:tc>
      </w:tr>
      <w:tr>
        <w:tc>
          <w:tcPr>
            <w:tcW w:type="dxa" w:w="2340"/>
            <w:shd w:fill="F2F2F2" w:val="clear"/>
          </w:tcPr>
          <w:p>
            <w:pPr>
              <w:spacing w:after="60"/>
            </w:pPr>
            <w:r>
              <w:rPr>
                <w:rFonts w:ascii="Calibri" w:cs="Calibri" w:eastAsia="Calibri" w:hAnsi="Calibri"/>
                <w:b/>
                <w:bCs/>
                <w:sz w:val="20"/>
                <w:szCs w:val="20"/>
              </w:rPr>
              <w:t xml:space="preserve">Phase 3: Cancelled orders fix (Q13)</w:t>
            </w:r>
          </w:p>
        </w:tc>
        <w:tc>
          <w:tcPr>
            <w:tcW w:type="dxa" w:w="7020"/>
          </w:tcPr>
          <w:p>
            <w:pPr>
              <w:spacing w:after="60"/>
            </w:pPr>
            <w:r>
              <w:rPr>
                <w:rFonts w:ascii="Calibri" w:cs="Calibri" w:eastAsia="Calibri" w:hAnsi="Calibri"/>
                <w:sz w:val="20"/>
                <w:szCs w:val="20"/>
              </w:rPr>
              <w:t xml:space="preserve">1–2 weeks (change is fast; validation is the work)</w:t>
            </w:r>
          </w:p>
        </w:tc>
      </w:tr>
      <w:tr>
        <w:tc>
          <w:tcPr>
            <w:tcW w:type="dxa" w:w="2340"/>
            <w:shd w:fill="F2F2F2" w:val="clear"/>
          </w:tcPr>
          <w:p>
            <w:pPr>
              <w:spacing w:after="60"/>
            </w:pPr>
            <w:r>
              <w:rPr>
                <w:rFonts w:ascii="Calibri" w:cs="Calibri" w:eastAsia="Calibri" w:hAnsi="Calibri"/>
                <w:b/>
                <w:bCs/>
                <w:sz w:val="20"/>
                <w:szCs w:val="20"/>
              </w:rPr>
              <w:t xml:space="preserve">Full package including client review</w:t>
            </w:r>
          </w:p>
        </w:tc>
        <w:tc>
          <w:tcPr>
            <w:tcW w:type="dxa" w:w="7020"/>
          </w:tcPr>
          <w:p>
            <w:pPr>
              <w:spacing w:after="60"/>
            </w:pPr>
            <w:r>
              <w:rPr>
                <w:rFonts w:ascii="Calibri" w:cs="Calibri" w:eastAsia="Calibri" w:hAnsi="Calibri"/>
                <w:sz w:val="20"/>
                <w:szCs w:val="20"/>
              </w:rPr>
              <w:t xml:space="preserve">2–3 weeks</w:t>
            </w:r>
          </w:p>
        </w:tc>
      </w:tr>
    </w:tbl>
    <w:p>
      <w:pPr>
        <w:spacing w:after="120"/>
      </w:pPr>
      <w:r>
        <w:t xml:space="preserve"/>
      </w:r>
    </w:p>
    <w:p>
      <w:pPr>
        <w:spacing w:after="120"/>
      </w:pPr>
      <w:r>
        <w:rPr>
          <w:rFonts w:ascii="Calibri" w:cs="Calibri" w:eastAsia="Calibri" w:hAnsi="Calibri"/>
          <w:sz w:val="22"/>
          <w:szCs w:val="22"/>
        </w:rPr>
        <w:t xml:space="preserve">Note: Phase 3 (cancelled orders) should be scoped as a separate, coordinated change rather than bundled with the others, due to its downstream impact on historical data across all metrics.</w:t>
      </w:r>
    </w:p>
    <w:p>
      <w:pPr>
        <w:spacing w:after="120"/>
      </w:pPr>
      <w:r>
        <w:t xml:space="preserve"/>
      </w:r>
    </w:p>
    <w:p>
      <w:pPr>
        <w:pStyle w:val="Heading1"/>
        <w:spacing w:after="120" w:before="400"/>
      </w:pPr>
      <w:r>
        <w:t xml:space="preserve">7. Known Open Items</w:t>
      </w:r>
    </w:p>
    <w:p>
      <w:pPr>
        <w:pStyle w:val="ListParagraph"/>
        <w:numPr>
          <w:ilvl w:val="0"/>
          <w:numId w:val="2"/>
        </w:numPr>
        <w:spacing w:after="60"/>
      </w:pPr>
      <w:r>
        <w:rPr>
          <w:rFonts w:ascii="Calibri" w:cs="Calibri" w:eastAsia="Calibri" w:hAnsi="Calibri"/>
          <w:sz w:val="22"/>
          <w:szCs w:val="22"/>
        </w:rPr>
        <w:t xml:space="preserve">Q5 (30-day period alternative): Implement only if client explicitly requests. No commitment made yet.</w:t>
      </w:r>
    </w:p>
    <w:p>
      <w:pPr>
        <w:pStyle w:val="ListParagraph"/>
        <w:numPr>
          <w:ilvl w:val="0"/>
          <w:numId w:val="2"/>
        </w:numPr>
        <w:spacing w:after="60"/>
      </w:pPr>
      <w:r>
        <w:rPr>
          <w:rFonts w:ascii="Calibri" w:cs="Calibri" w:eastAsia="Calibri" w:hAnsi="Calibri"/>
          <w:sz w:val="22"/>
          <w:szCs w:val="22"/>
        </w:rPr>
        <w:t xml:space="preserve">Q13 (cancelled orders): Impact assessment on historical metrics should be shared with client before deploying the fix to production, as figures will change.</w:t>
      </w:r>
    </w:p>
    <w:p>
      <w:pPr>
        <w:pStyle w:val="ListParagraph"/>
        <w:numPr>
          <w:ilvl w:val="0"/>
          <w:numId w:val="2"/>
        </w:numPr>
        <w:spacing w:after="60"/>
      </w:pPr>
      <w:r>
        <w:rPr>
          <w:rFonts w:ascii="Calibri" w:cs="Calibri" w:eastAsia="Calibri" w:hAnsi="Calibri"/>
          <w:sz w:val="22"/>
          <w:szCs w:val="22"/>
        </w:rPr>
        <w:t xml:space="preserve">Electrolytes launch date (July 4, 2025): Hardcoded assumption used to explain blank bucket-1 rows for pre-July cohorts. If this date changes, Q2 explanation must be updated.</w:t>
      </w:r>
    </w:p>
    <w:p>
      <w:pPr>
        <w:pStyle w:val="ListParagraph"/>
        <w:numPr>
          <w:ilvl w:val="0"/>
          <w:numId w:val="2"/>
        </w:numPr>
        <w:spacing w:after="60"/>
      </w:pPr>
      <w:r>
        <w:rPr>
          <w:rFonts w:ascii="Calibri" w:cs="Calibri" w:eastAsia="Calibri" w:hAnsi="Calibri"/>
          <w:sz w:val="22"/>
          <w:szCs w:val="22"/>
        </w:rPr>
        <w:t xml:space="preserve">TikTok Shop exclusion: Shopify orders with source_name = "tiktok" are excluded to avoid double-counting. If the TikTok integration changes, this exclusion should be reviewed.</w:t>
      </w:r>
    </w:p>
    <w:p>
      <w:pPr>
        <w:spacing w:after="120"/>
      </w:pPr>
      <w:r>
        <w:t xml:space="preserve"/>
      </w:r>
    </w:p>
    <w:p>
      <w:pPr>
        <w:spacing w:before="400"/>
        <w:jc w:val="center"/>
      </w:pPr>
      <w:r>
        <w:rPr>
          <w:rFonts w:ascii="Calibri" w:cs="Calibri" w:eastAsia="Calibri" w:hAnsi="Calibri"/>
          <w:i/>
          <w:iCs/>
          <w:color w:val="59595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2026-09-08T10:30:22.603Z</dcterms:created>
  <dcterms:modified xsi:type="dcterms:W3CDTF">2026-09-08T10:30:22.603Z</dcterms:modified>
</cp:coreProperties>
</file>

<file path=docProps/custom.xml><?xml version="1.0" encoding="utf-8"?>
<Properties xmlns="http://schemas.openxmlformats.org/officeDocument/2006/custom-properties" xmlns:vt="http://schemas.openxmlformats.org/officeDocument/2006/docPropsVTypes"/>
</file>