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4E45"/>
          <w:spacing w:val="40"/>
          <w:sz w:val="17"/>
          <w:szCs w:val="17"/>
        </w:rPr>
        <w:t xml:space="preserve">TRUESEAMOSS  ·  FLAVOUR LAUNCH ANALYSIS</w:t>
      </w:r>
    </w:p>
    <w:p>
      <w:pPr>
        <w:spacing w:after="100"/>
      </w:pPr>
      <w:r>
        <w:rPr>
          <w:rFonts w:ascii="Georgia" w:cs="Georgia" w:eastAsia="Georgia" w:hAnsi="Georgia"/>
          <w:b/>
          <w:bCs/>
          <w:color w:val="1B2A27"/>
          <w:sz w:val="44"/>
          <w:szCs w:val="44"/>
        </w:rPr>
        <w:t xml:space="preserve">Do new flavour launches grow the business?</w:t>
      </w:r>
    </w:p>
    <w:p>
      <w:pPr>
        <w:pBdr>
          <w:bottom w:val="single" w:color="1F4E45" w:sz="8" w:space="8"/>
        </w:pBdr>
        <w:spacing w:after="240"/>
      </w:pPr>
      <w:r>
        <w:rPr>
          <w:rFonts w:ascii="Calibri" w:cs="Calibri" w:eastAsia="Calibri" w:hAnsi="Calibri"/>
          <w:color w:val="5C6B68"/>
          <w:sz w:val="22"/>
          <w:szCs w:val="22"/>
        </w:rPr>
        <w:t xml:space="preserve">Three gel launches measured at 30, 60 and 90 days — and tested for whether the revenue was real</w:t>
      </w:r>
    </w:p>
    <w:p>
      <w:pPr>
        <w:spacing w:after="40"/>
      </w:pPr>
      <w:r>
        <w:rPr>
          <w:rFonts w:ascii="Calibri" w:cs="Calibri" w:eastAsia="Calibri" w:hAnsi="Calibri"/>
          <w:b/>
          <w:bCs/>
          <w:color w:val="1B2A27"/>
          <w:sz w:val="21"/>
          <w:szCs w:val="21"/>
        </w:rPr>
        <w:t xml:space="preserve">Scope: </w:t>
      </w:r>
      <w:r>
        <w:rPr>
          <w:rFonts w:ascii="Calibri" w:cs="Calibri" w:eastAsia="Calibri" w:hAnsi="Calibri"/>
          <w:color w:val="1B2A27"/>
          <w:sz w:val="21"/>
          <w:szCs w:val="21"/>
        </w:rPr>
        <w:t xml:space="preserve">Shopify, United States. Data through 10 September 2026.</w:t>
      </w:r>
    </w:p>
    <w:p>
      <w:pPr>
        <w:spacing w:after="300"/>
      </w:pPr>
      <w:r>
        <w:rPr>
          <w:rFonts w:ascii="Calibri" w:cs="Calibri" w:eastAsia="Calibri" w:hAnsi="Calibri"/>
          <w:b/>
          <w:bCs/>
          <w:color w:val="1B2A27"/>
          <w:sz w:val="21"/>
          <w:szCs w:val="21"/>
        </w:rPr>
        <w:t xml:space="preserve">Launches: </w:t>
      </w:r>
      <w:r>
        <w:rPr>
          <w:rFonts w:ascii="Calibri" w:cs="Calibri" w:eastAsia="Calibri" w:hAnsi="Calibri"/>
          <w:color w:val="1B2A27"/>
          <w:sz w:val="21"/>
          <w:szCs w:val="21"/>
        </w:rPr>
        <w:t xml:space="preserve">Cranberry (9 Dec 2025), Peach/Pear (20 Mar 2026), Raspberry/Watermelon (15 Jun 2026).</w:t>
      </w:r>
    </w:p>
    <w:p>
      <w:pPr>
        <w:pStyle w:val="Heading1"/>
        <w:spacing w:after="160" w:before="360"/>
      </w:pPr>
      <w:r>
        <w:rPr>
          <w:rFonts w:ascii="Georgia" w:cs="Georgia" w:eastAsia="Georgia" w:hAnsi="Georgia"/>
          <w:b/>
          <w:bCs/>
          <w:color w:val="1F4E45"/>
          <w:sz w:val="30"/>
          <w:szCs w:val="30"/>
        </w:rPr>
        <w:t xml:space="preserve">Bottom line</w:t>
      </w:r>
    </w:p>
    <w:p>
      <w:pPr>
        <w:pStyle w:val="ListParagraph"/>
        <w:numPr>
          <w:ilvl w:val="0"/>
          <w:numId w:val="2"/>
        </w:numPr>
        <w:spacing w:after="100"/>
      </w:pPr>
      <w:r>
        <w:rPr>
          <w:rFonts w:ascii="Calibri" w:cs="Calibri" w:eastAsia="Calibri" w:hAnsi="Calibri"/>
          <w:color w:val="1B2A27"/>
          <w:sz w:val="21"/>
          <w:szCs w:val="21"/>
        </w:rPr>
        <w:t xml:space="preserve">Launches grow the business. 80% to 93% of launch revenue came from customers who had never bought before. Across the three launches that is 41,284 new customers and $1.74m in the first 90 days.</w:t>
      </w:r>
    </w:p>
    <w:p>
      <w:pPr>
        <w:pStyle w:val="ListParagraph"/>
        <w:numPr>
          <w:ilvl w:val="0"/>
          <w:numId w:val="2"/>
        </w:numPr>
        <w:spacing w:after="100"/>
      </w:pPr>
      <w:r>
        <w:rPr>
          <w:rFonts w:ascii="Calibri" w:cs="Calibri" w:eastAsia="Calibri" w:hAnsi="Calibri"/>
          <w:color w:val="1B2A27"/>
          <w:sz w:val="21"/>
          <w:szCs w:val="21"/>
        </w:rPr>
        <w:t xml:space="preserve">Nothing was cannibalised. Redistribution measured $0 on all three launches. Existing customers who adopted a new flavour spent more in total, not the same money moved sideways.</w:t>
      </w:r>
    </w:p>
    <w:p>
      <w:pPr>
        <w:pStyle w:val="ListParagraph"/>
        <w:numPr>
          <w:ilvl w:val="0"/>
          <w:numId w:val="2"/>
        </w:numPr>
        <w:spacing w:after="100"/>
      </w:pPr>
      <w:r>
        <w:rPr>
          <w:rFonts w:ascii="Calibri" w:cs="Calibri" w:eastAsia="Calibri" w:hAnsi="Calibri"/>
          <w:color w:val="1B2A27"/>
          <w:sz w:val="21"/>
          <w:szCs w:val="21"/>
        </w:rPr>
        <w:t xml:space="preserve">Launches pay for themselves within 60 days, returning 1.55 to 1.91 times the cost of acquiring a customer that month. On revenue, not margin.</w:t>
      </w:r>
    </w:p>
    <w:p>
      <w:pPr>
        <w:pStyle w:val="ListParagraph"/>
        <w:numPr>
          <w:ilvl w:val="0"/>
          <w:numId w:val="2"/>
        </w:numPr>
        <w:spacing w:after="100"/>
      </w:pPr>
      <w:r>
        <w:rPr>
          <w:rFonts w:ascii="Calibri" w:cs="Calibri" w:eastAsia="Calibri" w:hAnsi="Calibri"/>
          <w:color w:val="1B2A27"/>
          <w:sz w:val="21"/>
          <w:szCs w:val="21"/>
        </w:rPr>
        <w:t xml:space="preserve">Which flavour you launch barely matters. Value per customer varies 4% across the three launches. Customer volume varies 620%. Reach is the lever, not flavour selection.</w:t>
      </w:r>
    </w:p>
    <w:p>
      <w:pPr>
        <w:pStyle w:val="Heading1"/>
        <w:spacing w:after="160" w:before="360"/>
      </w:pPr>
      <w:r>
        <w:rPr>
          <w:rFonts w:ascii="Georgia" w:cs="Georgia" w:eastAsia="Georgia" w:hAnsi="Georgia"/>
          <w:b/>
          <w:bCs/>
          <w:color w:val="1F4E45"/>
          <w:sz w:val="30"/>
          <w:szCs w:val="30"/>
        </w:rPr>
        <w:t xml:space="preserve">What this report does</w:t>
      </w:r>
    </w:p>
    <w:p>
      <w:pPr>
        <w:spacing w:after="160" w:line="276"/>
      </w:pPr>
      <w:r>
        <w:rPr>
          <w:rFonts w:ascii="Calibri" w:cs="Calibri" w:eastAsia="Calibri" w:hAnsi="Calibri"/>
          <w:color w:val="1B2A27"/>
          <w:sz w:val="21"/>
          <w:szCs w:val="21"/>
        </w:rPr>
        <w:t xml:space="preserve">Each launch is indexed to its own day zero and measured at 30, 60 and 90 days, so a December launch can be compared with a June one without winning on age alone. Revenue is then split by whether the buyer existed before the launch, and the pre-existing portion is tested against a control group of customers who were equally active but did not buy the new flavour.</w:t>
      </w:r>
    </w:p>
    <w:p>
      <w:pPr>
        <w:pStyle w:val="Heading1"/>
        <w:spacing w:after="160" w:before="360"/>
      </w:pPr>
      <w:r>
        <w:rPr>
          <w:rFonts w:ascii="Georgia" w:cs="Georgia" w:eastAsia="Georgia" w:hAnsi="Georgia"/>
          <w:b/>
          <w:bCs/>
          <w:color w:val="1F4E45"/>
          <w:sz w:val="30"/>
          <w:szCs w:val="30"/>
        </w:rPr>
        <w:t xml:space="preserve">1.  The launches at 30, 60 and 90 days</w:t>
      </w:r>
    </w:p>
    <w:tbl>
      <w:tblPr>
        <w:tblW w:type="dxa" w:w="9360"/>
        <w:tblBorders>
          <w:top w:val="single" w:color="C9D4D1" w:sz="2"/>
          <w:left w:val="none"/>
          <w:bottom w:val="single" w:color="C9D4D1" w:sz="2"/>
          <w:right w:val="none"/>
          <w:insideH w:val="single" w:color="C9D4D1" w:sz="2"/>
          <w:insideV w:val="none"/>
        </w:tblBorders>
      </w:tblPr>
      <w:tblGrid>
        <w:gridCol w:w="2260"/>
        <w:gridCol w:w="1300"/>
        <w:gridCol w:w="1300"/>
        <w:gridCol w:w="1400"/>
        <w:gridCol w:w="1250"/>
        <w:gridCol w:w="1850"/>
      </w:tblGrid>
      <w:tr>
        <w:trPr>
          <w:tblHeader/>
        </w:trPr>
        <w:tc>
          <w:tcPr>
            <w:tcW w:type="dxa" w:w="2260"/>
            <w:shd w:fill="1F4E45" w:color="auto" w:val="clear"/>
            <w:tcMar>
              <w:top w:type="dxa" w:w="90"/>
              <w:left w:type="dxa" w:w="120"/>
              <w:bottom w:type="dxa" w:w="90"/>
              <w:right w:type="dxa" w:w="120"/>
            </w:tcMar>
          </w:tcPr>
          <w:p>
            <w:pPr>
              <w:spacing w:after="0"/>
              <w:jc w:val="left"/>
            </w:pPr>
            <w:r>
              <w:rPr>
                <w:rFonts w:ascii="Calibri" w:cs="Calibri" w:eastAsia="Calibri" w:hAnsi="Calibri"/>
                <w:b/>
                <w:bCs/>
                <w:color w:val="FFFFFF"/>
                <w:sz w:val="19"/>
                <w:szCs w:val="19"/>
              </w:rPr>
              <w:t xml:space="preserve">Launch</w:t>
            </w:r>
          </w:p>
        </w:tc>
        <w:tc>
          <w:tcPr>
            <w:tcW w:type="dxa" w:w="13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T+30</w:t>
            </w:r>
          </w:p>
        </w:tc>
        <w:tc>
          <w:tcPr>
            <w:tcW w:type="dxa" w:w="13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T+60</w:t>
            </w:r>
          </w:p>
        </w:tc>
        <w:tc>
          <w:tcPr>
            <w:tcW w:type="dxa" w:w="14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T+90</w:t>
            </w:r>
          </w:p>
        </w:tc>
        <w:tc>
          <w:tcPr>
            <w:tcW w:type="dxa" w:w="125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Growth 30→90</w:t>
            </w:r>
          </w:p>
        </w:tc>
        <w:tc>
          <w:tcPr>
            <w:tcW w:type="dxa" w:w="185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New customers T+90</w:t>
            </w:r>
          </w:p>
        </w:tc>
      </w:tr>
      <w:tr>
        <w:tc>
          <w:tcPr>
            <w:tcW w:type="dxa" w:w="22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Cranberry</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$46,183</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$62,882</w:t>
            </w:r>
          </w:p>
        </w:tc>
        <w:tc>
          <w:tcPr>
            <w:tcW w:type="dxa" w:w="14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$134,069</w:t>
            </w:r>
          </w:p>
        </w:tc>
        <w:tc>
          <w:tcPr>
            <w:tcW w:type="dxa" w:w="125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2.9×</w:t>
            </w:r>
          </w:p>
        </w:tc>
        <w:tc>
          <w:tcPr>
            <w:tcW w:type="dxa" w:w="185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2,771</w:t>
            </w:r>
          </w:p>
        </w:tc>
      </w:tr>
      <w:tr>
        <w:tc>
          <w:tcPr>
            <w:tcW w:type="dxa" w:w="22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Peach/Pear</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$91,447</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$225,689</w:t>
            </w:r>
          </w:p>
        </w:tc>
        <w:tc>
          <w:tcPr>
            <w:tcW w:type="dxa" w:w="14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$498,234</w:t>
            </w:r>
          </w:p>
        </w:tc>
        <w:tc>
          <w:tcPr>
            <w:tcW w:type="dxa" w:w="125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5.4×</w:t>
            </w:r>
          </w:p>
        </w:tc>
        <w:tc>
          <w:tcPr>
            <w:tcW w:type="dxa" w:w="185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12,732</w:t>
            </w:r>
          </w:p>
        </w:tc>
      </w:tr>
      <w:tr>
        <w:tc>
          <w:tcPr>
            <w:tcW w:type="dxa" w:w="22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Raspberry/Watermelon</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$260,113</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$665,700</w:t>
            </w:r>
          </w:p>
        </w:tc>
        <w:tc>
          <w:tcPr>
            <w:tcW w:type="dxa" w:w="14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$1,110,054</w:t>
            </w:r>
          </w:p>
        </w:tc>
        <w:tc>
          <w:tcPr>
            <w:tcW w:type="dxa" w:w="125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4.3×</w:t>
            </w:r>
          </w:p>
        </w:tc>
        <w:tc>
          <w:tcPr>
            <w:tcW w:type="dxa" w:w="185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25,781</w:t>
            </w:r>
          </w:p>
        </w:tc>
      </w:tr>
    </w:tbl>
    <w:p>
      <w:pPr>
        <w:spacing w:after="260" w:before="60"/>
      </w:pPr>
      <w:r>
        <w:rPr>
          <w:rFonts w:ascii="Calibri" w:cs="Calibri" w:eastAsia="Calibri" w:hAnsi="Calibri"/>
          <w:i/>
          <w:iCs/>
          <w:color w:val="5C6B68"/>
          <w:sz w:val="17"/>
          <w:szCs w:val="17"/>
        </w:rPr>
        <w:t xml:space="preserve">Cumulative gross sales. Raspberry/Watermelon's T+90 covers 88 of 90 days, as data ends 10 September.</w:t>
      </w:r>
    </w:p>
    <w:p>
      <w:pPr>
        <w:pStyle w:val="ListParagraph"/>
        <w:numPr>
          <w:ilvl w:val="0"/>
          <w:numId w:val="2"/>
        </w:numPr>
        <w:spacing w:after="100"/>
      </w:pPr>
      <w:r>
        <w:rPr>
          <w:rFonts w:ascii="Calibri" w:cs="Calibri" w:eastAsia="Calibri" w:hAnsi="Calibri"/>
          <w:color w:val="1B2A27"/>
          <w:sz w:val="21"/>
          <w:szCs w:val="21"/>
        </w:rPr>
        <w:t xml:space="preserve">Raspberry/Watermelon is the benchmark: 8.3× Cranberry and 2.2× Peach/Pear at the same age, and it got there three months faster.</w:t>
      </w:r>
    </w:p>
    <w:p>
      <w:pPr>
        <w:pStyle w:val="ListParagraph"/>
        <w:numPr>
          <w:ilvl w:val="0"/>
          <w:numId w:val="2"/>
        </w:numPr>
        <w:spacing w:after="100"/>
      </w:pPr>
      <w:r>
        <w:rPr>
          <w:rFonts w:ascii="Calibri" w:cs="Calibri" w:eastAsia="Calibri" w:hAnsi="Calibri"/>
          <w:color w:val="1B2A27"/>
          <w:sz w:val="21"/>
          <w:szCs w:val="21"/>
        </w:rPr>
        <w:t xml:space="preserve">Order value and customer quality are identical across all three — AOV $26.57 to $26.87, repeat purchase within 60 days 68.3% to 70.9%. The launches differ only in how many customers they reached.</w:t>
      </w:r>
    </w:p>
    <w:p>
      <w:pPr>
        <w:pStyle w:val="Heading1"/>
        <w:spacing w:after="160" w:before="360"/>
      </w:pPr>
      <w:r>
        <w:rPr>
          <w:rFonts w:ascii="Georgia" w:cs="Georgia" w:eastAsia="Georgia" w:hAnsi="Georgia"/>
          <w:b/>
          <w:bCs/>
          <w:color w:val="1F4E45"/>
          <w:sz w:val="30"/>
          <w:szCs w:val="30"/>
        </w:rPr>
        <w:t xml:space="preserve">2.  Where the revenue came from</w:t>
      </w:r>
    </w:p>
    <w:tbl>
      <w:tblPr>
        <w:tblW w:type="dxa" w:w="9360"/>
        <w:tblBorders>
          <w:top w:val="single" w:color="C9D4D1" w:sz="2"/>
          <w:left w:val="none"/>
          <w:bottom w:val="single" w:color="C9D4D1" w:sz="2"/>
          <w:right w:val="none"/>
          <w:insideH w:val="single" w:color="C9D4D1" w:sz="2"/>
          <w:insideV w:val="none"/>
        </w:tblBorders>
      </w:tblPr>
      <w:tblGrid>
        <w:gridCol w:w="2260"/>
        <w:gridCol w:w="1500"/>
        <w:gridCol w:w="1700"/>
        <w:gridCol w:w="1200"/>
        <w:gridCol w:w="1500"/>
        <w:gridCol w:w="1200"/>
      </w:tblGrid>
      <w:tr>
        <w:trPr>
          <w:tblHeader/>
        </w:trPr>
        <w:tc>
          <w:tcPr>
            <w:tcW w:type="dxa" w:w="2260"/>
            <w:shd w:fill="1F4E45" w:color="auto" w:val="clear"/>
            <w:tcMar>
              <w:top w:type="dxa" w:w="90"/>
              <w:left w:type="dxa" w:w="120"/>
              <w:bottom w:type="dxa" w:w="90"/>
              <w:right w:type="dxa" w:w="120"/>
            </w:tcMar>
          </w:tcPr>
          <w:p>
            <w:pPr>
              <w:spacing w:after="0"/>
              <w:jc w:val="left"/>
            </w:pPr>
            <w:r>
              <w:rPr>
                <w:rFonts w:ascii="Calibri" w:cs="Calibri" w:eastAsia="Calibri" w:hAnsi="Calibri"/>
                <w:b/>
                <w:bCs/>
                <w:color w:val="FFFFFF"/>
                <w:sz w:val="19"/>
                <w:szCs w:val="19"/>
              </w:rPr>
              <w:t xml:space="preserve">Launch</w:t>
            </w:r>
          </w:p>
        </w:tc>
        <w:tc>
          <w:tcPr>
            <w:tcW w:type="dxa" w:w="15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Gross (60d)</w:t>
            </w:r>
          </w:p>
        </w:tc>
        <w:tc>
          <w:tcPr>
            <w:tcW w:type="dxa" w:w="17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New customers</w:t>
            </w:r>
          </w:p>
        </w:tc>
        <w:tc>
          <w:tcPr>
            <w:tcW w:type="dxa" w:w="12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Share</w:t>
            </w:r>
          </w:p>
        </w:tc>
        <w:tc>
          <w:tcPr>
            <w:tcW w:type="dxa" w:w="15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Pre-existing</w:t>
            </w:r>
          </w:p>
        </w:tc>
        <w:tc>
          <w:tcPr>
            <w:tcW w:type="dxa" w:w="12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Share</w:t>
            </w:r>
          </w:p>
        </w:tc>
      </w:tr>
      <w:tr>
        <w:tc>
          <w:tcPr>
            <w:tcW w:type="dxa" w:w="22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Cranberry</w:t>
            </w:r>
          </w:p>
        </w:tc>
        <w:tc>
          <w:tcPr>
            <w:tcW w:type="dxa" w:w="15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$62,882</w:t>
            </w:r>
          </w:p>
        </w:tc>
        <w:tc>
          <w:tcPr>
            <w:tcW w:type="dxa" w:w="17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$50,029</w:t>
            </w:r>
          </w:p>
        </w:tc>
        <w:tc>
          <w:tcPr>
            <w:tcW w:type="dxa" w:w="1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79.6%</w:t>
            </w:r>
          </w:p>
        </w:tc>
        <w:tc>
          <w:tcPr>
            <w:tcW w:type="dxa" w:w="15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$12,853</w:t>
            </w:r>
          </w:p>
        </w:tc>
        <w:tc>
          <w:tcPr>
            <w:tcW w:type="dxa" w:w="1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20.4%</w:t>
            </w:r>
          </w:p>
        </w:tc>
      </w:tr>
      <w:tr>
        <w:tc>
          <w:tcPr>
            <w:tcW w:type="dxa" w:w="22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Peach/Pear</w:t>
            </w:r>
          </w:p>
        </w:tc>
        <w:tc>
          <w:tcPr>
            <w:tcW w:type="dxa" w:w="15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$225,690</w:t>
            </w:r>
          </w:p>
        </w:tc>
        <w:tc>
          <w:tcPr>
            <w:tcW w:type="dxa" w:w="17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$188,531</w:t>
            </w:r>
          </w:p>
        </w:tc>
        <w:tc>
          <w:tcPr>
            <w:tcW w:type="dxa" w:w="1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83.5%</w:t>
            </w:r>
          </w:p>
        </w:tc>
        <w:tc>
          <w:tcPr>
            <w:tcW w:type="dxa" w:w="15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$37,158</w:t>
            </w:r>
          </w:p>
        </w:tc>
        <w:tc>
          <w:tcPr>
            <w:tcW w:type="dxa" w:w="1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16.5%</w:t>
            </w:r>
          </w:p>
        </w:tc>
      </w:tr>
      <w:tr>
        <w:tc>
          <w:tcPr>
            <w:tcW w:type="dxa" w:w="22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Raspberry/Watermelon</w:t>
            </w:r>
          </w:p>
        </w:tc>
        <w:tc>
          <w:tcPr>
            <w:tcW w:type="dxa" w:w="15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$665,700</w:t>
            </w:r>
          </w:p>
        </w:tc>
        <w:tc>
          <w:tcPr>
            <w:tcW w:type="dxa" w:w="17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$619,892</w:t>
            </w:r>
          </w:p>
        </w:tc>
        <w:tc>
          <w:tcPr>
            <w:tcW w:type="dxa" w:w="1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93.1%</w:t>
            </w:r>
          </w:p>
        </w:tc>
        <w:tc>
          <w:tcPr>
            <w:tcW w:type="dxa" w:w="15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$45,807</w:t>
            </w:r>
          </w:p>
        </w:tc>
        <w:tc>
          <w:tcPr>
            <w:tcW w:type="dxa" w:w="1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6.9%</w:t>
            </w:r>
          </w:p>
        </w:tc>
      </w:tr>
    </w:tbl>
    <w:p>
      <w:pPr>
        <w:spacing w:after="160" w:line="276"/>
      </w:pPr>
      <w:r>
        <w:rPr>
          <w:rFonts w:ascii="Calibri" w:cs="Calibri" w:eastAsia="Calibri" w:hAnsi="Calibri"/>
          <w:color w:val="1B2A27"/>
          <w:sz w:val="21"/>
          <w:szCs w:val="21"/>
        </w:rPr>
        <w:t xml:space="preserve">New customers dominate, and increasingly so — the newest launch drew 93% of its revenue from people who had never bought before. Only the small pre-existing slice, 7% to 20%, could possibly be redistributed demand. That is what the next section tests.</w:t>
      </w:r>
    </w:p>
    <w:p>
      <w:pPr>
        <w:pStyle w:val="Heading1"/>
        <w:spacing w:after="160" w:before="360"/>
      </w:pPr>
      <w:r>
        <w:rPr>
          <w:rFonts w:ascii="Georgia" w:cs="Georgia" w:eastAsia="Georgia" w:hAnsi="Georgia"/>
          <w:b/>
          <w:bCs/>
          <w:color w:val="1F4E45"/>
          <w:sz w:val="30"/>
          <w:szCs w:val="30"/>
        </w:rPr>
        <w:t xml:space="preserve">3.  Was the pre-existing slice incremental?</w:t>
      </w:r>
    </w:p>
    <w:p>
      <w:pPr>
        <w:spacing w:after="160" w:line="276"/>
      </w:pPr>
      <w:r>
        <w:rPr>
          <w:rFonts w:ascii="Calibri" w:cs="Calibri" w:eastAsia="Calibri" w:hAnsi="Calibri"/>
          <w:color w:val="1B2A27"/>
          <w:sz w:val="21"/>
          <w:szCs w:val="21"/>
        </w:rPr>
        <w:t xml:space="preserve">Adopters are compared against customers who ordered in the same window but did not buy the new flavour, matched on prior spend. Because people who buy any flavour are more engaged than those who do not, the same test was run on three established flavours to measure that bias: it is worth $9.68 per customer, and is subtracted below.</w:t>
      </w:r>
    </w:p>
    <w:tbl>
      <w:tblPr>
        <w:tblW w:type="dxa" w:w="9360"/>
        <w:tblBorders>
          <w:top w:val="single" w:color="C9D4D1" w:sz="2"/>
          <w:left w:val="none"/>
          <w:bottom w:val="single" w:color="C9D4D1" w:sz="2"/>
          <w:right w:val="none"/>
          <w:insideH w:val="single" w:color="C9D4D1" w:sz="2"/>
          <w:insideV w:val="none"/>
        </w:tblBorders>
      </w:tblPr>
      <w:tblGrid>
        <w:gridCol w:w="2260"/>
        <w:gridCol w:w="1150"/>
        <w:gridCol w:w="1250"/>
        <w:gridCol w:w="1350"/>
        <w:gridCol w:w="1500"/>
        <w:gridCol w:w="1850"/>
      </w:tblGrid>
      <w:tr>
        <w:trPr>
          <w:tblHeader/>
        </w:trPr>
        <w:tc>
          <w:tcPr>
            <w:tcW w:type="dxa" w:w="2260"/>
            <w:shd w:fill="1F4E45" w:color="auto" w:val="clear"/>
            <w:tcMar>
              <w:top w:type="dxa" w:w="90"/>
              <w:left w:type="dxa" w:w="120"/>
              <w:bottom w:type="dxa" w:w="90"/>
              <w:right w:type="dxa" w:w="120"/>
            </w:tcMar>
          </w:tcPr>
          <w:p>
            <w:pPr>
              <w:spacing w:after="0"/>
              <w:jc w:val="left"/>
            </w:pPr>
            <w:r>
              <w:rPr>
                <w:rFonts w:ascii="Calibri" w:cs="Calibri" w:eastAsia="Calibri" w:hAnsi="Calibri"/>
                <w:b/>
                <w:bCs/>
                <w:color w:val="FFFFFF"/>
                <w:sz w:val="19"/>
                <w:szCs w:val="19"/>
              </w:rPr>
              <w:t xml:space="preserve">Launch</w:t>
            </w:r>
          </w:p>
        </w:tc>
        <w:tc>
          <w:tcPr>
            <w:tcW w:type="dxa" w:w="115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Adopters</w:t>
            </w:r>
          </w:p>
        </w:tc>
        <w:tc>
          <w:tcPr>
            <w:tcW w:type="dxa" w:w="125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Raw lift</w:t>
            </w:r>
          </w:p>
        </w:tc>
        <w:tc>
          <w:tcPr>
            <w:tcW w:type="dxa" w:w="135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Adjusted lift</w:t>
            </w:r>
          </w:p>
        </w:tc>
        <w:tc>
          <w:tcPr>
            <w:tcW w:type="dxa" w:w="15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Adjusted total</w:t>
            </w:r>
          </w:p>
        </w:tc>
        <w:tc>
          <w:tcPr>
            <w:tcW w:type="dxa" w:w="185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Redistributed</w:t>
            </w:r>
          </w:p>
        </w:tc>
      </w:tr>
      <w:tr>
        <w:tc>
          <w:tcPr>
            <w:tcW w:type="dxa" w:w="22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Cranberry</w:t>
            </w:r>
          </w:p>
        </w:tc>
        <w:tc>
          <w:tcPr>
            <w:tcW w:type="dxa" w:w="115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362</w:t>
            </w:r>
          </w:p>
        </w:tc>
        <w:tc>
          <w:tcPr>
            <w:tcW w:type="dxa" w:w="125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+$57.95</w:t>
            </w:r>
          </w:p>
        </w:tc>
        <w:tc>
          <w:tcPr>
            <w:tcW w:type="dxa" w:w="135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+$48.28</w:t>
            </w:r>
          </w:p>
        </w:tc>
        <w:tc>
          <w:tcPr>
            <w:tcW w:type="dxa" w:w="15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$17,476</w:t>
            </w:r>
          </w:p>
        </w:tc>
        <w:tc>
          <w:tcPr>
            <w:tcW w:type="dxa" w:w="185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$0</w:t>
            </w:r>
          </w:p>
        </w:tc>
      </w:tr>
      <w:tr>
        <w:tc>
          <w:tcPr>
            <w:tcW w:type="dxa" w:w="22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Peach/Pear</w:t>
            </w:r>
          </w:p>
        </w:tc>
        <w:tc>
          <w:tcPr>
            <w:tcW w:type="dxa" w:w="115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927</w:t>
            </w:r>
          </w:p>
        </w:tc>
        <w:tc>
          <w:tcPr>
            <w:tcW w:type="dxa" w:w="125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+$53.29</w:t>
            </w:r>
          </w:p>
        </w:tc>
        <w:tc>
          <w:tcPr>
            <w:tcW w:type="dxa" w:w="135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+$43.61</w:t>
            </w:r>
          </w:p>
        </w:tc>
        <w:tc>
          <w:tcPr>
            <w:tcW w:type="dxa" w:w="15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$40,426</w:t>
            </w:r>
          </w:p>
        </w:tc>
        <w:tc>
          <w:tcPr>
            <w:tcW w:type="dxa" w:w="185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$0</w:t>
            </w:r>
          </w:p>
        </w:tc>
      </w:tr>
      <w:tr>
        <w:tc>
          <w:tcPr>
            <w:tcW w:type="dxa" w:w="22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Raspberry/Watermelon</w:t>
            </w:r>
          </w:p>
        </w:tc>
        <w:tc>
          <w:tcPr>
            <w:tcW w:type="dxa" w:w="115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1,233</w:t>
            </w:r>
          </w:p>
        </w:tc>
        <w:tc>
          <w:tcPr>
            <w:tcW w:type="dxa" w:w="125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+$51.92</w:t>
            </w:r>
          </w:p>
        </w:tc>
        <w:tc>
          <w:tcPr>
            <w:tcW w:type="dxa" w:w="135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+$42.25</w:t>
            </w:r>
          </w:p>
        </w:tc>
        <w:tc>
          <w:tcPr>
            <w:tcW w:type="dxa" w:w="15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$52,091</w:t>
            </w:r>
          </w:p>
        </w:tc>
        <w:tc>
          <w:tcPr>
            <w:tcW w:type="dxa" w:w="185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$0</w:t>
            </w:r>
          </w:p>
        </w:tc>
      </w:tr>
    </w:tbl>
    <w:p>
      <w:pPr>
        <w:spacing w:after="260" w:before="60"/>
      </w:pPr>
      <w:r>
        <w:rPr>
          <w:rFonts w:ascii="Calibri" w:cs="Calibri" w:eastAsia="Calibri" w:hAnsi="Calibri"/>
          <w:i/>
          <w:iCs/>
          <w:color w:val="5C6B68"/>
          <w:sz w:val="17"/>
          <w:szCs w:val="17"/>
        </w:rPr>
        <w:t xml:space="preserve">Lift is extra spend per adopter over 60 days versus the control. Placebo baseline of $9.68 already removed.</w:t>
      </w:r>
    </w:p>
    <w:p>
      <w:pPr>
        <w:spacing w:after="160" w:line="276"/>
      </w:pPr>
      <w:r>
        <w:rPr>
          <w:rFonts w:ascii="Calibri" w:cs="Calibri" w:eastAsia="Calibri" w:hAnsi="Calibri"/>
          <w:color w:val="1B2A27"/>
          <w:sz w:val="21"/>
          <w:szCs w:val="21"/>
        </w:rPr>
        <w:t xml:space="preserve">In every case the adjusted lift is larger than what those customers spent on the new flavour itself — $52,091 against $45,807 on Raspberry/Watermelon, for example. They did not swap spend across from other flavours; they added the new one and spent more besides. A new flavour re-engages the existing base as well as recruiting a new one.</w:t>
      </w:r>
    </w:p>
    <w:p>
      <w:pPr>
        <w:pStyle w:val="Heading1"/>
        <w:spacing w:after="160" w:before="360"/>
      </w:pPr>
      <w:r>
        <w:rPr>
          <w:rFonts w:ascii="Georgia" w:cs="Georgia" w:eastAsia="Georgia" w:hAnsi="Georgia"/>
          <w:b/>
          <w:bCs/>
          <w:color w:val="1F4E45"/>
          <w:sz w:val="30"/>
          <w:szCs w:val="30"/>
        </w:rPr>
        <w:t xml:space="preserve">4.  Do launches pay back?</w:t>
      </w:r>
    </w:p>
    <w:p>
      <w:pPr>
        <w:spacing w:after="160" w:line="276"/>
      </w:pPr>
      <w:r>
        <w:rPr>
          <w:rFonts w:ascii="Calibri" w:cs="Calibri" w:eastAsia="Calibri" w:hAnsi="Calibri"/>
          <w:color w:val="1B2A27"/>
          <w:sz w:val="21"/>
          <w:szCs w:val="21"/>
        </w:rPr>
        <w:t xml:space="preserve">What each acquired customer went on to spend in 60 days, against what it cost to acquire a customer that month. Windows are equalised — acquired in the first 28 days, each observed 60 days — because Raspberry/Watermelon is recent enough that unequal windows would understate it badly.</w:t>
      </w:r>
    </w:p>
    <w:tbl>
      <w:tblPr>
        <w:tblW w:type="dxa" w:w="9360"/>
        <w:tblBorders>
          <w:top w:val="single" w:color="C9D4D1" w:sz="2"/>
          <w:left w:val="none"/>
          <w:bottom w:val="single" w:color="C9D4D1" w:sz="2"/>
          <w:right w:val="none"/>
          <w:insideH w:val="single" w:color="C9D4D1" w:sz="2"/>
          <w:insideV w:val="none"/>
        </w:tblBorders>
      </w:tblPr>
      <w:tblGrid>
        <w:gridCol w:w="2260"/>
        <w:gridCol w:w="1300"/>
        <w:gridCol w:w="1400"/>
        <w:gridCol w:w="1300"/>
        <w:gridCol w:w="1200"/>
        <w:gridCol w:w="1250"/>
        <w:gridCol w:w="1250"/>
      </w:tblGrid>
      <w:tr>
        <w:trPr>
          <w:tblHeader/>
        </w:trPr>
        <w:tc>
          <w:tcPr>
            <w:tcW w:type="dxa" w:w="2260"/>
            <w:shd w:fill="1F4E45" w:color="auto" w:val="clear"/>
            <w:tcMar>
              <w:top w:type="dxa" w:w="90"/>
              <w:left w:type="dxa" w:w="120"/>
              <w:bottom w:type="dxa" w:w="90"/>
              <w:right w:type="dxa" w:w="120"/>
            </w:tcMar>
          </w:tcPr>
          <w:p>
            <w:pPr>
              <w:spacing w:after="0"/>
              <w:jc w:val="left"/>
            </w:pPr>
            <w:r>
              <w:rPr>
                <w:rFonts w:ascii="Calibri" w:cs="Calibri" w:eastAsia="Calibri" w:hAnsi="Calibri"/>
                <w:b/>
                <w:bCs/>
                <w:color w:val="FFFFFF"/>
                <w:sz w:val="19"/>
                <w:szCs w:val="19"/>
              </w:rPr>
              <w:t xml:space="preserve">Launch</w:t>
            </w:r>
          </w:p>
        </w:tc>
        <w:tc>
          <w:tcPr>
            <w:tcW w:type="dxa" w:w="13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Acquired</w:t>
            </w:r>
          </w:p>
        </w:tc>
        <w:tc>
          <w:tcPr>
            <w:tcW w:type="dxa" w:w="14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Rev / customer</w:t>
            </w:r>
          </w:p>
        </w:tc>
        <w:tc>
          <w:tcPr>
            <w:tcW w:type="dxa" w:w="13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2nd order</w:t>
            </w:r>
          </w:p>
        </w:tc>
        <w:tc>
          <w:tcPr>
            <w:tcW w:type="dxa" w:w="12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CAC</w:t>
            </w:r>
          </w:p>
        </w:tc>
        <w:tc>
          <w:tcPr>
            <w:tcW w:type="dxa" w:w="125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 CAC</w:t>
            </w:r>
          </w:p>
        </w:tc>
        <w:tc>
          <w:tcPr>
            <w:tcW w:type="dxa" w:w="125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 NCPA</w:t>
            </w:r>
          </w:p>
        </w:tc>
      </w:tr>
      <w:tr>
        <w:tc>
          <w:tcPr>
            <w:tcW w:type="dxa" w:w="22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Cranberry</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1,187</w:t>
            </w:r>
          </w:p>
        </w:tc>
        <w:tc>
          <w:tcPr>
            <w:tcW w:type="dxa" w:w="14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$108.83</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67.7%</w:t>
            </w:r>
          </w:p>
        </w:tc>
        <w:tc>
          <w:tcPr>
            <w:tcW w:type="dxa" w:w="1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$57.22</w:t>
            </w:r>
          </w:p>
        </w:tc>
        <w:tc>
          <w:tcPr>
            <w:tcW w:type="dxa" w:w="125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1.90×</w:t>
            </w:r>
          </w:p>
        </w:tc>
        <w:tc>
          <w:tcPr>
            <w:tcW w:type="dxa" w:w="125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1.24×</w:t>
            </w:r>
          </w:p>
        </w:tc>
      </w:tr>
      <w:tr>
        <w:tc>
          <w:tcPr>
            <w:tcW w:type="dxa" w:w="22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Peach/Pear</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2,391</w:t>
            </w:r>
          </w:p>
        </w:tc>
        <w:tc>
          <w:tcPr>
            <w:tcW w:type="dxa" w:w="14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$104.67</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70.7%</w:t>
            </w:r>
          </w:p>
        </w:tc>
        <w:tc>
          <w:tcPr>
            <w:tcW w:type="dxa" w:w="1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$67.66</w:t>
            </w:r>
          </w:p>
        </w:tc>
        <w:tc>
          <w:tcPr>
            <w:tcW w:type="dxa" w:w="125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1.55×</w:t>
            </w:r>
          </w:p>
        </w:tc>
        <w:tc>
          <w:tcPr>
            <w:tcW w:type="dxa" w:w="125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1.11×</w:t>
            </w:r>
          </w:p>
        </w:tc>
      </w:tr>
      <w:tr>
        <w:tc>
          <w:tcPr>
            <w:tcW w:type="dxa" w:w="22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Raspberry/Watermelon</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8,586</w:t>
            </w:r>
          </w:p>
        </w:tc>
        <w:tc>
          <w:tcPr>
            <w:tcW w:type="dxa" w:w="14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$104.87</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68.1%</w:t>
            </w:r>
          </w:p>
        </w:tc>
        <w:tc>
          <w:tcPr>
            <w:tcW w:type="dxa" w:w="1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$55.03</w:t>
            </w:r>
          </w:p>
        </w:tc>
        <w:tc>
          <w:tcPr>
            <w:tcW w:type="dxa" w:w="125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1.91×</w:t>
            </w:r>
          </w:p>
        </w:tc>
        <w:tc>
          <w:tcPr>
            <w:tcW w:type="dxa" w:w="125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1.39×</w:t>
            </w:r>
          </w:p>
        </w:tc>
      </w:tr>
    </w:tbl>
    <w:p>
      <w:pPr>
        <w:spacing w:after="260" w:before="60"/>
      </w:pPr>
      <w:r>
        <w:rPr>
          <w:rFonts w:ascii="Calibri" w:cs="Calibri" w:eastAsia="Calibri" w:hAnsi="Calibri"/>
          <w:i/>
          <w:iCs/>
          <w:color w:val="5C6B68"/>
          <w:sz w:val="17"/>
          <w:szCs w:val="17"/>
        </w:rPr>
        <w:t xml:space="preserve">CAC period-matched to each launch month, from All_KPIs_Monthly_Performance (Gels, US).</w:t>
      </w:r>
    </w:p>
    <w:p>
      <w:pPr>
        <w:spacing w:after="160" w:line="276"/>
      </w:pPr>
      <w:r>
        <w:rPr>
          <w:rFonts w:ascii="Calibri" w:cs="Calibri" w:eastAsia="Calibri" w:hAnsi="Calibri"/>
          <w:color w:val="1B2A27"/>
          <w:sz w:val="21"/>
          <w:szCs w:val="21"/>
        </w:rPr>
        <w:t xml:space="preserve">All three clear blended acquisition cost inside 60 days. Against the stricter cost per new paid customer the margin narrows to 1.11–1.39×. These are revenue figures, so profit payback runs longer and cannot be settled until Version 2 COGS lands.</w:t>
      </w:r>
    </w:p>
    <w:p>
      <w:pPr>
        <w:pStyle w:val="Heading1"/>
        <w:spacing w:after="160" w:before="360"/>
      </w:pPr>
      <w:r>
        <w:rPr>
          <w:rFonts w:ascii="Georgia" w:cs="Georgia" w:eastAsia="Georgia" w:hAnsi="Georgia"/>
          <w:b/>
          <w:bCs/>
          <w:color w:val="1F4E45"/>
          <w:sz w:val="30"/>
          <w:szCs w:val="30"/>
        </w:rPr>
        <w:t xml:space="preserve">5.  Conclusions</w:t>
      </w:r>
    </w:p>
    <w:p>
      <w:pPr>
        <w:pStyle w:val="Heading2"/>
        <w:spacing w:after="120" w:before="280"/>
      </w:pPr>
      <w:r>
        <w:rPr>
          <w:rFonts w:ascii="Georgia" w:cs="Georgia" w:eastAsia="Georgia" w:hAnsi="Georgia"/>
          <w:b/>
          <w:bCs/>
          <w:color w:val="1B2A27"/>
          <w:sz w:val="25"/>
          <w:szCs w:val="25"/>
        </w:rPr>
        <w:t xml:space="preserve">Launches work, and they are repeatable</w:t>
      </w:r>
    </w:p>
    <w:p>
      <w:pPr>
        <w:spacing w:after="160" w:line="276"/>
      </w:pPr>
      <w:r>
        <w:rPr>
          <w:rFonts w:ascii="Calibri" w:cs="Calibri" w:eastAsia="Calibri" w:hAnsi="Calibri"/>
          <w:color w:val="1B2A27"/>
          <w:sz w:val="21"/>
          <w:szCs w:val="21"/>
        </w:rPr>
        <w:t xml:space="preserve">Three launches, three different quarters, three different flavours — and near-identical unit economics: $104.67 to $108.83 revenue per customer, 67.7% to 70.7% second-order rate, $26.57 to $26.87 AOV. This is a channel with predictable returns, not a series of individual bets.</w:t>
      </w:r>
    </w:p>
    <w:p>
      <w:pPr>
        <w:pStyle w:val="Heading2"/>
        <w:spacing w:after="120" w:before="280"/>
      </w:pPr>
      <w:r>
        <w:rPr>
          <w:rFonts w:ascii="Georgia" w:cs="Georgia" w:eastAsia="Georgia" w:hAnsi="Georgia"/>
          <w:b/>
          <w:bCs/>
          <w:color w:val="1B2A27"/>
          <w:sz w:val="25"/>
          <w:szCs w:val="25"/>
        </w:rPr>
        <w:t xml:space="preserve">Reach is the only lever that moved</w:t>
      </w:r>
    </w:p>
    <w:p>
      <w:pPr>
        <w:spacing w:after="160" w:line="276"/>
      </w:pPr>
      <w:r>
        <w:rPr>
          <w:rFonts w:ascii="Calibri" w:cs="Calibri" w:eastAsia="Calibri" w:hAnsi="Calibri"/>
          <w:color w:val="1B2A27"/>
          <w:sz w:val="21"/>
          <w:szCs w:val="21"/>
        </w:rPr>
        <w:t xml:space="preserve">Value per acquired customer varied by 4% across the three launches. Customer volume varied by 620% — 8,586 against 1,187 on equalised windows. Raspberry/Watermelon delivered $975,985 more than Cranberry at T+90 running the same playbook. The variable was how many people the launch reached, not which flavour was in the jar.</w:t>
      </w:r>
    </w:p>
    <w:p>
      <w:pPr>
        <w:pStyle w:val="Heading2"/>
        <w:spacing w:after="120" w:before="280"/>
      </w:pPr>
      <w:r>
        <w:rPr>
          <w:rFonts w:ascii="Georgia" w:cs="Georgia" w:eastAsia="Georgia" w:hAnsi="Georgia"/>
          <w:b/>
          <w:bCs/>
          <w:color w:val="1B2A27"/>
          <w:sz w:val="25"/>
          <w:szCs w:val="25"/>
        </w:rPr>
        <w:t xml:space="preserve">Cannibalisation is not a real risk here</w:t>
      </w:r>
    </w:p>
    <w:p>
      <w:pPr>
        <w:spacing w:after="160" w:line="276"/>
      </w:pPr>
      <w:r>
        <w:rPr>
          <w:rFonts w:ascii="Calibri" w:cs="Calibri" w:eastAsia="Calibri" w:hAnsi="Calibri"/>
          <w:color w:val="1B2A27"/>
          <w:sz w:val="21"/>
          <w:szCs w:val="21"/>
        </w:rPr>
        <w:t xml:space="preserve">Zero redistribution across three launches. Portfolio-conflict concerns should not gate launch decisions, and the existing range does not need protecting from new flavours.</w:t>
      </w:r>
    </w:p>
    <w:p>
      <w:pPr>
        <w:pStyle w:val="Heading2"/>
        <w:spacing w:after="120" w:before="280"/>
      </w:pPr>
      <w:r>
        <w:rPr>
          <w:rFonts w:ascii="Georgia" w:cs="Georgia" w:eastAsia="Georgia" w:hAnsi="Georgia"/>
          <w:b/>
          <w:bCs/>
          <w:color w:val="1B2A27"/>
          <w:sz w:val="25"/>
          <w:szCs w:val="25"/>
        </w:rPr>
        <w:t xml:space="preserve">What to do</w:t>
      </w:r>
    </w:p>
    <w:p>
      <w:pPr>
        <w:pStyle w:val="ListParagraph"/>
        <w:numPr>
          <w:ilvl w:val="0"/>
          <w:numId w:val="2"/>
        </w:numPr>
        <w:spacing w:after="100"/>
      </w:pPr>
      <w:r>
        <w:rPr>
          <w:rFonts w:ascii="Calibri" w:cs="Calibri" w:eastAsia="Calibri" w:hAnsi="Calibri"/>
          <w:color w:val="1B2A27"/>
          <w:sz w:val="21"/>
          <w:szCs w:val="21"/>
        </w:rPr>
        <w:t xml:space="preserve">Budget launches as acquisition, not merchandising. Target new-to-brand customers and cost per acquisition; stop debating share shift between flavours.</w:t>
      </w:r>
    </w:p>
    <w:p>
      <w:pPr>
        <w:pStyle w:val="ListParagraph"/>
        <w:numPr>
          <w:ilvl w:val="0"/>
          <w:numId w:val="2"/>
        </w:numPr>
        <w:spacing w:after="100"/>
      </w:pPr>
      <w:r>
        <w:rPr>
          <w:rFonts w:ascii="Calibri" w:cs="Calibri" w:eastAsia="Calibri" w:hAnsi="Calibri"/>
          <w:color w:val="1B2A27"/>
          <w:sz w:val="21"/>
          <w:szCs w:val="21"/>
        </w:rPr>
        <w:t xml:space="preserve">Spend the planning effort on launch reach and media weight rather than flavour selection — that is where the 620% sits.</w:t>
      </w:r>
    </w:p>
    <w:p>
      <w:pPr>
        <w:pStyle w:val="ListParagraph"/>
        <w:numPr>
          <w:ilvl w:val="0"/>
          <w:numId w:val="2"/>
        </w:numPr>
        <w:spacing w:after="100"/>
      </w:pPr>
      <w:r>
        <w:rPr>
          <w:rFonts w:ascii="Calibri" w:cs="Calibri" w:eastAsia="Calibri" w:hAnsi="Calibri"/>
          <w:color w:val="1B2A27"/>
          <w:sz w:val="21"/>
          <w:szCs w:val="21"/>
        </w:rPr>
        <w:t xml:space="preserve">Grade the next launch against Raspberry/Watermelon: $260,113 at T+30, $665,700 at T+60, $1.11m at T+90.</w:t>
      </w:r>
    </w:p>
    <w:p>
      <w:pPr>
        <w:pStyle w:val="ListParagraph"/>
        <w:numPr>
          <w:ilvl w:val="0"/>
          <w:numId w:val="2"/>
        </w:numPr>
        <w:spacing w:after="100"/>
      </w:pPr>
      <w:r>
        <w:rPr>
          <w:rFonts w:ascii="Calibri" w:cs="Calibri" w:eastAsia="Calibri" w:hAnsi="Calibri"/>
          <w:color w:val="1B2A27"/>
          <w:sz w:val="21"/>
          <w:szCs w:val="21"/>
        </w:rPr>
        <w:t xml:space="preserve">Revisit payback when Version 2 COGS arrives. At 1.11–1.39× NCPA on revenue, the profit answer is not yet certain.</w:t>
      </w:r>
    </w:p>
    <w:p>
      <w:pPr>
        <w:pStyle w:val="Heading1"/>
        <w:spacing w:after="160" w:before="360"/>
      </w:pPr>
      <w:r>
        <w:rPr>
          <w:rFonts w:ascii="Georgia" w:cs="Georgia" w:eastAsia="Georgia" w:hAnsi="Georgia"/>
          <w:b/>
          <w:bCs/>
          <w:color w:val="1F4E45"/>
          <w:sz w:val="30"/>
          <w:szCs w:val="30"/>
        </w:rPr>
        <w:t xml:space="preserve">Caveats</w:t>
      </w:r>
    </w:p>
    <w:p>
      <w:pPr>
        <w:pStyle w:val="ListParagraph"/>
        <w:numPr>
          <w:ilvl w:val="0"/>
          <w:numId w:val="2"/>
        </w:numPr>
        <w:spacing w:after="100"/>
      </w:pPr>
      <w:r>
        <w:rPr>
          <w:rFonts w:ascii="Calibri" w:cs="Calibri" w:eastAsia="Calibri" w:hAnsi="Calibri"/>
          <w:color w:val="1B2A27"/>
          <w:sz w:val="21"/>
          <w:szCs w:val="21"/>
        </w:rPr>
        <w:t xml:space="preserve">Revenue-based throughout. Margin KPIs are Version 2, pending COGS from 1C and Y-sell.</w:t>
      </w:r>
    </w:p>
    <w:p>
      <w:pPr>
        <w:pStyle w:val="ListParagraph"/>
        <w:numPr>
          <w:ilvl w:val="0"/>
          <w:numId w:val="2"/>
        </w:numPr>
        <w:spacing w:after="100"/>
      </w:pPr>
      <w:r>
        <w:rPr>
          <w:rFonts w:ascii="Calibri" w:cs="Calibri" w:eastAsia="Calibri" w:hAnsi="Calibri"/>
          <w:color w:val="1B2A27"/>
          <w:sz w:val="21"/>
          <w:szCs w:val="21"/>
        </w:rPr>
        <w:t xml:space="preserve">Launch dates come from first sale, validated against Shopify's published_at. Cranberry matches exactly; Peach/Pear is one day out; Raspberry/Watermelon was live four days before its first order.</w:t>
      </w:r>
    </w:p>
    <w:p>
      <w:pPr>
        <w:pStyle w:val="ListParagraph"/>
        <w:numPr>
          <w:ilvl w:val="0"/>
          <w:numId w:val="2"/>
        </w:numPr>
        <w:spacing w:after="100"/>
      </w:pPr>
      <w:r>
        <w:rPr>
          <w:rFonts w:ascii="Calibri" w:cs="Calibri" w:eastAsia="Calibri" w:hAnsi="Calibri"/>
          <w:color w:val="1B2A27"/>
          <w:sz w:val="21"/>
          <w:szCs w:val="21"/>
        </w:rPr>
        <w:t xml:space="preserve">Difference-in-differences shows association, not causation. The placebo strengthens it but this is not a controlled experiment.</w:t>
      </w:r>
    </w:p>
    <w:p>
      <w:pPr>
        <w:pStyle w:val="ListParagraph"/>
        <w:numPr>
          <w:ilvl w:val="0"/>
          <w:numId w:val="2"/>
        </w:numPr>
        <w:spacing w:after="100"/>
      </w:pPr>
      <w:r>
        <w:rPr>
          <w:rFonts w:ascii="Calibri" w:cs="Calibri" w:eastAsia="Calibri" w:hAnsi="Calibri"/>
          <w:color w:val="1B2A27"/>
          <w:sz w:val="21"/>
          <w:szCs w:val="21"/>
        </w:rPr>
        <w:t xml:space="preserve">Cranberry's 362 adopters is a small base — treat its per-customer figures as indicative.</w:t>
      </w:r>
    </w:p>
    <w:p>
      <w:pPr>
        <w:pStyle w:val="ListParagraph"/>
        <w:numPr>
          <w:ilvl w:val="0"/>
          <w:numId w:val="2"/>
        </w:numPr>
        <w:spacing w:after="100"/>
      </w:pPr>
      <w:r>
        <w:rPr>
          <w:rFonts w:ascii="Calibri" w:cs="Calibri" w:eastAsia="Calibri" w:hAnsi="Calibri"/>
          <w:color w:val="1B2A27"/>
          <w:sz w:val="21"/>
          <w:szCs w:val="21"/>
        </w:rPr>
        <w:t xml:space="preserve">Shopify and United States only. The August 2026 Sparkling Drink launch is excluded as it sells on TikTok and Amazon only.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2026-09-10T15:50:49.754Z</dcterms:created>
  <dcterms:modified xsi:type="dcterms:W3CDTF">2026-09-10T15:50:49.764Z</dcterms:modified>
</cp:coreProperties>
</file>

<file path=docProps/custom.xml><?xml version="1.0" encoding="utf-8"?>
<Properties xmlns="http://schemas.openxmlformats.org/officeDocument/2006/custom-properties" xmlns:vt="http://schemas.openxmlformats.org/officeDocument/2006/docPropsVTypes"/>
</file>